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440001-2025-26959</w:t>
      </w:r>
    </w:p>
    <w:p>
      <w:pPr>
        <w:pStyle w:val="null3"/>
        <w:jc w:val="center"/>
        <w:outlineLvl w:val="3"/>
      </w:pPr>
      <w:r>
        <w:rPr>
          <w:sz w:val="24"/>
          <w:b/>
        </w:rPr>
        <w:t>采购项目编号：</w:t>
      </w:r>
      <w:r>
        <w:rPr>
          <w:sz w:val="24"/>
          <w:b/>
        </w:rPr>
        <w:t>GPCGD253174HG117F</w:t>
      </w:r>
    </w:p>
    <w:p>
      <w:pPr>
        <w:pStyle w:val="null3"/>
        <w:jc w:val="center"/>
        <w:outlineLvl w:val="3"/>
      </w:pPr>
      <w:r>
        <w:rPr>
          <w:sz w:val="24"/>
          <w:b/>
        </w:rPr>
        <w:t>项目名称：</w:t>
      </w:r>
      <w:r>
        <w:rPr>
          <w:sz w:val="24"/>
          <w:b/>
        </w:rPr>
        <w:t>广东医科大学附属医院API安全网关与流量探针购置</w:t>
      </w:r>
    </w:p>
    <w:p>
      <w:pPr>
        <w:pStyle w:val="null3"/>
        <w:jc w:val="center"/>
        <w:outlineLvl w:val="3"/>
      </w:pPr>
      <w:r>
        <w:rPr>
          <w:sz w:val="24"/>
          <w:b/>
        </w:rPr>
        <w:t>采购人：</w:t>
      </w:r>
      <w:r>
        <w:rPr>
          <w:sz w:val="24"/>
          <w:b/>
        </w:rPr>
        <w:t>广东医科大学附属医院</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广东医科大学附属医院</w:t>
      </w:r>
      <w:r>
        <w:rPr/>
        <w:t>的委托，采用</w:t>
      </w:r>
      <w:r>
        <w:rPr/>
        <w:t>公开招标</w:t>
      </w:r>
      <w:r>
        <w:rPr/>
        <w:t>方式组织采购</w:t>
      </w:r>
      <w:r>
        <w:rPr/>
        <w:t>广东医科大学附属医院API安全网关与流量探针购置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广东医科大学附属医院API安全网关与流量探针购置</w:t>
      </w:r>
    </w:p>
    <w:p>
      <w:pPr>
        <w:pStyle w:val="null3"/>
        <w:ind w:firstLine="480"/>
      </w:pPr>
      <w:r>
        <w:rPr/>
        <w:t>采购计划编号：</w:t>
      </w:r>
      <w:r>
        <w:rPr/>
        <w:t>440001-2025-26959</w:t>
      </w:r>
    </w:p>
    <w:p>
      <w:pPr>
        <w:pStyle w:val="null3"/>
        <w:ind w:firstLine="480"/>
      </w:pPr>
      <w:r>
        <w:rPr/>
        <w:t>采购项目编号：</w:t>
      </w:r>
      <w:r>
        <w:rPr/>
        <w:t>GPCGD253174HG117F</w:t>
      </w:r>
    </w:p>
    <w:p>
      <w:pPr>
        <w:pStyle w:val="null3"/>
        <w:ind w:firstLine="480"/>
      </w:pPr>
      <w:r>
        <w:rPr/>
        <w:t>采购方式：</w:t>
      </w:r>
      <w:r>
        <w:rPr/>
        <w:t>公开招标</w:t>
      </w:r>
    </w:p>
    <w:p>
      <w:pPr>
        <w:pStyle w:val="null3"/>
        <w:ind w:firstLine="480"/>
      </w:pPr>
      <w:r>
        <w:rPr/>
        <w:t>预算金额：</w:t>
      </w:r>
      <w:r>
        <w:rPr/>
        <w:t>650,000.00</w:t>
      </w:r>
      <w:r>
        <w:rPr/>
        <w:t>元</w:t>
      </w:r>
    </w:p>
    <w:p>
      <w:pPr>
        <w:pStyle w:val="null3"/>
        <w:outlineLvl w:val="3"/>
      </w:pPr>
      <w:r>
        <w:rPr>
          <w:sz w:val="24"/>
          <w:b/>
        </w:rPr>
        <w:t>2.项目内容及需求情况（采购项目技术规格、参数及要求）</w:t>
      </w:r>
    </w:p>
    <w:p>
      <w:pPr>
        <w:pStyle w:val="null3"/>
      </w:pPr>
      <w:r>
        <w:rPr/>
        <w:t>采购包1(API安全网关与流量探针):</w:t>
      </w:r>
    </w:p>
    <w:p>
      <w:pPr>
        <w:pStyle w:val="null3"/>
      </w:pPr>
      <w:r>
        <w:rPr/>
        <w:t>采购包预算金额：650,000.00元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其他信息安全设备</w:t>
            </w:r>
          </w:p>
        </w:tc>
        <w:tc>
          <w:tcPr>
            <w:tcW w:type="dxa" w:w="2136"/>
          </w:tcPr>
          <w:p>
            <w:pPr>
              <w:pStyle w:val="null3"/>
            </w:pPr>
            <w:r>
              <w:rPr/>
              <w:t>API安全网关</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其他信息安全设备</w:t>
            </w:r>
          </w:p>
        </w:tc>
        <w:tc>
          <w:tcPr>
            <w:tcW w:type="dxa" w:w="2136"/>
          </w:tcPr>
          <w:p>
            <w:pPr>
              <w:pStyle w:val="null3"/>
            </w:pPr>
            <w:r>
              <w:rPr/>
              <w:t>其他产品（除核心产品外，详见采购需求清单）</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合同履行期限：合同签订至验收完毕</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①或②证明材料：①经会计师事务所审计的2023年度或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采购包1（API安全网关与流量探针）：</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广东医科大学附属医院</w:t>
      </w:r>
    </w:p>
    <w:p>
      <w:pPr>
        <w:pStyle w:val="null3"/>
        <w:ind w:firstLine="480"/>
      </w:pPr>
      <w:r>
        <w:rPr/>
        <w:t xml:space="preserve"> 地址：</w:t>
      </w:r>
      <w:r>
        <w:rPr/>
        <w:t>人民大道南57号</w:t>
      </w:r>
    </w:p>
    <w:p>
      <w:pPr>
        <w:pStyle w:val="null3"/>
        <w:ind w:firstLine="480"/>
      </w:pPr>
      <w:r>
        <w:rPr/>
        <w:t xml:space="preserve"> 联系方式：</w:t>
      </w:r>
      <w:r>
        <w:rPr/>
        <w:t>0759-2369318</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1</w:t>
      </w:r>
      <w:r>
        <w:rPr>
          <w:sz w:val="21"/>
          <w:b/>
        </w:rPr>
        <w:t>、“</w:t>
      </w:r>
      <w:r>
        <w:rPr>
          <w:sz w:val="21"/>
        </w:rPr>
        <w:t>★</w:t>
      </w:r>
      <w:r>
        <w:rPr>
          <w:sz w:val="21"/>
          <w:b/>
        </w:rPr>
        <w:t>”号条款</w:t>
      </w:r>
    </w:p>
    <w:p>
      <w:pPr>
        <w:pStyle w:val="null3"/>
        <w:ind w:firstLine="420"/>
        <w:jc w:val="both"/>
      </w:pPr>
      <w:r>
        <w:rPr>
          <w:sz w:val="21"/>
        </w:rPr>
        <w:t>《用户需求书》中标注有“</w:t>
      </w:r>
      <w:r>
        <w:rPr>
          <w:sz w:val="21"/>
        </w:rPr>
        <w:t>★”号的条款必须实质性响应，负偏离（不满足要求）将导致投标无效。</w:t>
      </w:r>
    </w:p>
    <w:p>
      <w:pPr>
        <w:pStyle w:val="null3"/>
        <w:ind w:firstLine="422"/>
        <w:jc w:val="both"/>
      </w:pPr>
      <w:r>
        <w:rPr>
          <w:sz w:val="21"/>
          <w:b/>
        </w:rPr>
        <w:t>2</w:t>
      </w:r>
      <w:r>
        <w:rPr>
          <w:sz w:val="21"/>
          <w:b/>
        </w:rPr>
        <w:t>、供应商所投的产品，符合节能产品、环境标志产品政策要求的，按附件中《政策适用性说明》格式提供说明。</w:t>
      </w:r>
    </w:p>
    <w:p>
      <w:pPr>
        <w:pStyle w:val="null3"/>
        <w:ind w:firstLine="422"/>
        <w:jc w:val="both"/>
      </w:pPr>
      <w:r>
        <w:rPr>
          <w:sz w:val="21"/>
          <w:b/>
        </w:rPr>
        <w:t>3.</w:t>
      </w:r>
      <w:r>
        <w:rPr>
          <w:sz w:val="21"/>
          <w:b/>
        </w:rPr>
        <w:t>采购文件所要求的证书、资质等材料，如有有效期限制的，供应商所提供的资质、证书等材料均应处于有效期内，否则按无效材料处理。</w:t>
      </w:r>
    </w:p>
    <w:p>
      <w:pPr>
        <w:pStyle w:val="null3"/>
        <w:ind w:firstLine="422"/>
        <w:jc w:val="both"/>
      </w:pPr>
      <w:r>
        <w:rPr>
          <w:sz w:val="21"/>
          <w:b/>
        </w:rPr>
        <w:t>一、项目名称</w:t>
      </w:r>
    </w:p>
    <w:p>
      <w:pPr>
        <w:pStyle w:val="null3"/>
        <w:ind w:firstLine="420"/>
        <w:jc w:val="both"/>
      </w:pPr>
      <w:r>
        <w:rPr>
          <w:sz w:val="21"/>
        </w:rPr>
        <w:t>广东医科大学附属医院</w:t>
      </w:r>
      <w:r>
        <w:rPr>
          <w:sz w:val="21"/>
        </w:rPr>
        <w:t>API</w:t>
      </w:r>
      <w:r>
        <w:rPr>
          <w:sz w:val="21"/>
        </w:rPr>
        <w:t>安全网关与流量探针购置</w:t>
      </w:r>
    </w:p>
    <w:p>
      <w:pPr>
        <w:pStyle w:val="null3"/>
        <w:ind w:firstLine="422"/>
        <w:jc w:val="both"/>
      </w:pPr>
      <w:r>
        <w:rPr>
          <w:sz w:val="21"/>
          <w:b/>
        </w:rPr>
        <w:t>二、预算金额</w:t>
      </w:r>
    </w:p>
    <w:p>
      <w:pPr>
        <w:pStyle w:val="null3"/>
        <w:ind w:firstLine="420"/>
        <w:jc w:val="both"/>
      </w:pPr>
      <w:r>
        <w:rPr>
          <w:sz w:val="21"/>
        </w:rPr>
        <w:t>65</w:t>
      </w:r>
      <w:r>
        <w:rPr>
          <w:sz w:val="21"/>
        </w:rPr>
        <w:t>万元</w:t>
      </w:r>
    </w:p>
    <w:p>
      <w:pPr>
        <w:pStyle w:val="null3"/>
        <w:ind w:firstLine="422"/>
        <w:jc w:val="both"/>
      </w:pPr>
      <w:r>
        <w:rPr>
          <w:sz w:val="21"/>
          <w:b/>
        </w:rPr>
        <w:t>三、采购需求清单</w:t>
      </w:r>
    </w:p>
    <w:tbl>
      <w:tblPr>
        <w:tblW w:w="0" w:type="auto"/>
        <w:tblBorders>
          <w:top w:val="single"/>
          <w:left w:val="single"/>
          <w:bottom w:val="single"/>
          <w:right w:val="single"/>
          <w:insideH w:val="single"/>
          <w:insideV w:val="single"/>
        </w:tblBorders>
      </w:tblPr>
      <w:tblGrid>
        <w:gridCol w:w="1091"/>
        <w:gridCol w:w="4614"/>
        <w:gridCol w:w="2601"/>
      </w:tblGrid>
      <w:tr>
        <w:tc>
          <w:tcPr>
            <w:tcW w:type="dxa" w:w="109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46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名称</w:t>
            </w:r>
          </w:p>
        </w:tc>
        <w:tc>
          <w:tcPr>
            <w:tcW w:type="dxa" w:w="26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4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API</w:t>
            </w:r>
            <w:r>
              <w:rPr>
                <w:sz w:val="21"/>
              </w:rPr>
              <w:t>安全网关（核心产品）</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台</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4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标配处理终端</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台</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4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流量探针</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台</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4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ov</w:t>
            </w:r>
            <w:r>
              <w:rPr>
                <w:sz w:val="21"/>
              </w:rPr>
              <w:t>级SSL证书</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r>
              <w:rPr>
                <w:sz w:val="21"/>
              </w:rPr>
              <w:t>年</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46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网络安全对接联调服务</w:t>
            </w:r>
          </w:p>
        </w:tc>
        <w:tc>
          <w:tcPr>
            <w:tcW w:type="dxa" w:w="26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项</w:t>
            </w:r>
          </w:p>
        </w:tc>
      </w:tr>
    </w:tbl>
    <w:p>
      <w:pPr>
        <w:pStyle w:val="null3"/>
        <w:ind w:firstLine="422"/>
        <w:jc w:val="both"/>
      </w:pPr>
      <w:r>
        <w:rPr>
          <w:sz w:val="21"/>
          <w:b/>
        </w:rPr>
        <w:t>四、功能\技术参数</w:t>
      </w:r>
    </w:p>
    <w:tbl>
      <w:tblPr>
        <w:tblW w:w="0" w:type="auto"/>
        <w:tblBorders>
          <w:top w:val="none" w:color="000000" w:sz="4"/>
          <w:left w:val="none" w:color="000000" w:sz="4"/>
          <w:bottom w:val="none" w:color="000000" w:sz="4"/>
          <w:right w:val="none" w:color="000000" w:sz="4"/>
          <w:insideH w:val="none"/>
          <w:insideV w:val="none"/>
        </w:tblBorders>
      </w:tblPr>
      <w:tblGrid>
        <w:gridCol w:w="671"/>
        <w:gridCol w:w="7635"/>
      </w:tblGrid>
      <w:tr>
        <w:tc>
          <w:tcPr>
            <w:tcW w:type="dxa" w:w="67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API</w:t>
            </w:r>
            <w:r>
              <w:rPr>
                <w:sz w:val="21"/>
              </w:rPr>
              <w:t>安全网关</w:t>
            </w:r>
          </w:p>
        </w:tc>
        <w:tc>
          <w:tcPr>
            <w:tcW w:type="dxa" w:w="763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网络层吞吐量不少于10Gbps，应用层吞吐量不少于2.4Gbps，QPS不少于10000，固态硬盘不少于128G，机械硬盘不少于12T，接口不少于4个千兆电、2个万兆光口，2*12核处理器，双电冗余800w电源。3年硬件质保、软件升级和特征库升级服务。（投标时提交承诺，可参照“投标文件格式”中《承诺函》格式）。</w:t>
            </w:r>
          </w:p>
        </w:tc>
      </w:tr>
      <w:tr>
        <w:tc>
          <w:tcPr>
            <w:tcW w:type="dxa" w:w="671"/>
            <w:vMerge/>
            <w:tcBorders>
              <w:top w:val="singl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、支持通过流量镜像方式，进行流量检测；流量镜像支持硬件/软件两种部署方式。</w:t>
            </w:r>
          </w:p>
        </w:tc>
      </w:tr>
      <w:tr>
        <w:tc>
          <w:tcPr>
            <w:tcW w:type="dxa" w:w="671"/>
            <w:vMerge/>
            <w:tcBorders>
              <w:top w:val="singl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、支持通过agent在服务器上获取流量并检测，agent支持实时安全检测能力、管理端支持大数据行为分析。</w:t>
            </w:r>
          </w:p>
        </w:tc>
      </w:tr>
      <w:tr>
        <w:tc>
          <w:tcPr>
            <w:tcW w:type="dxa" w:w="671"/>
            <w:vMerge/>
            <w:tcBorders>
              <w:top w:val="singl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支持对接nginx，和以nginx为底座的中间件，通过流量牵引模块对经过的http/https流量进行检测，可根据资源、网络情况控制检测过程，降低对业务影响。支持对Nginx转发过程进行管控、将封禁策略下发到nginx上。（提供产品功能截图，并加盖投标人公章）</w:t>
            </w:r>
          </w:p>
        </w:tc>
      </w:tr>
      <w:tr>
        <w:tc>
          <w:tcPr>
            <w:tcW w:type="dxa" w:w="671"/>
            <w:vMerge/>
            <w:tcBorders>
              <w:top w:val="singl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r>
              <w:rPr>
                <w:sz w:val="21"/>
              </w:rPr>
              <w:t>、支持数据同步能力，支持通过syslog和kafka进行数据同步。</w:t>
            </w:r>
          </w:p>
        </w:tc>
      </w:tr>
      <w:tr>
        <w:tc>
          <w:tcPr>
            <w:tcW w:type="dxa" w:w="671"/>
            <w:vMerge/>
            <w:tcBorders>
              <w:top w:val="singl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6</w:t>
            </w:r>
            <w:r>
              <w:rPr>
                <w:sz w:val="21"/>
              </w:rPr>
              <w:t>、支持Openapi、deepseek接口，对接自动化运维工具。</w:t>
            </w:r>
          </w:p>
        </w:tc>
      </w:tr>
      <w:tr>
        <w:tc>
          <w:tcPr>
            <w:tcW w:type="dxa" w:w="671"/>
            <w:vMerge/>
            <w:tcBorders>
              <w:top w:val="singl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▲7、支持自动URL路径聚合，对URL路径进行智能聚合操作，能够识别并汇总相同模式下的不同参数值。例如，对于路径格式 /project/&lt;pid&gt;/commit/&lt;ref_name&gt;，系统能够自动聚合同一项目(pid)下的所有提交(ref_name)，实现高效的数据组织与分析。（提供产品功能截图，并加盖投标人公章）</w:t>
            </w:r>
          </w:p>
        </w:tc>
      </w:tr>
      <w:tr>
        <w:tc>
          <w:tcPr>
            <w:tcW w:type="dxa" w:w="671"/>
            <w:vMerge/>
            <w:tcBorders>
              <w:top w:val="singl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▲8、支持基于路径的转发与防护策略配置，可将同域名下不同路径请求转发到后端不同服务器，并可配置不同的防护策略，便于安全管理员精细化管理。（提供产品功能截图，并加盖投标人公章）</w:t>
            </w:r>
          </w:p>
        </w:tc>
      </w:tr>
      <w:tr>
        <w:tc>
          <w:tcPr>
            <w:tcW w:type="dxa" w:w="671"/>
            <w:vMerge/>
            <w:tcBorders>
              <w:top w:val="singl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9</w:t>
            </w:r>
            <w:r>
              <w:rPr>
                <w:sz w:val="21"/>
              </w:rPr>
              <w:t>、支持内置资产发现逻辑，用户能够根据业务需求配置query与body字段，采用预设的高效拆分逻辑。API发现引擎即刻响应这些规则，启动发现任务并在五分钟内完成，确保拆分操作的即时执行，适配快速迭代的业务环境。</w:t>
            </w:r>
          </w:p>
        </w:tc>
      </w:tr>
      <w:tr>
        <w:tc>
          <w:tcPr>
            <w:tcW w:type="dxa" w:w="671"/>
            <w:vMerge/>
            <w:tcBorders>
              <w:top w:val="singl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支持对后端服务器健康状态检测，支持四层和七层健康检查，支持协议至少包含TCP、http和https三种，四层监控检查需要支持配置检查间隔、重试次数、响应超时时间等，七层健康检查需要额外支持配置业务的域名、端口、路径、响应码等。（提供产品功能截图，并加盖投标人公章）</w:t>
            </w:r>
          </w:p>
        </w:tc>
      </w:tr>
      <w:tr>
        <w:tc>
          <w:tcPr>
            <w:tcW w:type="dxa" w:w="671"/>
            <w:vMerge/>
            <w:tcBorders>
              <w:top w:val="singl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11、支持实时可编程解析能力，为高级用户提供基于Lua插件的自定义数据解析方案，支持重新定义内容解析、资产发现和敏感信息检测功能，同时保障用户自定义的解析逻辑能在配置后五分钟内执行完成。（提供产品功能截图，并加盖投标人公章）</w:t>
            </w:r>
          </w:p>
        </w:tc>
      </w:tr>
      <w:tr>
        <w:tc>
          <w:tcPr>
            <w:tcW w:type="dxa" w:w="671"/>
            <w:vMerge/>
            <w:tcBorders>
              <w:top w:val="singl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12、支持对API请求、响应报文进行10层递归解码，可识别多种编码格式如：HTML解码、Unicode解码、十六进制转换、斜杠反转义、二进制解码、UTF-8、Base64等，还原原始API流量中经过多层转义后的敏感数据。（提供产品功能截图，并加盖投标人公章）</w:t>
            </w:r>
          </w:p>
        </w:tc>
      </w:tr>
      <w:tr>
        <w:tc>
          <w:tcPr>
            <w:tcW w:type="dxa" w:w="671"/>
            <w:vMerge/>
            <w:tcBorders>
              <w:top w:val="singl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13</w:t>
            </w:r>
            <w:r>
              <w:rPr>
                <w:sz w:val="21"/>
              </w:rPr>
              <w:t>、支持基于应用系统流量识别API接口业务类型，支持用户自定义识别规则，匹配条件不少于20种，包括但不限于 URI、解码后路径、Query 参数、GET/POST 参数、Method、Host、User Agent、Referrer、Content-Type、用户 IP、Origin、Accept-Language、Authorization、完整 HTTP header、HTTP 请求头、完整 Body、HTTP 状态码、HTTP 响应头及响应内容。</w:t>
            </w:r>
          </w:p>
        </w:tc>
      </w:tr>
      <w:tr>
        <w:tc>
          <w:tcPr>
            <w:tcW w:type="dxa" w:w="671"/>
            <w:vMerge/>
            <w:tcBorders>
              <w:top w:val="singl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14</w:t>
            </w:r>
            <w:r>
              <w:rPr>
                <w:sz w:val="21"/>
              </w:rPr>
              <w:t>、支持用户通过Query、Cookie、Header、Body自定义配置用户身份标识，生效范围可选全局、应用、站点、API。</w:t>
            </w:r>
          </w:p>
        </w:tc>
      </w:tr>
      <w:tr>
        <w:tc>
          <w:tcPr>
            <w:tcW w:type="dxa" w:w="671"/>
            <w:vMerge/>
            <w:tcBorders>
              <w:top w:val="singl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15</w:t>
            </w:r>
            <w:r>
              <w:rPr>
                <w:sz w:val="21"/>
              </w:rPr>
              <w:t>、基于指纹库的组件识别与相应漏洞发现，对接常见漏洞知识库，如护网常见的 OA、ERP 漏洞等。</w:t>
            </w:r>
          </w:p>
        </w:tc>
      </w:tr>
      <w:tr>
        <w:tc>
          <w:tcPr>
            <w:tcW w:type="dxa" w:w="671"/>
            <w:vMerge/>
            <w:tcBorders>
              <w:top w:val="singl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16、支持基于智能语义引擎的检测,基于攻击语言代码的理解，提取同类攻击原理；语义引擎能力包括但不限于SQL注入检测、XSS注入检测、webshelll检测、java反序列化检测、php反序列化检测、java代码注入检测、php代码注入检测、asp代码注入检测、命令注入检测、文件上传检测等。（提供产品功能截图，并加盖投标人公章）</w:t>
            </w:r>
          </w:p>
        </w:tc>
      </w:tr>
      <w:tr>
        <w:tc>
          <w:tcPr>
            <w:tcW w:type="dxa" w:w="671"/>
            <w:vMerge/>
            <w:tcBorders>
              <w:top w:val="singl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▲17、支持流量安全检测能力，具备Web 攻击防护、CC 攻击防护、Bot 防护。（提供产品功能截图，并加盖投标人公章）</w:t>
            </w:r>
          </w:p>
        </w:tc>
      </w:tr>
      <w:tr>
        <w:tc>
          <w:tcPr>
            <w:tcW w:type="dxa" w:w="671"/>
            <w:vMerge/>
            <w:tcBorders>
              <w:top w:val="singl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▲18、检测引擎支持自动区分注入型/非注入型攻击，可自动放行非注入型SQL、XSS等，避免业务请求包含完整SQL语言从而导致大量误报。（提供产品功能截图，并加盖投标人公章）</w:t>
            </w:r>
          </w:p>
        </w:tc>
      </w:tr>
      <w:tr>
        <w:tc>
          <w:tcPr>
            <w:tcW w:type="dxa" w:w="671"/>
            <w:vMerge/>
            <w:tcBorders>
              <w:top w:val="singl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▲19、支持服务器响应信息检测，能够自动识别服务器错误信息包括：列目录、SQL报错、服务器异常信息等。（提供产品功能截图，并加盖投标人公章）</w:t>
            </w:r>
          </w:p>
        </w:tc>
      </w:tr>
      <w:tr>
        <w:tc>
          <w:tcPr>
            <w:tcW w:type="dxa" w:w="671"/>
            <w:vMerge/>
            <w:tcBorders>
              <w:top w:val="singl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20、支持基于自定义条件进行频率控制，限制条件包括但不限于命中防护规则、告警日志等级、告警日志类型等，限制条件可以自由组合。限制对象包括但不限于IP、Session和用户指纹，限制方式包括但不限于有限时间黑名单、无限时间黑名单、有限时间内访问次数限制。支持针对不同的CC规则配置不同拦截状态码和拦截页面，当状态码为3xx时支持设置重定向地址。（提供产品功能截图，并加盖投标人公章）</w:t>
            </w:r>
          </w:p>
        </w:tc>
      </w:tr>
      <w:tr>
        <w:tc>
          <w:tcPr>
            <w:tcW w:type="dxa" w:w="671"/>
            <w:vMerge/>
            <w:tcBorders>
              <w:top w:val="singl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21</w:t>
            </w:r>
            <w:r>
              <w:rPr>
                <w:sz w:val="21"/>
              </w:rPr>
              <w:t>、支持根据业务重要性灵活开启API安全功能。可对核心业务开关API安全功能，对非核心业务关闭API发现功能。</w:t>
            </w:r>
          </w:p>
        </w:tc>
      </w:tr>
      <w:tr>
        <w:tc>
          <w:tcPr>
            <w:tcW w:type="dxa" w:w="671"/>
            <w:vMerge/>
            <w:tcBorders>
              <w:top w:val="singl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22</w:t>
            </w:r>
            <w:r>
              <w:rPr>
                <w:sz w:val="21"/>
              </w:rPr>
              <w:t>、支持用户自定义新增、编辑、删除应用名称，并可编辑业务服务移入逻辑，系统发现的业务服务及API将自动移入到该应用中。</w:t>
            </w:r>
          </w:p>
        </w:tc>
      </w:tr>
      <w:tr>
        <w:tc>
          <w:tcPr>
            <w:tcW w:type="dxa" w:w="671"/>
            <w:vMerge/>
            <w:tcBorders>
              <w:top w:val="singl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23</w:t>
            </w:r>
            <w:r>
              <w:rPr>
                <w:sz w:val="21"/>
              </w:rPr>
              <w:t>、支持丰富的筛选条件，支持按[应用]、[业务服务]、[敏感数据]、[业务属性]、[风险类型]、[模型类型]等条件进行筛选。</w:t>
            </w:r>
          </w:p>
        </w:tc>
      </w:tr>
      <w:tr>
        <w:tc>
          <w:tcPr>
            <w:tcW w:type="dxa" w:w="671"/>
            <w:vMerge/>
            <w:tcBorders>
              <w:top w:val="singl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24</w:t>
            </w:r>
            <w:r>
              <w:rPr>
                <w:sz w:val="21"/>
              </w:rPr>
              <w:t>、支持查询API请求的 “用户调用上下文”、“API 请求上下文”、“数据涉及调用的上下文”，进行API风险综合研判。</w:t>
            </w:r>
          </w:p>
        </w:tc>
      </w:tr>
      <w:tr>
        <w:tc>
          <w:tcPr>
            <w:tcW w:type="dxa" w:w="671"/>
            <w:vMerge/>
            <w:tcBorders>
              <w:top w:val="singl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25</w:t>
            </w:r>
            <w:r>
              <w:rPr>
                <w:sz w:val="21"/>
              </w:rPr>
              <w:t>、日志支持上下文信息的查询，支持深入每条访问日志（包括攻击检测日志等）之中，配备详尽的三维上下文信息，识别同一源头的连续攻击操作或异常的访问模式，为安全事件分析提供深度与广度，进而能有效追踪并分析攻击活动的背景行为。</w:t>
            </w:r>
          </w:p>
        </w:tc>
      </w:tr>
      <w:tr>
        <w:tc>
          <w:tcPr>
            <w:tcW w:type="dxa" w:w="671"/>
            <w:vMerge/>
            <w:tcBorders>
              <w:top w:val="singl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26</w:t>
            </w:r>
            <w:r>
              <w:rPr>
                <w:sz w:val="21"/>
              </w:rPr>
              <w:t>、支持告警日志展示详细记录，包含事件时间、被攻击的服务、URL、Host端口、源IP、源端口、目的IP、目的端口、响应码、检测时长、响应时间、详细HTTP请求头、请求参数、响应头、响应参数等信息。</w:t>
            </w:r>
          </w:p>
        </w:tc>
      </w:tr>
      <w:tr>
        <w:tc>
          <w:tcPr>
            <w:tcW w:type="dxa" w:w="671"/>
            <w:vMerge/>
            <w:tcBorders>
              <w:top w:val="singl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▲27、支持告警日志中自动提取攻击payload，并可自动解码明文展示，帮助安全人员快速定位攻击。（提供产品功能截图，并加盖投标人公章）</w:t>
            </w:r>
          </w:p>
        </w:tc>
      </w:tr>
      <w:tr>
        <w:tc>
          <w:tcPr>
            <w:tcW w:type="dxa" w:w="671"/>
            <w:vMerge/>
            <w:tcBorders>
              <w:top w:val="singl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28</w:t>
            </w:r>
            <w:r>
              <w:rPr>
                <w:sz w:val="21"/>
              </w:rPr>
              <w:t>、支持误报消除功能，可在日志告警界面一键添加例外白名单，自动在后续检测中消除同类型误报，避免人为输入错误。</w:t>
            </w:r>
          </w:p>
        </w:tc>
      </w:tr>
      <w:tr>
        <w:tc>
          <w:tcPr>
            <w:tcW w:type="dxa" w:w="671"/>
            <w:vMerge/>
            <w:tcBorders>
              <w:top w:val="singl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▲29、产品具备软件著作权，提供产品软件著作权证书，并加盖投标人公章。</w:t>
            </w:r>
          </w:p>
        </w:tc>
      </w:tr>
      <w:tr>
        <w:tc>
          <w:tcPr>
            <w:tcW w:type="dxa" w:w="6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标配处理终端</w:t>
            </w: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1.CPU</w:t>
            </w:r>
            <w:r>
              <w:rPr>
                <w:sz w:val="21"/>
              </w:rPr>
              <w:t>处理器:≥12核24线程或更高性能产品</w:t>
            </w:r>
          </w:p>
        </w:tc>
      </w:tr>
      <w:tr>
        <w:tc>
          <w:tcPr>
            <w:tcW w:type="dxa" w:w="671"/>
            <w:vMerge/>
            <w:tcBorders>
              <w:top w:val="non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内存:≥128GB DDR4</w:t>
            </w:r>
          </w:p>
        </w:tc>
      </w:tr>
      <w:tr>
        <w:tc>
          <w:tcPr>
            <w:tcW w:type="dxa" w:w="671"/>
            <w:vMerge/>
            <w:tcBorders>
              <w:top w:val="non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硬盘容量:≥960G 固态度硬盘加8TB 企业盘SATA接口</w:t>
            </w:r>
          </w:p>
        </w:tc>
      </w:tr>
      <w:tr>
        <w:tc>
          <w:tcPr>
            <w:tcW w:type="dxa" w:w="671"/>
            <w:vMerge/>
            <w:tcBorders>
              <w:top w:val="non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r>
              <w:rPr>
                <w:sz w:val="21"/>
              </w:rPr>
              <w:t>网络端口: ≥2个万兆以太网端口+专用管理端口</w:t>
            </w:r>
          </w:p>
        </w:tc>
      </w:tr>
      <w:tr>
        <w:tc>
          <w:tcPr>
            <w:tcW w:type="dxa" w:w="671"/>
            <w:vMerge/>
            <w:tcBorders>
              <w:top w:val="non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r>
              <w:rPr>
                <w:sz w:val="21"/>
              </w:rPr>
              <w:t>插槽 1: PCIe 4.0,X16插槽≥4个</w:t>
            </w:r>
          </w:p>
        </w:tc>
      </w:tr>
      <w:tr>
        <w:tc>
          <w:tcPr>
            <w:tcW w:type="dxa" w:w="671"/>
            <w:vMerge/>
            <w:tcBorders>
              <w:top w:val="non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6.</w:t>
            </w:r>
            <w:r>
              <w:rPr>
                <w:sz w:val="21"/>
              </w:rPr>
              <w:t>插槽 2: PCIe 4.0，X18插槽≥4个</w:t>
            </w:r>
          </w:p>
        </w:tc>
      </w:tr>
      <w:tr>
        <w:tc>
          <w:tcPr>
            <w:tcW w:type="dxa" w:w="671"/>
            <w:vMerge/>
            <w:tcBorders>
              <w:top w:val="non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7.GPU</w:t>
            </w:r>
            <w:r>
              <w:rPr>
                <w:sz w:val="21"/>
              </w:rPr>
              <w:t>核心频率≥16384个CUDA核心; GPU显存容量≥24GB GDDR6显存</w:t>
            </w:r>
          </w:p>
        </w:tc>
      </w:tr>
      <w:tr>
        <w:tc>
          <w:tcPr>
            <w:tcW w:type="dxa" w:w="671"/>
            <w:vMerge/>
            <w:tcBorders>
              <w:top w:val="non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8.IPMI:</w:t>
            </w:r>
            <w:r>
              <w:rPr>
                <w:sz w:val="21"/>
              </w:rPr>
              <w:t>支持智能平台管理接口v.2.0|IPMI2.0远程管理接口，LAN上的虚拟媒体和</w:t>
            </w:r>
          </w:p>
          <w:p>
            <w:pPr>
              <w:pStyle w:val="null3"/>
              <w:jc w:val="both"/>
            </w:pPr>
            <w:r>
              <w:rPr>
                <w:sz w:val="21"/>
              </w:rPr>
              <w:t xml:space="preserve">KVM-over-LAN </w:t>
            </w:r>
            <w:r>
              <w:rPr>
                <w:sz w:val="21"/>
              </w:rPr>
              <w:t>支持| Aspeed AST2600 BMC。</w:t>
            </w:r>
          </w:p>
        </w:tc>
      </w:tr>
      <w:tr>
        <w:tc>
          <w:tcPr>
            <w:tcW w:type="dxa" w:w="671"/>
            <w:vMerge/>
            <w:tcBorders>
              <w:top w:val="non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9.</w:t>
            </w:r>
            <w:r>
              <w:rPr>
                <w:sz w:val="21"/>
              </w:rPr>
              <w:t>电源 : ≥1800W电源 ，模块长条</w:t>
            </w:r>
          </w:p>
        </w:tc>
      </w:tr>
      <w:tr>
        <w:tc>
          <w:tcPr>
            <w:tcW w:type="dxa" w:w="671"/>
            <w:vMerge/>
            <w:tcBorders>
              <w:top w:val="non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r>
              <w:rPr>
                <w:sz w:val="21"/>
              </w:rPr>
              <w:t>交流输入:100-120V，10A，60/50Hz，额定输出功率850W|200-240V，10A,60/50Hz</w:t>
            </w:r>
          </w:p>
          <w:p>
            <w:pPr>
              <w:pStyle w:val="null3"/>
              <w:jc w:val="both"/>
            </w:pPr>
            <w:r>
              <w:rPr>
                <w:sz w:val="21"/>
              </w:rPr>
              <w:t>额定输出功率1800WP</w:t>
            </w:r>
          </w:p>
        </w:tc>
      </w:tr>
      <w:tr>
        <w:tc>
          <w:tcPr>
            <w:tcW w:type="dxa" w:w="6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流量探针</w:t>
            </w: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★1、网络层吞吐量≥4.5Gbps，应用层吞吐量：≥1.5Gbp，内存≥16G，硬盘容量≥480GB SSD，接口不少于6个千兆电口、2个万兆光口SFP+ ，冗余电源。3年硬件质保、软件升级和特征库升级服务。（投标时提交承诺，可参照“投标文件格式”中《承诺函》格式）。</w:t>
            </w:r>
          </w:p>
        </w:tc>
      </w:tr>
      <w:tr>
        <w:tc>
          <w:tcPr>
            <w:tcW w:type="dxa" w:w="671"/>
            <w:vMerge/>
            <w:tcBorders>
              <w:top w:val="non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、旁路部署，支持探针接入多个镜像口，每个接口相互独立且不影响</w:t>
            </w:r>
          </w:p>
        </w:tc>
      </w:tr>
      <w:tr>
        <w:tc>
          <w:tcPr>
            <w:tcW w:type="dxa" w:w="671"/>
            <w:vMerge/>
            <w:tcBorders>
              <w:top w:val="non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支持IP，IP组，服务，访问时间等定义违规访问策略，主动建立针对性的业务和应用访问逻辑规则，针对目标IP（组）已开放的服务，白名单策略只允许白名单里的IP（组）在指定的时间内访问，其他时间或其他IP的访问均被视为违规，黑名单策略禁止黑名单里的IP（组）在指定的时间内访问，否则将被视为违规。</w:t>
            </w:r>
          </w:p>
        </w:tc>
      </w:tr>
      <w:tr>
        <w:tc>
          <w:tcPr>
            <w:tcW w:type="dxa" w:w="671"/>
            <w:vMerge/>
            <w:tcBorders>
              <w:top w:val="non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r>
              <w:rPr>
                <w:sz w:val="21"/>
              </w:rPr>
              <w:t>、支持命令注入检测、PHP代码检测、XSS攻击检测、Webshell上传检测、SQL注入检测、XXE攻击检测、JAVA代码检测、SQL非注入型检测、MYSQL解析增强、php反序列化检测等自定义配置启用，针对命令注入检测、SQL注入检测等类型支持自定义高检出、低误报模式。</w:t>
            </w:r>
          </w:p>
        </w:tc>
      </w:tr>
      <w:tr>
        <w:tc>
          <w:tcPr>
            <w:tcW w:type="dxa" w:w="671"/>
            <w:vMerge/>
            <w:tcBorders>
              <w:top w:val="non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r>
              <w:rPr>
                <w:sz w:val="21"/>
              </w:rPr>
              <w:t>、支持多种类型弱口令策略可选；支持自定义FTP弱口令检测，规则设置如空口令、用户名和密码相同、长度、弱口令列表等；支持口令暴力破解检测不同类型（FTP/WEB登录）的爆破次数。</w:t>
            </w:r>
          </w:p>
        </w:tc>
      </w:tr>
      <w:tr>
        <w:tc>
          <w:tcPr>
            <w:tcW w:type="dxa" w:w="671"/>
            <w:vMerge/>
            <w:tcBorders>
              <w:top w:val="non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6、支持敏感信息检测功能，内置身份证、MD5、手机号码、银行卡号、邮箱等敏感信息，可自定义敏感信息检测策略选择组合的敏感信息，可基于IP统计和连接统计2种方式进行命中次数统计（需提供截图证明并加盖投标人公章）。</w:t>
            </w:r>
          </w:p>
        </w:tc>
      </w:tr>
      <w:tr>
        <w:tc>
          <w:tcPr>
            <w:tcW w:type="dxa" w:w="671"/>
            <w:vMerge/>
            <w:tcBorders>
              <w:top w:val="non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▲7、支持检测出网络中的网络拓扑设备进行绘制，更直观可视化查看网络整体情况（需提供截图证明并加盖投标人公章）。</w:t>
            </w:r>
          </w:p>
        </w:tc>
      </w:tr>
      <w:tr>
        <w:tc>
          <w:tcPr>
            <w:tcW w:type="dxa" w:w="671"/>
            <w:vMerge/>
            <w:tcBorders>
              <w:top w:val="non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▲8、支持基于IP和域名的旁路阻断，能够在实时镜像的流量中发现恶意IP并实现实时阻断，支持24小时/7天/最近30天/永久或者自定义时间阻断威胁（需提供截图证明并加盖投标人公章）。</w:t>
            </w:r>
          </w:p>
        </w:tc>
      </w:tr>
      <w:tr>
        <w:tc>
          <w:tcPr>
            <w:tcW w:type="dxa" w:w="671"/>
            <w:vMerge/>
            <w:tcBorders>
              <w:top w:val="non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9</w:t>
            </w:r>
            <w:r>
              <w:rPr>
                <w:sz w:val="21"/>
              </w:rPr>
              <w:t>、内置URL库、IPS漏洞特征识别库、应用识别库、WEB应用防护识别库、僵尸网络识别库、实时漏洞分析识别库、白名单库</w:t>
            </w:r>
          </w:p>
        </w:tc>
      </w:tr>
      <w:tr>
        <w:tc>
          <w:tcPr>
            <w:tcW w:type="dxa" w:w="671"/>
            <w:vMerge/>
            <w:tcBorders>
              <w:top w:val="non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r>
              <w:rPr>
                <w:sz w:val="21"/>
              </w:rPr>
              <w:t>、提供三权分立的用户管理能力：系统管理员、审计管理员、安全管理员、普通管理员四个角色相互独立；同时支持IP绑定的登录安全设置。普通管理员角色的权限可自定义模块页面的编辑和查看权限。</w:t>
            </w:r>
          </w:p>
        </w:tc>
      </w:tr>
      <w:tr>
        <w:tc>
          <w:tcPr>
            <w:tcW w:type="dxa" w:w="671"/>
            <w:vMerge/>
            <w:tcBorders>
              <w:top w:val="non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★11、探针需支持同时对接医院现有态势感知平台，将数据上传给平台进行分析。（投标时提交承诺，可参照“投标文件格式”中《承诺函》格式）。</w:t>
            </w:r>
          </w:p>
        </w:tc>
      </w:tr>
      <w:tr>
        <w:tc>
          <w:tcPr>
            <w:tcW w:type="dxa" w:w="6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ov</w:t>
            </w:r>
            <w:r>
              <w:rPr>
                <w:sz w:val="21"/>
              </w:rPr>
              <w:t>级SSL证书</w:t>
            </w: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提供》2套ov企业级ssl证书，支持域名或ip地址的https加密</w:t>
            </w:r>
          </w:p>
        </w:tc>
      </w:tr>
      <w:tr>
        <w:tc>
          <w:tcPr>
            <w:tcW w:type="dxa" w:w="671"/>
            <w:vMerge/>
            <w:tcBorders>
              <w:top w:val="non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支持包含网站经营者企业信息</w:t>
            </w:r>
          </w:p>
        </w:tc>
      </w:tr>
      <w:tr>
        <w:tc>
          <w:tcPr>
            <w:tcW w:type="dxa" w:w="671"/>
            <w:vMerge/>
            <w:tcBorders>
              <w:top w:val="non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支持单域名、多域名、通配符等</w:t>
            </w:r>
          </w:p>
        </w:tc>
      </w:tr>
      <w:tr>
        <w:tc>
          <w:tcPr>
            <w:tcW w:type="dxa" w:w="6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网络安全对接联调服务</w:t>
            </w: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、完成流量探针部署，与现有态势感知平台进行对接联调并开展安全分析</w:t>
            </w:r>
          </w:p>
        </w:tc>
      </w:tr>
      <w:tr>
        <w:tc>
          <w:tcPr>
            <w:tcW w:type="dxa" w:w="671"/>
            <w:vMerge/>
            <w:tcBorders>
              <w:top w:val="none" w:color="000000" w:sz="4"/>
              <w:left w:val="single" w:color="000000" w:sz="4"/>
              <w:bottom w:val="single" w:color="000000" w:sz="4"/>
              <w:right w:val="single" w:color="000000" w:sz="4"/>
            </w:tcBorders>
          </w:tcPr>
          <w:p/>
        </w:tc>
        <w:tc>
          <w:tcPr>
            <w:tcW w:type="dxa" w:w="7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、完成API网关设备部署和外网业务系统对接联调</w:t>
            </w:r>
          </w:p>
        </w:tc>
      </w:tr>
    </w:tbl>
    <w:p>
      <w:pPr>
        <w:pStyle w:val="null3"/>
        <w:ind w:firstLine="422"/>
        <w:jc w:val="both"/>
      </w:pPr>
      <w:r>
        <w:rPr>
          <w:sz w:val="21"/>
          <w:b/>
        </w:rPr>
        <w:t>五、   其他要求</w:t>
      </w:r>
    </w:p>
    <w:p>
      <w:pPr>
        <w:pStyle w:val="null3"/>
        <w:ind w:firstLine="420"/>
        <w:jc w:val="both"/>
      </w:pPr>
      <w:r>
        <w:rPr>
          <w:sz w:val="21"/>
        </w:rPr>
        <w:t>★</w:t>
      </w:r>
      <w:r>
        <w:rPr>
          <w:sz w:val="21"/>
        </w:rPr>
        <w:t>1</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w:t>
      </w:r>
      <w:r>
        <w:rPr>
          <w:sz w:val="21"/>
        </w:rPr>
        <w:t>“</w:t>
      </w:r>
      <w:r>
        <w:rPr>
          <w:sz w:val="21"/>
        </w:rPr>
        <w:t>响应文件格式与要求</w:t>
      </w:r>
      <w:r>
        <w:rPr>
          <w:sz w:val="21"/>
        </w:rPr>
        <w:t>”</w:t>
      </w:r>
      <w:r>
        <w:rPr>
          <w:sz w:val="21"/>
        </w:rPr>
        <w:t>中《承诺函》格式）</w:t>
      </w:r>
    </w:p>
    <w:p>
      <w:pPr>
        <w:pStyle w:val="null3"/>
        <w:ind w:firstLine="420"/>
      </w:pPr>
      <w:r>
        <w:rPr>
          <w:sz w:val="21"/>
        </w:rPr>
        <w:t>★</w:t>
      </w:r>
      <w:r>
        <w:rPr>
          <w:sz w:val="21"/>
        </w:rPr>
        <w:t>2</w:t>
      </w:r>
      <w:r>
        <w:rPr>
          <w:sz w:val="21"/>
        </w:rPr>
        <w:t>、本项目不允许分包，如供应商在投标</w:t>
      </w:r>
      <w:r>
        <w:rPr>
          <w:sz w:val="21"/>
        </w:rPr>
        <w:t>/</w:t>
      </w:r>
      <w:r>
        <w:rPr>
          <w:sz w:val="21"/>
        </w:rPr>
        <w:t>响应文件中未出现《分包意向协议书》，则视为未采取分包。</w:t>
      </w:r>
    </w:p>
    <w:p>
      <w:pPr>
        <w:pStyle w:val="null3"/>
        <w:ind w:firstLine="420"/>
        <w:jc w:val="both"/>
      </w:pPr>
      <w:r>
        <w:rPr>
          <w:sz w:val="21"/>
        </w:rPr>
        <w:t>★</w:t>
      </w:r>
      <w:r>
        <w:rPr>
          <w:sz w:val="21"/>
        </w:rPr>
        <w:t>3.</w:t>
      </w:r>
      <w:r>
        <w:rPr>
          <w:sz w:val="21"/>
        </w:rPr>
        <w:t>供应商须承诺所投设备均符合国家强制性要求。（提供承诺，可参照“投标（响应）文件格式”中《承诺函》格式）。</w:t>
      </w:r>
    </w:p>
    <w:p>
      <w:pPr>
        <w:pStyle w:val="null3"/>
        <w:ind w:firstLine="422"/>
        <w:jc w:val="both"/>
      </w:pPr>
      <w:r>
        <w:rPr>
          <w:sz w:val="21"/>
          <w:b/>
        </w:rPr>
        <w:t>六、   团队人员要求（不少于2人）</w:t>
      </w:r>
    </w:p>
    <w:p>
      <w:pPr>
        <w:pStyle w:val="null3"/>
        <w:ind w:firstLine="422"/>
        <w:jc w:val="both"/>
      </w:pPr>
      <w:r>
        <w:rPr>
          <w:sz w:val="21"/>
          <w:b/>
        </w:rPr>
        <w:t>1</w:t>
      </w:r>
      <w:r>
        <w:rPr>
          <w:sz w:val="21"/>
          <w:b/>
        </w:rPr>
        <w:t>、项目负责人（1人，不可兼任），具有网络规划设计师证书（计算机技术与软件专业技术资格），系统规划与管理师证书（计算机技术与软件专业技术资格）。</w:t>
      </w:r>
    </w:p>
    <w:p>
      <w:pPr>
        <w:pStyle w:val="null3"/>
        <w:ind w:firstLine="422"/>
        <w:jc w:val="both"/>
      </w:pPr>
      <w:r>
        <w:rPr>
          <w:sz w:val="21"/>
          <w:b/>
        </w:rPr>
        <w:t>2</w:t>
      </w:r>
      <w:r>
        <w:rPr>
          <w:sz w:val="21"/>
          <w:b/>
        </w:rPr>
        <w:t>、技术负责人（1人，不可兼任），具有网络规划设计师证书（计算机技术与软件专业技术资格），信息安全工程师证书（计算机技术与软件专业技术资格）。</w:t>
      </w:r>
    </w:p>
    <w:p>
      <w:pPr>
        <w:pStyle w:val="null3"/>
        <w:ind w:firstLine="422"/>
        <w:jc w:val="both"/>
      </w:pPr>
      <w:r>
        <w:rPr>
          <w:sz w:val="21"/>
          <w:b/>
        </w:rPr>
        <w:t>七、   服务要求</w:t>
      </w:r>
    </w:p>
    <w:p>
      <w:pPr>
        <w:pStyle w:val="null3"/>
        <w:ind w:firstLine="420"/>
        <w:jc w:val="both"/>
      </w:pPr>
      <w:r>
        <w:rPr>
          <w:sz w:val="21"/>
        </w:rPr>
        <w:t>1</w:t>
      </w:r>
      <w:r>
        <w:rPr>
          <w:sz w:val="21"/>
        </w:rPr>
        <w:t>、中标人应按照合同要求期限内安排人员到采购人指定地点配合工作。如驻场人员能力达不到采购人要求，采购人有权要求更换项目驻场人员。</w:t>
      </w:r>
    </w:p>
    <w:p>
      <w:pPr>
        <w:pStyle w:val="null3"/>
        <w:ind w:firstLine="420"/>
        <w:jc w:val="both"/>
      </w:pPr>
      <w:r>
        <w:rPr>
          <w:sz w:val="21"/>
        </w:rPr>
        <w:t>2</w:t>
      </w:r>
      <w:r>
        <w:rPr>
          <w:sz w:val="21"/>
        </w:rPr>
        <w:t>、中标人按采购人提供的合同执行进度计划，再配合采购人及有关单位，以此做好合同执行进度上的配合工作。</w:t>
      </w:r>
    </w:p>
    <w:p>
      <w:pPr>
        <w:pStyle w:val="null3"/>
        <w:ind w:firstLine="420"/>
        <w:jc w:val="both"/>
      </w:pPr>
      <w:r>
        <w:rPr>
          <w:sz w:val="21"/>
        </w:rPr>
        <w:t>3</w:t>
      </w:r>
      <w:r>
        <w:rPr>
          <w:sz w:val="21"/>
        </w:rPr>
        <w:t>、在项目的建设和实施过程中，中标人应遵守采购人《广东医科大学附属医院信息化项目管理实施条例》内相关制度的考核，如有监理单位，则要接受采购人指定的监理单位的监督和考核。</w:t>
      </w:r>
    </w:p>
    <w:p>
      <w:pPr>
        <w:pStyle w:val="null3"/>
        <w:ind w:firstLine="420"/>
        <w:jc w:val="both"/>
      </w:pPr>
      <w:r>
        <w:rPr>
          <w:sz w:val="21"/>
        </w:rPr>
        <w:t>4</w:t>
      </w:r>
      <w:r>
        <w:rPr>
          <w:sz w:val="21"/>
        </w:rPr>
        <w:t>、中标人在货物开箱检验阶段必须派遣对货物熟悉的人员主导开箱检验工作，确保设备开箱检验的通过率。</w:t>
      </w:r>
    </w:p>
    <w:p>
      <w:pPr>
        <w:pStyle w:val="null3"/>
        <w:ind w:firstLine="420"/>
        <w:jc w:val="both"/>
      </w:pPr>
      <w:r>
        <w:rPr>
          <w:sz w:val="21"/>
        </w:rPr>
        <w:t>5</w:t>
      </w:r>
      <w:r>
        <w:rPr>
          <w:sz w:val="21"/>
        </w:rPr>
        <w:t>、中标人在项目实施阶段需要提供与投标文件相同资质和经验的项目人员，如项目人员有调整，需要提出书面的人员变更申请，并经过采购人和监理方（如有）同意后才能更换，且保证更换的人员资质和经验大于或等于原投标文件的要求。</w:t>
      </w:r>
    </w:p>
    <w:p>
      <w:pPr>
        <w:pStyle w:val="null3"/>
        <w:ind w:firstLine="420"/>
        <w:jc w:val="both"/>
      </w:pPr>
      <w:r>
        <w:rPr>
          <w:sz w:val="21"/>
        </w:rPr>
        <w:t>6</w:t>
      </w:r>
      <w:r>
        <w:rPr>
          <w:sz w:val="21"/>
        </w:rPr>
        <w:t>、供应商应建立服务质量管理体系，包括但不限于实施进度安排、质量目标、质量控制措施、岗位责任、问题处理计划、质量评价、整改完善、后期服务等内容，确保项目高质量完成。</w:t>
      </w:r>
    </w:p>
    <w:p>
      <w:pPr>
        <w:pStyle w:val="null3"/>
        <w:ind w:firstLine="420"/>
        <w:jc w:val="both"/>
      </w:pPr>
      <w:r>
        <w:rPr>
          <w:sz w:val="21"/>
        </w:rPr>
        <w:t>7</w:t>
      </w:r>
      <w:r>
        <w:rPr>
          <w:sz w:val="21"/>
        </w:rPr>
        <w:t>、供应商需网络安全对接联调服务，系统对接前做好网络规划准备，并遵照相关安全规范开展系统安全分析，并承诺做到系统正常对接。</w:t>
      </w:r>
    </w:p>
    <w:p>
      <w:pPr>
        <w:pStyle w:val="null3"/>
        <w:ind w:firstLine="422"/>
        <w:jc w:val="both"/>
      </w:pPr>
      <w:r>
        <w:rPr>
          <w:sz w:val="21"/>
          <w:b/>
        </w:rPr>
        <w:t>八、送货\项目实施要求</w:t>
      </w:r>
    </w:p>
    <w:p>
      <w:pPr>
        <w:pStyle w:val="null3"/>
        <w:ind w:firstLine="420"/>
        <w:jc w:val="both"/>
      </w:pPr>
      <w:r>
        <w:rPr>
          <w:sz w:val="21"/>
        </w:rPr>
        <w:t>1</w:t>
      </w:r>
      <w:r>
        <w:rPr>
          <w:sz w:val="21"/>
        </w:rPr>
        <w:t>、中标人所提供的货物、设备、软件、服务及配套配件，必须符合国家有关规范和采购人的技术要求，并提供货物的厂试测验报告（保修卡、合格证、出厂检验报告等质量相关证明文件）。</w:t>
      </w:r>
    </w:p>
    <w:p>
      <w:pPr>
        <w:pStyle w:val="null3"/>
        <w:ind w:firstLine="420"/>
        <w:jc w:val="both"/>
      </w:pPr>
      <w:r>
        <w:rPr>
          <w:sz w:val="21"/>
        </w:rPr>
        <w:t>2</w:t>
      </w:r>
      <w:r>
        <w:rPr>
          <w:sz w:val="21"/>
        </w:rPr>
        <w:t>、中标人提供的货物、设备、服务要能与医院的原有的设备或系统良好的兼容，并且不能影响医院原有的设备或系统的性能。</w:t>
      </w:r>
    </w:p>
    <w:p>
      <w:pPr>
        <w:pStyle w:val="null3"/>
        <w:ind w:firstLine="420"/>
        <w:jc w:val="both"/>
      </w:pPr>
      <w:r>
        <w:rPr>
          <w:sz w:val="21"/>
        </w:rPr>
        <w:t>3</w:t>
      </w:r>
      <w:r>
        <w:rPr>
          <w:sz w:val="21"/>
        </w:rPr>
        <w:t>、供应商需完成所有货物(设备和系统软件)的集成调试及部署工作，确保流量检测、策略拦截、数据对接等功能正常运行。</w:t>
      </w:r>
    </w:p>
    <w:p>
      <w:pPr>
        <w:pStyle w:val="null3"/>
        <w:ind w:firstLine="420"/>
        <w:jc w:val="both"/>
      </w:pPr>
      <w:r>
        <w:rPr>
          <w:sz w:val="21"/>
        </w:rPr>
        <w:t>4</w:t>
      </w:r>
      <w:r>
        <w:rPr>
          <w:sz w:val="21"/>
        </w:rPr>
        <w:t>、所有货物(设备和系统软件)集成调试完毕，运行正常后，供应商需提供培训服务，培训及指导甲方使用人员、维护及维修人员，包括不限于日常使用与管理、常见故障的排除等内容。</w:t>
      </w:r>
    </w:p>
    <w:p>
      <w:pPr>
        <w:pStyle w:val="null3"/>
        <w:ind w:firstLine="422"/>
        <w:jc w:val="both"/>
      </w:pPr>
      <w:r>
        <w:rPr>
          <w:sz w:val="21"/>
          <w:b/>
        </w:rPr>
        <w:t>九、安装验收要求</w:t>
      </w:r>
    </w:p>
    <w:p>
      <w:pPr>
        <w:pStyle w:val="null3"/>
        <w:ind w:firstLine="420"/>
        <w:jc w:val="both"/>
      </w:pPr>
      <w:r>
        <w:rPr>
          <w:sz w:val="21"/>
        </w:rPr>
        <w:t>1</w:t>
      </w:r>
      <w:r>
        <w:rPr>
          <w:sz w:val="21"/>
        </w:rPr>
        <w:t>、货物的包装</w:t>
      </w:r>
    </w:p>
    <w:p>
      <w:pPr>
        <w:pStyle w:val="null3"/>
        <w:ind w:firstLine="420"/>
        <w:jc w:val="both"/>
      </w:pPr>
      <w:r>
        <w:rPr>
          <w:sz w:val="21"/>
        </w:rPr>
        <w:t>货物的包装均应有良好的防湿、防锈、防潮、防雨、防腐及防碰撞的措施。凡由于包装不良造成的损失和由此产生的费用均由中标人承担。</w:t>
      </w:r>
    </w:p>
    <w:p>
      <w:pPr>
        <w:pStyle w:val="null3"/>
        <w:ind w:firstLine="420"/>
        <w:jc w:val="both"/>
      </w:pPr>
      <w:r>
        <w:rPr>
          <w:sz w:val="21"/>
        </w:rPr>
        <w:t>2</w:t>
      </w:r>
      <w:r>
        <w:rPr>
          <w:sz w:val="21"/>
        </w:rPr>
        <w:t>、货物的交货</w:t>
      </w:r>
    </w:p>
    <w:p>
      <w:pPr>
        <w:pStyle w:val="null3"/>
        <w:ind w:firstLine="420"/>
        <w:jc w:val="both"/>
      </w:pPr>
      <w:r>
        <w:rPr>
          <w:sz w:val="21"/>
        </w:rPr>
        <w:t>2.1</w:t>
      </w:r>
      <w:r>
        <w:rPr>
          <w:sz w:val="21"/>
        </w:rPr>
        <w:t>、项目工期：</w:t>
      </w:r>
    </w:p>
    <w:p>
      <w:pPr>
        <w:pStyle w:val="null3"/>
        <w:ind w:firstLine="420"/>
        <w:jc w:val="both"/>
      </w:pPr>
      <w:r>
        <w:rPr>
          <w:sz w:val="21"/>
        </w:rPr>
        <w:t>合同签订后25个工作日内，中标人按照采购人及监理方（如有）要求办理完开工手续（即：审批通过《开工申请单》及《实施方案》），并于开工手续办理完5个工作日内安排人员进场实施。合同签订后的  60  个工作日内完成项目的调研、设计（如有）、开箱检验、安装、测试，直至能正常运行。</w:t>
      </w:r>
    </w:p>
    <w:p>
      <w:pPr>
        <w:pStyle w:val="null3"/>
        <w:ind w:firstLine="420"/>
        <w:jc w:val="both"/>
      </w:pPr>
      <w:r>
        <w:rPr>
          <w:sz w:val="21"/>
        </w:rPr>
        <w:t>2.2</w:t>
      </w:r>
      <w:r>
        <w:rPr>
          <w:sz w:val="21"/>
        </w:rPr>
        <w:t>、中标人交货地点：运输、卸车并安装至采购人所在地内的指定地点。</w:t>
      </w:r>
    </w:p>
    <w:p>
      <w:pPr>
        <w:pStyle w:val="null3"/>
        <w:ind w:firstLine="420"/>
        <w:jc w:val="both"/>
      </w:pPr>
      <w:r>
        <w:rPr>
          <w:sz w:val="21"/>
        </w:rPr>
        <w:t>3</w:t>
      </w:r>
      <w:r>
        <w:rPr>
          <w:sz w:val="21"/>
        </w:rPr>
        <w:t>、货物的安装</w:t>
      </w:r>
    </w:p>
    <w:p>
      <w:pPr>
        <w:pStyle w:val="null3"/>
        <w:ind w:firstLine="420"/>
        <w:jc w:val="both"/>
      </w:pPr>
      <w:r>
        <w:rPr>
          <w:sz w:val="21"/>
        </w:rPr>
        <w:t>3.1</w:t>
      </w:r>
      <w:r>
        <w:rPr>
          <w:sz w:val="21"/>
        </w:rPr>
        <w:t>、中标人负责合同项下标的安装、调试等，一切费用由中标人负责。</w:t>
      </w:r>
    </w:p>
    <w:p>
      <w:pPr>
        <w:pStyle w:val="null3"/>
        <w:ind w:firstLine="420"/>
        <w:jc w:val="both"/>
      </w:pPr>
      <w:r>
        <w:rPr>
          <w:sz w:val="21"/>
        </w:rPr>
        <w:t>3.2</w:t>
      </w:r>
      <w:r>
        <w:rPr>
          <w:sz w:val="21"/>
        </w:rPr>
        <w:t>、中标人安装时须对各安装场地内的其他设备、设施有良好保护措施。</w:t>
      </w:r>
    </w:p>
    <w:p>
      <w:pPr>
        <w:pStyle w:val="null3"/>
        <w:ind w:firstLine="422"/>
        <w:jc w:val="both"/>
      </w:pPr>
      <w:r>
        <w:rPr>
          <w:sz w:val="21"/>
          <w:b/>
        </w:rPr>
        <w:t>4</w:t>
      </w:r>
      <w:r>
        <w:rPr>
          <w:sz w:val="21"/>
          <w:b/>
        </w:rPr>
        <w:t>、验收</w:t>
      </w:r>
    </w:p>
    <w:p>
      <w:pPr>
        <w:pStyle w:val="null3"/>
        <w:ind w:firstLine="420"/>
        <w:jc w:val="both"/>
      </w:pPr>
      <w:r>
        <w:rPr>
          <w:sz w:val="21"/>
        </w:rPr>
        <w:t>4.1</w:t>
      </w:r>
      <w:r>
        <w:rPr>
          <w:sz w:val="21"/>
        </w:rPr>
        <w:t>、合同货物、设备、软件、服务及配套设备安装完成且采购人试用其性能达标，并稳定运行  60  天后组织项目验收，验收应在甲、乙、监理（如有）方共同参加下进行。</w:t>
      </w:r>
    </w:p>
    <w:p>
      <w:pPr>
        <w:pStyle w:val="null3"/>
        <w:ind w:firstLine="420"/>
        <w:jc w:val="both"/>
      </w:pPr>
      <w:r>
        <w:rPr>
          <w:sz w:val="21"/>
        </w:rPr>
        <w:t>4.2</w:t>
      </w:r>
      <w:r>
        <w:rPr>
          <w:sz w:val="21"/>
        </w:rPr>
        <w:t>、中标人在验收时须向采购人提供与本合同项下货物、设备、软件、服务及配套设备相符且完整的技术资料，技术资料包括但不限于：</w:t>
      </w:r>
      <w:r>
        <w:rPr>
          <w:sz w:val="21"/>
        </w:rPr>
        <w:t>①</w:t>
      </w:r>
      <w:r>
        <w:rPr>
          <w:sz w:val="21"/>
        </w:rPr>
        <w:t>贰套中文使用说明书；</w:t>
      </w:r>
      <w:r>
        <w:rPr>
          <w:sz w:val="21"/>
        </w:rPr>
        <w:t>②</w:t>
      </w:r>
      <w:r>
        <w:rPr>
          <w:sz w:val="21"/>
        </w:rPr>
        <w:t>出厂合格证或出厂检测报告；</w:t>
      </w:r>
      <w:r>
        <w:rPr>
          <w:sz w:val="21"/>
        </w:rPr>
        <w:t>③</w:t>
      </w:r>
      <w:r>
        <w:rPr>
          <w:sz w:val="21"/>
        </w:rPr>
        <w:t>安装调试报告；</w:t>
      </w:r>
      <w:r>
        <w:rPr>
          <w:sz w:val="21"/>
        </w:rPr>
        <w:t>④</w:t>
      </w:r>
      <w:r>
        <w:rPr>
          <w:sz w:val="21"/>
        </w:rPr>
        <w:t>人员培训报告；</w:t>
      </w:r>
      <w:r>
        <w:rPr>
          <w:sz w:val="21"/>
        </w:rPr>
        <w:t>⑤</w:t>
      </w:r>
      <w:r>
        <w:rPr>
          <w:sz w:val="21"/>
        </w:rPr>
        <w:t>进口货物、设备还需要提供进口货物报关单、入境货物检验检疫证明；⑥项目实施过程文档等。</w:t>
      </w:r>
    </w:p>
    <w:p>
      <w:pPr>
        <w:pStyle w:val="null3"/>
        <w:ind w:firstLine="420"/>
        <w:jc w:val="both"/>
      </w:pPr>
      <w:r>
        <w:rPr>
          <w:sz w:val="21"/>
        </w:rPr>
        <w:t>如果中标人提供的技术资料不齐全，采购人有权拒绝接受货物、设备、软件、服务及配套设备，中标人须承担由此产生的一切经济损失。</w:t>
      </w:r>
    </w:p>
    <w:p>
      <w:pPr>
        <w:pStyle w:val="null3"/>
        <w:ind w:firstLine="420"/>
        <w:jc w:val="both"/>
      </w:pPr>
      <w:r>
        <w:rPr>
          <w:sz w:val="21"/>
        </w:rPr>
        <w:t>4.3</w:t>
      </w:r>
      <w:r>
        <w:rPr>
          <w:sz w:val="21"/>
        </w:rPr>
        <w:t>、验收标准：</w:t>
      </w:r>
    </w:p>
    <w:p>
      <w:pPr>
        <w:pStyle w:val="null3"/>
        <w:ind w:firstLine="420"/>
        <w:jc w:val="both"/>
      </w:pPr>
      <w:r>
        <w:rPr>
          <w:sz w:val="21"/>
        </w:rPr>
        <w:t>按合同的有关规定。</w:t>
      </w:r>
    </w:p>
    <w:p>
      <w:pPr>
        <w:pStyle w:val="null3"/>
        <w:ind w:firstLine="420"/>
        <w:jc w:val="both"/>
      </w:pPr>
      <w:r>
        <w:rPr>
          <w:sz w:val="21"/>
        </w:rPr>
        <w:t>4.4</w:t>
      </w:r>
      <w:r>
        <w:rPr>
          <w:sz w:val="21"/>
        </w:rPr>
        <w:t>、验收按国家有关的规定、规范进行。合同货物、设备、软件、服务及配套设备全部通过开箱验收；合同货物、设备、软件、服务及配套设备全部安装调试部署完成，并稳定运行  60  天后，经甲、乙、监理方（如有）共同确认并出具《项目验收报告》，视为验收合格。</w:t>
      </w:r>
    </w:p>
    <w:p>
      <w:pPr>
        <w:pStyle w:val="null3"/>
        <w:ind w:firstLine="420"/>
        <w:jc w:val="both"/>
      </w:pPr>
      <w:r>
        <w:rPr>
          <w:sz w:val="21"/>
        </w:rPr>
        <w:t>4.5</w:t>
      </w:r>
      <w:r>
        <w:rPr>
          <w:sz w:val="21"/>
        </w:rPr>
        <w:t>、采购人、监理方（如有）在验收中如发现货物、设备、软件、服务及配套设备不符合合同的约定，有权拒收货物、设备、软件、服务及配套设备，并签发拒绝收货通知书。如果采购人、监理方（如有）同意更换的，中标人应于收到拒绝收货通知书之日起按国产货物7个工作日内、进口货物15个工作日内的期限重新提供符合合同约定的货物、设备，否则，视为中标人逾期交货。</w:t>
      </w:r>
    </w:p>
    <w:p>
      <w:pPr>
        <w:pStyle w:val="null3"/>
        <w:ind w:firstLine="420"/>
        <w:jc w:val="both"/>
      </w:pPr>
      <w:r>
        <w:rPr>
          <w:sz w:val="21"/>
        </w:rPr>
        <w:t>4.6</w:t>
      </w:r>
      <w:r>
        <w:rPr>
          <w:sz w:val="21"/>
        </w:rPr>
        <w:t>、验收时如发现所交付的货物、设备、软件、服务及配套设备有短装、次品、损坏或其它不符合本合同规定之情形者，采购人、监理方（如有）应作出详尽的现场记录，或由甲、乙、、监理方（如有）三方签署备忘录。此现场记录或备忘录可用作补充、缺失和更换损坏部件的有效证据。由此产生的有关费用由中标人承担。</w:t>
      </w:r>
    </w:p>
    <w:p>
      <w:pPr>
        <w:pStyle w:val="null3"/>
        <w:ind w:firstLine="420"/>
        <w:jc w:val="both"/>
      </w:pPr>
      <w:r>
        <w:rPr>
          <w:sz w:val="21"/>
        </w:rPr>
        <w:t>4.7</w:t>
      </w:r>
      <w:r>
        <w:rPr>
          <w:sz w:val="21"/>
        </w:rPr>
        <w:t>、如果合同标的在运输和安装过程中因事故造成货物、设备、软件、服务及配套设备短缺、损坏，中标人应及时安排换装，以保证合同货物、设备的安装能按合同约定的期限成功完成。换货的相关费用由中标人承担。</w:t>
      </w:r>
    </w:p>
    <w:p>
      <w:pPr>
        <w:pStyle w:val="null3"/>
        <w:ind w:firstLine="420"/>
        <w:jc w:val="both"/>
      </w:pPr>
      <w:r>
        <w:rPr>
          <w:sz w:val="21"/>
        </w:rPr>
        <w:t>★4.8.</w:t>
      </w:r>
      <w:r>
        <w:rPr>
          <w:sz w:val="21"/>
        </w:rPr>
        <w:t>凡属于中国强制性产品认证目录（CCC目录）的产品，供货时必须提供相关证书复印件或自我声明的有效材料（供货时提供在[http://cx.cnca.cn/查询的产品的证书编号及查询结果截图](http://cx.cnca.cn/查询的产品的证书编号及查询结果截图)）。（投标时提供承诺，可参照“投标（响应）文件格式”中《承诺函》格式）。</w:t>
      </w:r>
    </w:p>
    <w:p>
      <w:pPr>
        <w:pStyle w:val="null3"/>
        <w:ind w:firstLine="420"/>
        <w:jc w:val="both"/>
      </w:pPr>
      <w:r>
        <w:rPr>
          <w:sz w:val="21"/>
        </w:rPr>
        <w:t>5</w:t>
      </w:r>
      <w:r>
        <w:rPr>
          <w:sz w:val="21"/>
        </w:rPr>
        <w:t>、中标人保证合同项下提供的货物、设备、软件、服务及配套设备不侵犯任何第三方的专利、商标或版权。否则，中标人须承担对第三方的专利或版权的侵权责任并承担采购人因此而发生的所有费用。</w:t>
      </w:r>
    </w:p>
    <w:p>
      <w:pPr>
        <w:pStyle w:val="null3"/>
        <w:ind w:firstLine="420"/>
        <w:jc w:val="both"/>
      </w:pPr>
      <w:r>
        <w:rPr>
          <w:sz w:val="21"/>
        </w:rPr>
        <w:t>6</w:t>
      </w:r>
      <w:r>
        <w:rPr>
          <w:sz w:val="21"/>
        </w:rPr>
        <w:t>、中标人应就交付的货物、设备、软件、服务及配套设备，保证采购人免受任何第三方主张任何权利（第三方主张的权利包括但不仅限于：对合同标的物主张所有权或知识产权等）。</w:t>
      </w:r>
    </w:p>
    <w:p>
      <w:pPr>
        <w:pStyle w:val="null3"/>
        <w:ind w:firstLine="420"/>
        <w:jc w:val="both"/>
      </w:pPr>
      <w:r>
        <w:rPr>
          <w:sz w:val="21"/>
        </w:rPr>
        <w:t>6.1</w:t>
      </w:r>
      <w:r>
        <w:rPr>
          <w:sz w:val="21"/>
        </w:rPr>
        <w:t>、若有第三方对合同标的物主张上述权利的侵权损害赔偿请求，采购人有权解除合同，并追究中标人违约责任。</w:t>
      </w:r>
    </w:p>
    <w:p>
      <w:pPr>
        <w:pStyle w:val="null3"/>
        <w:ind w:firstLine="420"/>
        <w:jc w:val="both"/>
      </w:pPr>
      <w:r>
        <w:rPr>
          <w:sz w:val="21"/>
        </w:rPr>
        <w:t>6.2</w:t>
      </w:r>
      <w:r>
        <w:rPr>
          <w:sz w:val="21"/>
        </w:rPr>
        <w:t>、在合同履行过程中，采购人有确切证据证明第三方可能就合同标的物主张上述权利的，采购人有权中止支付相应的价款，如采购人已支付部分价款，则有权要求中标人返还已收取的价款；但中标人提供适当担保的除外。</w:t>
      </w:r>
    </w:p>
    <w:p>
      <w:pPr>
        <w:pStyle w:val="null3"/>
        <w:ind w:firstLine="420"/>
        <w:jc w:val="both"/>
      </w:pPr>
      <w:r>
        <w:rPr>
          <w:sz w:val="21"/>
        </w:rPr>
        <w:t>6.3</w:t>
      </w:r>
      <w:r>
        <w:rPr>
          <w:sz w:val="21"/>
        </w:rPr>
        <w:t>、因第三方就合同标的对采购人主张权利而发生的纠纷，中标人应承担相应的法律责任和诉讼费用、律师费用、其他为解除纠纷而发生的费用以及由此给采购人造成的一切经济损失。</w:t>
      </w:r>
    </w:p>
    <w:p>
      <w:pPr>
        <w:pStyle w:val="null3"/>
        <w:ind w:firstLine="420"/>
        <w:jc w:val="both"/>
      </w:pPr>
      <w:r>
        <w:rPr>
          <w:sz w:val="21"/>
        </w:rPr>
        <w:t>7</w:t>
      </w:r>
      <w:r>
        <w:rPr>
          <w:sz w:val="21"/>
        </w:rPr>
        <w:t>、风险承担</w:t>
      </w:r>
    </w:p>
    <w:p>
      <w:pPr>
        <w:pStyle w:val="null3"/>
        <w:ind w:firstLine="420"/>
        <w:jc w:val="both"/>
      </w:pPr>
      <w:r>
        <w:rPr>
          <w:sz w:val="21"/>
        </w:rPr>
        <w:t>7.1</w:t>
      </w:r>
      <w:r>
        <w:rPr>
          <w:sz w:val="21"/>
        </w:rPr>
        <w:t>、货物、设备、软件、服务及配套设备毁损、灭失的风险，在货物、设备、软件、服务及配套设备经采购人验收合格以前由中标人承担，在货物、设备、软件、服务及配套设备经采购人验收合格以后由采购人承担。</w:t>
      </w:r>
    </w:p>
    <w:p>
      <w:pPr>
        <w:pStyle w:val="null3"/>
        <w:ind w:firstLine="420"/>
        <w:jc w:val="both"/>
      </w:pPr>
      <w:r>
        <w:rPr>
          <w:sz w:val="21"/>
        </w:rPr>
        <w:t>7.2</w:t>
      </w:r>
      <w:r>
        <w:rPr>
          <w:sz w:val="21"/>
        </w:rPr>
        <w:t>、采购人因货物、设备、软件、服务及配套设备质量不符合约定的质量要求而拒绝接受货物或解除合同的，货物、设备毁损、灭失的风险由中标人承担。</w:t>
      </w:r>
    </w:p>
    <w:p>
      <w:pPr>
        <w:pStyle w:val="null3"/>
        <w:ind w:firstLine="420"/>
        <w:jc w:val="both"/>
      </w:pPr>
      <w:r>
        <w:rPr>
          <w:sz w:val="21"/>
        </w:rPr>
        <w:t>7.3</w:t>
      </w:r>
      <w:r>
        <w:rPr>
          <w:sz w:val="21"/>
        </w:rPr>
        <w:t>、货物、设备、软件、服务及配套设备毁损、灭失的风险由采购人承担的，不影响因中标人履行其他合同义务不符合约定的，采购人要求其承担违约责任的权利。</w:t>
      </w:r>
    </w:p>
    <w:p>
      <w:pPr>
        <w:pStyle w:val="null3"/>
        <w:ind w:firstLine="420"/>
        <w:jc w:val="both"/>
      </w:pPr>
      <w:r>
        <w:rPr>
          <w:sz w:val="21"/>
        </w:rPr>
        <w:t>7.4</w:t>
      </w:r>
      <w:r>
        <w:rPr>
          <w:sz w:val="21"/>
        </w:rPr>
        <w:t>、由中标人承担货物、设备、软件、服务及配套设备毁损、灭失风险的，如货物、设备、软件、服务及配套设备毁损或灭失的，中标人应按国产货物7个工作日内、进口货物15个工作日内的期限重新提供符合合同规定的货物、设备、软件、服务及配套设备，否则，视为中标人逾期交货。</w:t>
      </w:r>
    </w:p>
    <w:p>
      <w:pPr>
        <w:pStyle w:val="null3"/>
        <w:ind w:firstLine="420"/>
        <w:jc w:val="both"/>
      </w:pPr>
      <w:r>
        <w:rPr>
          <w:sz w:val="21"/>
        </w:rPr>
        <w:t>7.5</w:t>
      </w:r>
      <w:r>
        <w:rPr>
          <w:sz w:val="21"/>
        </w:rPr>
        <w:t>、由采购人承担货物、设备、软件、服务及配套设备毁损、灭失风险的，则采购人不能免除给付货款的义务</w:t>
      </w:r>
    </w:p>
    <w:p>
      <w:pPr>
        <w:pStyle w:val="null3"/>
        <w:ind w:firstLine="422"/>
        <w:jc w:val="both"/>
      </w:pPr>
      <w:r>
        <w:rPr>
          <w:sz w:val="21"/>
          <w:b/>
        </w:rPr>
        <w:t>十、   供货期</w:t>
      </w:r>
    </w:p>
    <w:p>
      <w:pPr>
        <w:pStyle w:val="null3"/>
        <w:ind w:firstLine="420"/>
        <w:jc w:val="both"/>
      </w:pPr>
      <w:r>
        <w:rPr>
          <w:sz w:val="21"/>
        </w:rPr>
        <w:t>签订合同后30天内到货。</w:t>
      </w:r>
    </w:p>
    <w:p>
      <w:pPr>
        <w:pStyle w:val="null3"/>
        <w:ind w:firstLine="422"/>
        <w:jc w:val="both"/>
      </w:pPr>
      <w:r>
        <w:rPr>
          <w:sz w:val="21"/>
          <w:b/>
        </w:rPr>
        <w:t>十一、 保修期（维保期）</w:t>
      </w:r>
    </w:p>
    <w:p>
      <w:pPr>
        <w:pStyle w:val="null3"/>
        <w:ind w:firstLine="420"/>
        <w:jc w:val="both"/>
      </w:pPr>
      <w:r>
        <w:rPr>
          <w:sz w:val="21"/>
        </w:rPr>
        <w:t>验收后3年维保。</w:t>
      </w:r>
    </w:p>
    <w:p>
      <w:pPr>
        <w:pStyle w:val="null3"/>
        <w:ind w:firstLine="422"/>
        <w:jc w:val="both"/>
      </w:pPr>
      <w:r>
        <w:rPr>
          <w:sz w:val="21"/>
          <w:b/>
        </w:rPr>
        <w:t>十二、 付款方式</w:t>
      </w:r>
    </w:p>
    <w:p>
      <w:pPr>
        <w:pStyle w:val="null3"/>
        <w:ind w:firstLine="420"/>
        <w:jc w:val="both"/>
      </w:pPr>
      <w:r>
        <w:rPr>
          <w:sz w:val="21"/>
        </w:rPr>
        <w:t>1.</w:t>
      </w:r>
      <w:r>
        <w:rPr>
          <w:sz w:val="21"/>
        </w:rPr>
        <w:t>支付比例30%,签订合同且收到发票后10个工作日内，采购人向中标人支付合同总额的30%，中标人应办理完开工手续，安排实施人员进场，出具《设备开箱检验单》。</w:t>
      </w:r>
    </w:p>
    <w:p>
      <w:pPr>
        <w:pStyle w:val="null3"/>
        <w:ind w:firstLine="420"/>
        <w:jc w:val="both"/>
      </w:pPr>
      <w:r>
        <w:rPr>
          <w:sz w:val="21"/>
        </w:rPr>
        <w:t>2.</w:t>
      </w:r>
      <w:r>
        <w:rPr>
          <w:sz w:val="21"/>
        </w:rPr>
        <w:t>支付比例20%,项目所有货物、软硬件设备安装调试部署完成，经采购人、中标人、监理（如有）三方确认，采购人在收到发票后10个工作日内向中标人支付合同总额的20%。</w:t>
      </w:r>
    </w:p>
    <w:p>
      <w:pPr>
        <w:pStyle w:val="null3"/>
        <w:ind w:firstLine="420"/>
        <w:jc w:val="both"/>
      </w:pPr>
      <w:r>
        <w:rPr>
          <w:sz w:val="21"/>
        </w:rPr>
        <w:t>3.</w:t>
      </w:r>
      <w:r>
        <w:rPr>
          <w:sz w:val="21"/>
        </w:rPr>
        <w:t>支付比例50%,项目整体正常运行60天，经采购人、中标人、监理（如有）三方确认，验收合格，并出具验收报告后，采购人在收到发票后10个工作日内向中标人支付合同总额的50%。</w:t>
      </w:r>
    </w:p>
    <w:p>
      <w:pPr>
        <w:pStyle w:val="null3"/>
        <w:ind w:firstLine="422"/>
        <w:jc w:val="both"/>
      </w:pPr>
      <w:r>
        <w:rPr>
          <w:sz w:val="21"/>
          <w:b/>
        </w:rPr>
        <w:t>十三、 履约担保</w:t>
      </w:r>
    </w:p>
    <w:p>
      <w:pPr>
        <w:pStyle w:val="null3"/>
        <w:ind w:firstLine="420"/>
        <w:jc w:val="both"/>
      </w:pPr>
      <w:r>
        <w:rPr>
          <w:sz w:val="21"/>
        </w:rPr>
        <w:t>1</w:t>
      </w:r>
      <w:r>
        <w:rPr>
          <w:sz w:val="21"/>
        </w:rPr>
        <w:t>、是否有履约担保：是。</w:t>
      </w:r>
    </w:p>
    <w:p>
      <w:pPr>
        <w:pStyle w:val="null3"/>
        <w:ind w:firstLine="420"/>
        <w:jc w:val="both"/>
      </w:pPr>
      <w:r>
        <w:rPr>
          <w:sz w:val="21"/>
        </w:rPr>
        <w:t>2</w:t>
      </w:r>
      <w:r>
        <w:rPr>
          <w:sz w:val="21"/>
        </w:rPr>
        <w:t>、履约担保金额：为中标金额的10%（符合《〈政府采购促进中小企业发展管理办法〉（财库〔2020〕46号）》的中小微企业为中标金额的5%）。</w:t>
      </w:r>
    </w:p>
    <w:p>
      <w:pPr>
        <w:pStyle w:val="null3"/>
        <w:ind w:firstLine="420"/>
        <w:jc w:val="both"/>
      </w:pPr>
      <w:r>
        <w:rPr>
          <w:sz w:val="21"/>
        </w:rPr>
        <w:t>3</w:t>
      </w:r>
      <w:r>
        <w:rPr>
          <w:sz w:val="21"/>
        </w:rPr>
        <w:t>、履约保证金形式：可以采用银行转账、支票、汇票、本票或者金融机构、担保机构出具的保函等非现金形式提交，以保函形式提交的保函有效期应不小于本项目合同期。</w:t>
      </w:r>
    </w:p>
    <w:p>
      <w:pPr>
        <w:pStyle w:val="null3"/>
        <w:ind w:firstLine="420"/>
        <w:jc w:val="both"/>
      </w:pPr>
      <w:r>
        <w:rPr>
          <w:sz w:val="21"/>
        </w:rPr>
        <w:t>（1）开户名称：广东医科大学附属医院</w:t>
      </w:r>
    </w:p>
    <w:p>
      <w:pPr>
        <w:pStyle w:val="null3"/>
        <w:ind w:firstLine="420"/>
        <w:jc w:val="both"/>
      </w:pPr>
      <w:r>
        <w:rPr>
          <w:sz w:val="21"/>
        </w:rPr>
        <w:t>（2）开户银行：广发银行湛江岭南支行</w:t>
      </w:r>
    </w:p>
    <w:p>
      <w:pPr>
        <w:pStyle w:val="null3"/>
        <w:ind w:firstLine="420"/>
        <w:jc w:val="both"/>
      </w:pPr>
      <w:r>
        <w:rPr>
          <w:sz w:val="21"/>
        </w:rPr>
        <w:t>（3）账号：109008516010000123</w:t>
      </w:r>
    </w:p>
    <w:p>
      <w:pPr>
        <w:pStyle w:val="null3"/>
        <w:ind w:firstLine="420"/>
        <w:jc w:val="both"/>
      </w:pPr>
      <w:r>
        <w:rPr>
          <w:sz w:val="21"/>
        </w:rPr>
        <w:t>4</w:t>
      </w:r>
      <w:r>
        <w:rPr>
          <w:sz w:val="21"/>
        </w:rPr>
        <w:t>、履约保证金提交时间：中标人在签订本合同前需递交履约保证金。</w:t>
      </w:r>
    </w:p>
    <w:p>
      <w:pPr>
        <w:pStyle w:val="null3"/>
        <w:ind w:firstLine="420"/>
        <w:jc w:val="both"/>
      </w:pPr>
      <w:r>
        <w:rPr>
          <w:sz w:val="21"/>
        </w:rPr>
        <w:t>5</w:t>
      </w:r>
      <w:r>
        <w:rPr>
          <w:sz w:val="21"/>
        </w:rPr>
        <w:t>、履约保证金退还：服务验收合格后，由中标人提出申请，经采购人、中标人确认，采购人收到中标人申请后30天内退还履约担保金额的100%（不计利息）。采购人无正当理由逾期退还履约保证金，导致供应商权益受损的，采购人除应退还履约保证金外，赔偿供应商权益范围内损失。</w:t>
      </w:r>
    </w:p>
    <w:p>
      <w:pPr>
        <w:pStyle w:val="null3"/>
        <w:jc w:val="both"/>
      </w:pPr>
      <w:r>
        <w:rPr>
          <w:sz w:val="21"/>
          <w:b/>
          <w:shd w:fill="FFFFFF" w:val="clear"/>
        </w:rPr>
        <w:t>附件</w:t>
      </w:r>
      <w:r>
        <w:rPr>
          <w:sz w:val="21"/>
          <w:b/>
          <w:shd w:fill="FFFFFF" w:val="clear"/>
        </w:rPr>
        <w:t>1</w:t>
      </w:r>
      <w:r>
        <w:rPr>
          <w:sz w:val="21"/>
          <w:b/>
          <w:shd w:fill="FFFFFF" w:val="clear"/>
        </w:rPr>
        <w:t>：（因云平台投标格式中的</w:t>
      </w:r>
      <w:r>
        <w:rPr>
          <w:sz w:val="21"/>
          <w:b/>
          <w:shd w:fill="FFFFFF" w:val="clear"/>
        </w:rPr>
        <w:t>“</w:t>
      </w:r>
      <w:r>
        <w:rPr>
          <w:sz w:val="21"/>
          <w:b/>
          <w:shd w:fill="FFFFFF" w:val="clear"/>
        </w:rPr>
        <w:t>政策适用性说明</w:t>
      </w:r>
      <w:r>
        <w:rPr>
          <w:sz w:val="21"/>
          <w:b/>
          <w:shd w:fill="FFFFFF" w:val="clear"/>
        </w:rPr>
        <w:t>”</w:t>
      </w:r>
      <w:r>
        <w:rPr>
          <w:sz w:val="21"/>
          <w:b/>
          <w:shd w:fill="FFFFFF" w:val="clear"/>
        </w:rPr>
        <w:t>无法满足项目实际，请投标</w:t>
      </w:r>
      <w:r>
        <w:rPr>
          <w:sz w:val="21"/>
          <w:b/>
          <w:shd w:fill="FFFFFF" w:val="clear"/>
        </w:rPr>
        <w:t>/</w:t>
      </w:r>
      <w:r>
        <w:rPr>
          <w:sz w:val="21"/>
          <w:b/>
          <w:shd w:fill="FFFFFF" w:val="clear"/>
        </w:rPr>
        <w:t>报价人按此格式填写政策适用性说明）</w:t>
      </w:r>
    </w:p>
    <w:p>
      <w:pPr>
        <w:pStyle w:val="null3"/>
        <w:jc w:val="center"/>
      </w:pPr>
      <w:r>
        <w:rPr>
          <w:sz w:val="21"/>
          <w:b/>
          <w:shd w:fill="FFFFFF" w:val="clear"/>
        </w:rPr>
        <w:t>政策适用性说明</w:t>
      </w:r>
    </w:p>
    <w:p>
      <w:pPr>
        <w:pStyle w:val="null3"/>
        <w:jc w:val="center"/>
      </w:pPr>
      <w:r>
        <w:rPr>
          <w:sz w:val="21"/>
          <w:b/>
          <w:shd w:fill="FFFFFF" w:val="clear"/>
        </w:rPr>
        <w:t xml:space="preserve"> </w:t>
      </w:r>
      <w:r>
        <w:rPr>
          <w:sz w:val="21"/>
          <w:b/>
          <w:shd w:fill="FFFFFF" w:val="clear"/>
        </w:rPr>
        <w:t>供应商所投的产品，符合节能产品、环境标志产品政策要求的，按以下格式提供说明。</w:t>
      </w:r>
    </w:p>
    <w:p>
      <w:pPr>
        <w:pStyle w:val="null3"/>
        <w:jc w:val="both"/>
      </w:pPr>
      <w:r>
        <w:rPr>
          <w:sz w:val="21"/>
          <w:b/>
          <w:shd w:fill="FFFFFF" w:val="clear"/>
        </w:rPr>
        <w:t xml:space="preserve">1.  </w:t>
      </w:r>
      <w:r>
        <w:rPr>
          <w:sz w:val="21"/>
          <w:b/>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810"/>
        <w:gridCol w:w="1400"/>
        <w:gridCol w:w="1908"/>
        <w:gridCol w:w="2581"/>
        <w:gridCol w:w="1606"/>
      </w:tblGrid>
      <w:tr>
        <w:tc>
          <w:tcPr>
            <w:tcW w:type="dxa" w:w="810"/>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0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0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58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606"/>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（一）强制节能产品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强制节能产品，此处无须填报价格</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（二）优先采购节能产品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699"/>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节能产品价格合计</w:t>
            </w: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 xml:space="preserve">  </w:t>
      </w: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b/>
          <w:shd w:fill="FFFFFF" w:val="clear"/>
        </w:rPr>
        <w:t xml:space="preserve">2.  </w:t>
      </w:r>
      <w:r>
        <w:rPr>
          <w:sz w:val="21"/>
          <w:b/>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83"/>
        <w:gridCol w:w="1428"/>
        <w:gridCol w:w="1950"/>
        <w:gridCol w:w="2787"/>
        <w:gridCol w:w="1359"/>
      </w:tblGrid>
      <w:tr>
        <w:tc>
          <w:tcPr>
            <w:tcW w:type="dxa" w:w="78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2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5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对应《环境标志产品政府采购品目清单》的品目序号</w:t>
            </w:r>
          </w:p>
        </w:tc>
        <w:tc>
          <w:tcPr>
            <w:tcW w:type="dxa" w:w="278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35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948"/>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w:t>
            </w:r>
            <w:r>
              <w:rPr>
                <w:sz w:val="21"/>
              </w:rPr>
              <w:t>产品价格合计</w:t>
            </w: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shd w:fill="FFFFFF" w:val="clear"/>
        </w:rPr>
        <w:t>备注：</w:t>
      </w:r>
    </w:p>
    <w:p>
      <w:pPr>
        <w:pStyle w:val="null3"/>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ind w:firstLine="441"/>
        <w:jc w:val="both"/>
      </w:pPr>
      <w:r>
        <w:rPr/>
        <w:t>采购包1（API安全网关与流量探针）</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签订合同后30天内到货。</w:t>
            </w:r>
          </w:p>
        </w:tc>
      </w:tr>
      <w:tr>
        <w:tc>
          <w:tcPr>
            <w:tcW w:type="dxa" w:w="4153"/>
          </w:tcPr>
          <w:p>
            <w:pPr>
              <w:pStyle w:val="null3"/>
            </w:pPr>
            <w:r>
              <w:rPr/>
              <w:t>标的提供的地点</w:t>
            </w:r>
          </w:p>
        </w:tc>
        <w:tc>
          <w:tcPr>
            <w:tcW w:type="dxa" w:w="4153"/>
          </w:tcPr>
          <w:p>
            <w:pPr>
              <w:pStyle w:val="null3"/>
            </w:pPr>
            <w:r>
              <w:rPr/>
              <w:t>运输、卸车并安装至采购人所在地内的指定地点。</w:t>
            </w:r>
          </w:p>
        </w:tc>
      </w:tr>
      <w:tr/>
      <w:tr/>
      <w:tr>
        <w:tc>
          <w:tcPr>
            <w:tcW w:type="dxa" w:w="4153"/>
          </w:tcPr>
          <w:p>
            <w:pPr>
              <w:pStyle w:val="null3"/>
            </w:pPr>
            <w:r>
              <w:rPr/>
              <w:t>付款方式</w:t>
            </w:r>
          </w:p>
        </w:tc>
        <w:tc>
          <w:tcPr>
            <w:tcW w:type="dxa" w:w="4153"/>
          </w:tcPr>
          <w:p>
            <w:pPr>
              <w:pStyle w:val="null3"/>
            </w:pPr>
            <w:r>
              <w:rPr/>
              <w:t>第1期为(预付款)：支付比例30%，支付比例30%,签订合同且收到发票后10个工作日内，采购人向中标人支付合同总额的30%，中标人应办理完开工手续，安排实施人员进场，出具《设备开箱检验单》。。</w:t>
            </w:r>
          </w:p>
          <w:p>
            <w:pPr>
              <w:pStyle w:val="null3"/>
            </w:pPr>
            <w:r>
              <w:rPr/>
              <w:t>第2期为(进度款)：支付比例20%，支付比例20%,项目所有货物、软硬件设备安装调试部署完成，经采购人、中标人、监理（如有）三方确认，采购人在收到发票后10个工作日内向中标人支付合同总额的20%。。</w:t>
            </w:r>
          </w:p>
          <w:p>
            <w:pPr>
              <w:pStyle w:val="null3"/>
            </w:pPr>
            <w:r>
              <w:rPr/>
              <w:t>第3期为(尾款)：支付比例50%，支付比例50%,项目整体正常运行60天，经采购人、中标人、监理（如有）三方确认，验收合格，并出具验收报告后，采购人在收到发票后10个工作日内向中标人支付合同总额的50%。。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1期：4.1、合同货物、设备、软件、服务及配套设备安装完成且采购人试用其性能达标，并稳定运行 60 天后组织项目验收，验收应在甲、乙、监理（如有）方共同参加下进行。 4.2、中标人在验收时须向采购人提供与本合同项下货物、设备、软件、服务及配套设备相符且完整的技术资料，技术资料包括但不限于：①贰套中文使用说明书；②出厂合格证或出厂检测报告；③安装调试报告；④人员培训报告；⑤进口货物、设备还需要提供进口货物报关单、入境货物检验检疫证明；⑥项目实施过程文档等。 如果中标人提供的技术资料不齐全，采购人有权拒绝接受货物、设备、软件、服务及配套设备，中标人须承担由此产生的一切经济损失。 4.3、验收标准： 按合同的有关规定。 4.4、验收按国家有关的规定、规范进行。合同货物、设备、软件、服务及配套设备全部通过开箱验收；合同货物、设备、软件、服务及配套设备全部安装调试部署完成，并稳定运行 60 天后，经甲、乙、监理方（如有）共同确认并出具《项目验收报告》，视为验收合格。 4.5、采购人、监理方（如有）在验收中如发现货物、设备、软件、服务及配套设备不符合合同的约定，有权拒收货物、设备、软件、服务及配套设备，并签发拒绝收货通知书。如果采购人、监理方（如有）同意更换的，中标人应于收到拒绝收货通知书之日起按国产货物7个工作日内、进口货物15个工作日内的期限重新提供符合合同约定的货物、设备，否则，视为中标人逾期交货。 4.6、验收时如发现所交付的货物、设备、软件、服务及配套设备有短装、次品、损坏或其它不符合本合同规定之情形者，采购人、监理方（如有）应作出详尽的现场记录，或由甲、乙、、监理方（如有）三方签署备忘录。此现场记录或备忘录可用作补充、缺失和更换损坏部件的有效证据。由此产生的有关费用由中标人承担。 4.7、如果合同标的在运输和安装过程中因事故造成货物、设备、软件、服务及配套设备短缺、损坏，中标人应及时安排换装，以保证合同货物、设备的安装能按合同约定的期限成功完成。换货的相关费用由中标人承担。 ★4.8.凡属于中国强制性产品认证目录（CCC目录）的产品，供货时必须提供相关证书复印件或自我声明的有效材料（供货时提供在[http://cx.cnca.cn/查询的产品的证书编号及查询结果截图](http://cx.cnca.cn/查询的产品的证书编号及查询结果截图)）。（投标时提供承诺，可参照“投标（响应）文件格式”中《承诺函》格式）。</w:t>
            </w:r>
          </w:p>
        </w:tc>
      </w:tr>
      <w:tr>
        <w:tc>
          <w:tcPr>
            <w:tcW w:type="dxa" w:w="4153"/>
          </w:tcPr>
          <w:p>
            <w:pPr>
              <w:pStyle w:val="null3"/>
            </w:pPr>
            <w:r>
              <w:rPr/>
              <w:t>履约保证金</w:t>
            </w:r>
          </w:p>
        </w:tc>
        <w:tc>
          <w:tcPr>
            <w:tcW w:type="dxa" w:w="4153"/>
          </w:tcPr>
          <w:p>
            <w:pPr>
              <w:pStyle w:val="null3"/>
            </w:pPr>
            <w:r>
              <w:rPr/>
              <w:t>收取比例：10%,说明：1、是否有履约担保：是。 2、履约担保金额：为中标金额的10%（符合《〈政府采购促进中小企业发展管理办法〉（财库〔2020〕46号）》的中小微企业为中标金额的5%）。 3、履约保证金形式：可以采用银行转账、支票、汇票、本票或者金融机构、担保机构出具的保函等非现金形式提交，以保函形式提交的保函有效期应不小于本项目合同期。 （1）开户名称：广东医科大学附属医院 （2）开户银行：广发银行湛江岭南支行 （3）账号：109008516010000123 4、履约保证金提交时间：中标人在签订本合同前需递交履约保证金。 5、履约保证金退还：服务验收合格后，由中标人提出申请，经采购人、中标人确认，采购人收到中标人申请后30天内退还履约担保金额的100%（不计利息）。采购人无正当理由逾期退还履约保证金，导致供应商权益受损的，采购人除应退还履约保证金外，赔偿供应商权益范围内损失。</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其他信息安全设备</w:t>
            </w:r>
          </w:p>
        </w:tc>
        <w:tc>
          <w:tcPr>
            <w:tcW w:type="dxa" w:w="831"/>
          </w:tcPr>
          <w:p>
            <w:pPr>
              <w:pStyle w:val="null3"/>
              <w:jc w:val="left"/>
            </w:pPr>
            <w:r>
              <w:rPr/>
              <w:t>API安全网关</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280,000.00</w:t>
            </w:r>
          </w:p>
        </w:tc>
        <w:tc>
          <w:tcPr>
            <w:tcW w:type="dxa" w:w="831"/>
          </w:tcPr>
          <w:p>
            <w:pPr>
              <w:pStyle w:val="null3"/>
              <w:jc w:val="right"/>
            </w:pPr>
            <w:r>
              <w:rPr/>
              <w:t>280,000.00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其他信息安全设备</w:t>
            </w:r>
          </w:p>
        </w:tc>
        <w:tc>
          <w:tcPr>
            <w:tcW w:type="dxa" w:w="831"/>
          </w:tcPr>
          <w:p>
            <w:pPr>
              <w:pStyle w:val="null3"/>
              <w:jc w:val="left"/>
            </w:pPr>
            <w:r>
              <w:rPr/>
              <w:t>其他产品（除核心产品外，详见采购需求清单）</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370,000.00</w:t>
            </w:r>
          </w:p>
        </w:tc>
        <w:tc>
          <w:tcPr>
            <w:tcW w:type="dxa" w:w="831"/>
          </w:tcPr>
          <w:p>
            <w:pPr>
              <w:pStyle w:val="null3"/>
              <w:jc w:val="right"/>
            </w:pPr>
            <w:r>
              <w:rPr/>
              <w:t>370,000.00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API安全网关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其他产品（除核心产品外，详见采购需求清单）</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广东医科大学附属医院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 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采购包1(API安全网关与流量探针)：综合评分法,是指投标文件满足招标文件全部实质性要求，且按照评审因素的量化指标评审得分最高的投标人为中标候选人的评标方法。（最低报价不是中标的唯一依据。）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采购包1（API安全网关与流量探针）：</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节能产品、环境标志产品优先采购政策: (1)供应商所投产品属于“环境标志产品政府采购品目清单”范围的，提供国家确定的认证机构出具的、处于有效期之内的环境标志产品认证证书，报价给予C2的价格扣除。即评审价＝核实价－环境标志产品核实价×C2（C2的取值为1%）； (2)供应商所投产品属于“节能产品政府采购品目清单”优先采购范围（即非标注星号的产品）的，提供国家确定的认证机构出具的、处于有效期之内的节能标志产品认证证书或节水产品认证证书，报价给予C3的价格扣除。即评审价＝核实价－节能产品核实价×C3（C3的取值为1%）； (3)供应商在《关于印发环境标志产品政府采购品目清单的通知》（财库〔2019〕18号）、《关于印发节能产品政府采购品目清单的通知》（财库〔2019〕19号）中可以查到对应的清单目录。（4）上述节能产品包括节水产品。（5）评审价＝核实价－环境标志产品核实价×C2-节能标志产品核实价×C3。</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采购包1（API安全网关与流量探针）：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①或②证明材料：①经会计师事务所审计的2023年度或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采购包1（API安全网关与流量探针）：</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投标报价错误的处理</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报价合理性</w:t>
            </w:r>
          </w:p>
        </w:tc>
        <w:tc>
          <w:tcPr>
            <w:tcW w:type="dxa" w:w="4238"/>
          </w:tcPr>
          <w:p>
            <w:pPr>
              <w:pStyle w:val="null3"/>
            </w:pPr>
            <w:r>
              <w:rPr/>
              <w:t>如果评标委员会认为投标供应商的报价明显低于其他通过符合性审查投标供应商的报价，有可能影响产品质量或者不能诚信履约的，将要求其在评标现场合理的时间内提供书面说明，必要时提交相关证明材料；投标供应商应能证明其报价合理性。</w:t>
            </w:r>
          </w:p>
        </w:tc>
      </w:tr>
      <w:tr>
        <w:tc>
          <w:tcPr>
            <w:tcW w:type="dxa" w:w="890"/>
          </w:tcPr>
          <w:p>
            <w:pPr>
              <w:pStyle w:val="null3"/>
            </w:pPr>
            <w:r>
              <w:rPr/>
              <w:t>11</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12</w:t>
            </w:r>
          </w:p>
        </w:tc>
        <w:tc>
          <w:tcPr>
            <w:tcW w:type="dxa" w:w="3178"/>
          </w:tcPr>
          <w:p>
            <w:pPr>
              <w:pStyle w:val="null3"/>
            </w:pPr>
            <w:r>
              <w:rPr/>
              <w:t>非进口产品。</w:t>
            </w:r>
          </w:p>
        </w:tc>
        <w:tc>
          <w:tcPr>
            <w:tcW w:type="dxa" w:w="4238"/>
          </w:tcPr>
          <w:p>
            <w:pPr>
              <w:pStyle w:val="null3"/>
            </w:pPr>
            <w:r>
              <w:rPr/>
              <w:t>供应商所投产品非进口产品。</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采购包1(API安全网关与流量探针):</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技术条款响应情况1 (16.0分)</w:t>
            </w:r>
          </w:p>
        </w:tc>
        <w:tc>
          <w:tcPr>
            <w:tcW w:type="dxa" w:w="5076"/>
          </w:tcPr>
          <w:p>
            <w:pPr>
              <w:pStyle w:val="null3"/>
              <w:jc w:val="left"/>
            </w:pPr>
            <w:r>
              <w:rPr/>
              <w:t>1、采购需求中“技术参数要求”中“▲”的条款（共16项）： 每有一项满足要求得1分，最高16分。 如用户需求中有明确要求提供的证明资料，则以用户需求中要求的为准，无提供或未按要求提供证明材料的不得分；如用户需求中无明确证明材料的，以投标人投标文件中的自行响应为准，未填写或未响应的视为负偏离。</w:t>
            </w:r>
          </w:p>
        </w:tc>
      </w:tr>
      <w:tr>
        <w:tc>
          <w:tcPr>
            <w:tcW w:type="dxa" w:w="922"/>
            <w:gridSpan w:val="2"/>
            <w:vMerge/>
          </w:tcPr>
          <w:p/>
        </w:tc>
        <w:tc>
          <w:tcPr>
            <w:tcW w:type="dxa" w:w="2307"/>
          </w:tcPr>
          <w:p>
            <w:pPr>
              <w:pStyle w:val="null3"/>
              <w:jc w:val="left"/>
            </w:pPr>
            <w:r>
              <w:rPr/>
              <w:t>技术条款响应情况2 (20.0分)</w:t>
            </w:r>
          </w:p>
        </w:tc>
        <w:tc>
          <w:tcPr>
            <w:tcW w:type="dxa" w:w="5076"/>
          </w:tcPr>
          <w:p>
            <w:pPr>
              <w:pStyle w:val="null3"/>
              <w:jc w:val="left"/>
            </w:pPr>
            <w:r>
              <w:rPr/>
              <w:t>2、采购需求中“技术参数要求”，设备参数指标响应情况（非“★”条款，非“▲”条款）： （1）API安全网关：完全满足要求的，得5分； （2）标配处理终端：完全满足要求的，得5分； （3）流量探针：完全满足要求的，得5分； （4）ov级SSL证书：完全满足要求的，得5分； 本项最高20分。 注：1、如用户需求中有明确要求提供的证明资料，则以用户需求中要求的为准，无提供或未按要求提供证明材料的不得分；如用户需求中无明确证明材料的，以投标人投标文件中的自行响应为准，未填写或未响应的视为负偏离。 2、单项产品的一般技术条款全部完全满足要求则对应产品可得分，只要有一条（或以上）一般技术条款负偏离，则对应产品不得分。</w:t>
            </w:r>
          </w:p>
        </w:tc>
      </w:tr>
      <w:tr>
        <w:tc>
          <w:tcPr>
            <w:tcW w:type="dxa" w:w="922"/>
            <w:gridSpan w:val="2"/>
            <w:vMerge/>
          </w:tcPr>
          <w:p/>
        </w:tc>
        <w:tc>
          <w:tcPr>
            <w:tcW w:type="dxa" w:w="2307"/>
          </w:tcPr>
          <w:p>
            <w:pPr>
              <w:pStyle w:val="null3"/>
              <w:jc w:val="left"/>
            </w:pPr>
            <w:r>
              <w:rPr/>
              <w:t>服务要求响应 (8.0分)</w:t>
            </w:r>
          </w:p>
        </w:tc>
        <w:tc>
          <w:tcPr>
            <w:tcW w:type="dxa" w:w="5076"/>
          </w:tcPr>
          <w:p>
            <w:pPr>
              <w:pStyle w:val="null3"/>
              <w:jc w:val="left"/>
            </w:pPr>
            <w:r>
              <w:rPr/>
              <w:t>根据投标人制定的方案进行评审，包括但不限于用户需求书中“七、服务要求”的相关要求： 1.服务方案完全满足且优于采购需求，得8分。 2.服务方案完全满足采购需求，得5分。 3.服务方案不能完全满足采购需求，得2分。 4.未提供得0分。</w:t>
            </w:r>
          </w:p>
        </w:tc>
      </w:tr>
      <w:tr>
        <w:tc>
          <w:tcPr>
            <w:tcW w:type="dxa" w:w="922"/>
            <w:gridSpan w:val="2"/>
            <w:vMerge/>
          </w:tcPr>
          <w:p/>
        </w:tc>
        <w:tc>
          <w:tcPr>
            <w:tcW w:type="dxa" w:w="2307"/>
          </w:tcPr>
          <w:p>
            <w:pPr>
              <w:pStyle w:val="null3"/>
              <w:jc w:val="left"/>
            </w:pPr>
            <w:r>
              <w:rPr/>
              <w:t>项目实施要求响应 (6.0分)</w:t>
            </w:r>
          </w:p>
        </w:tc>
        <w:tc>
          <w:tcPr>
            <w:tcW w:type="dxa" w:w="5076"/>
          </w:tcPr>
          <w:p>
            <w:pPr>
              <w:pStyle w:val="null3"/>
              <w:jc w:val="left"/>
            </w:pPr>
            <w:r>
              <w:rPr/>
              <w:t>根据投标人制定的方案进行评审，包括但不限于用户需求书中“八、送货\项目实施要求”的相关要求： 1.实施方案完全满足且优于采购需求，得6分。 2.实施方案完全满足采购需求，得3分。 3.实施方案不能完全满足采购需求，得1分。 4.未提供得0分。</w:t>
            </w:r>
          </w:p>
        </w:tc>
      </w:tr>
      <w:tr>
        <w:tc>
          <w:tcPr>
            <w:tcW w:type="dxa" w:w="922"/>
            <w:gridSpan w:val="2"/>
            <w:vMerge w:val="restart"/>
          </w:tcPr>
          <w:p>
            <w:pPr>
              <w:pStyle w:val="null3"/>
              <w:jc w:val="center"/>
            </w:pPr>
            <w:r>
              <w:rPr/>
              <w:t>商务部分</w:t>
            </w:r>
          </w:p>
        </w:tc>
        <w:tc>
          <w:tcPr>
            <w:tcW w:type="dxa" w:w="2307"/>
          </w:tcPr>
          <w:p>
            <w:pPr>
              <w:pStyle w:val="null3"/>
              <w:jc w:val="left"/>
            </w:pPr>
            <w:r>
              <w:rPr/>
              <w:t>承接本项目能力保障 (4.0分)</w:t>
            </w:r>
          </w:p>
        </w:tc>
        <w:tc>
          <w:tcPr>
            <w:tcW w:type="dxa" w:w="5076"/>
          </w:tcPr>
          <w:p>
            <w:pPr>
              <w:pStyle w:val="null3"/>
              <w:jc w:val="left"/>
            </w:pPr>
            <w:r>
              <w:rPr/>
              <w:t>2022年1月1日以来（以合同签订时间为准），以投标人名义承担过网络信息安全服务或者网络信息安全设备相关的业绩，每提供一份业绩合同复印件得1分，最高4分。 注：须提供合同复印件并加盖投标人公章。</w:t>
            </w:r>
          </w:p>
        </w:tc>
      </w:tr>
      <w:tr>
        <w:tc>
          <w:tcPr>
            <w:tcW w:type="dxa" w:w="922"/>
            <w:gridSpan w:val="2"/>
            <w:vMerge/>
          </w:tcPr>
          <w:p/>
        </w:tc>
        <w:tc>
          <w:tcPr>
            <w:tcW w:type="dxa" w:w="2307"/>
          </w:tcPr>
          <w:p>
            <w:pPr>
              <w:pStyle w:val="null3"/>
              <w:jc w:val="left"/>
            </w:pPr>
            <w:r>
              <w:rPr/>
              <w:t>服务满意度 (2.0分)</w:t>
            </w:r>
          </w:p>
        </w:tc>
        <w:tc>
          <w:tcPr>
            <w:tcW w:type="dxa" w:w="5076"/>
          </w:tcPr>
          <w:p>
            <w:pPr>
              <w:pStyle w:val="null3"/>
              <w:jc w:val="left"/>
            </w:pPr>
            <w:r>
              <w:rPr/>
              <w:t>上述（承接本项目能力保障）有效计分的业绩中获得正面评价（优秀、优良、良好、满意或相当于正面评价），且评价文件体现评价单位联系人及联系方式的（如未体现的，供应商须另行提供评价单位的联系人及联系方式）。每份得1分，最高2分。 注：同一项目按一份计算，不重复计算分数。提供合同甲方或甲方项目主管部门盖章的评价文件。评价文件未体现评价单位联系人及联系方式，且供应商未提供评价单位的联系人及联系方式，对应的评价文件不得分。</w:t>
            </w:r>
          </w:p>
        </w:tc>
      </w:tr>
      <w:tr>
        <w:tc>
          <w:tcPr>
            <w:tcW w:type="dxa" w:w="922"/>
            <w:gridSpan w:val="2"/>
            <w:vMerge/>
          </w:tcPr>
          <w:p/>
        </w:tc>
        <w:tc>
          <w:tcPr>
            <w:tcW w:type="dxa" w:w="2307"/>
          </w:tcPr>
          <w:p>
            <w:pPr>
              <w:pStyle w:val="null3"/>
              <w:jc w:val="left"/>
            </w:pPr>
            <w:r>
              <w:rPr/>
              <w:t>项目负责人（不可兼任） (4.0分)</w:t>
            </w:r>
          </w:p>
        </w:tc>
        <w:tc>
          <w:tcPr>
            <w:tcW w:type="dxa" w:w="5076"/>
          </w:tcPr>
          <w:p>
            <w:pPr>
              <w:pStyle w:val="null3"/>
              <w:jc w:val="left"/>
            </w:pPr>
            <w:r>
              <w:rPr/>
              <w:t>根据投标人拟派的项目负责人资格证书进行评审（1人）： 1.具有网络规划设计师证书（计算机技术与软件专业技术资格），得2分； 2.具有系统规划与管理师证书（计算机技术与软件专业技术资格），得2分。 注：需同时提供该人员上述证书复印件，及由投标人缴纳的2025年1月以来任意一个月的社保证明材料（须至少体现养老保险），并加盖投标人公章，否则对应项不得分。</w:t>
            </w:r>
          </w:p>
        </w:tc>
      </w:tr>
      <w:tr>
        <w:tc>
          <w:tcPr>
            <w:tcW w:type="dxa" w:w="922"/>
            <w:gridSpan w:val="2"/>
            <w:vMerge/>
          </w:tcPr>
          <w:p/>
        </w:tc>
        <w:tc>
          <w:tcPr>
            <w:tcW w:type="dxa" w:w="2307"/>
          </w:tcPr>
          <w:p>
            <w:pPr>
              <w:pStyle w:val="null3"/>
              <w:jc w:val="left"/>
            </w:pPr>
            <w:r>
              <w:rPr/>
              <w:t>技术负责人（不可兼任） (4.0分)</w:t>
            </w:r>
          </w:p>
        </w:tc>
        <w:tc>
          <w:tcPr>
            <w:tcW w:type="dxa" w:w="5076"/>
          </w:tcPr>
          <w:p>
            <w:pPr>
              <w:pStyle w:val="null3"/>
              <w:jc w:val="left"/>
            </w:pPr>
            <w:r>
              <w:rPr/>
              <w:t>根据投标人拟派的技术负责人资质进行评审（1人）： 1.具有网络规划设计师证书（计算机技术与软件专业技术资格），得2分； 2.具有信息安全工程师证书（计算机技术与软件专业技术资格），得2分。 注: 需同时提供该人员上述证书复印件，及由投标人缴纳的2025年1月以来任意一个月的社保证明材料（须至少体现养老保险），并加盖投标人公章，否则对应项不得分。</w:t>
            </w:r>
          </w:p>
        </w:tc>
      </w:tr>
      <w:tr>
        <w:tc>
          <w:tcPr>
            <w:tcW w:type="dxa" w:w="922"/>
            <w:gridSpan w:val="2"/>
            <w:vMerge/>
          </w:tcPr>
          <w:p/>
        </w:tc>
        <w:tc>
          <w:tcPr>
            <w:tcW w:type="dxa" w:w="2307"/>
          </w:tcPr>
          <w:p>
            <w:pPr>
              <w:pStyle w:val="null3"/>
              <w:jc w:val="left"/>
            </w:pPr>
            <w:r>
              <w:rPr/>
              <w:t>保修要求 (3.0分)</w:t>
            </w:r>
          </w:p>
        </w:tc>
        <w:tc>
          <w:tcPr>
            <w:tcW w:type="dxa" w:w="5076"/>
          </w:tcPr>
          <w:p>
            <w:pPr>
              <w:pStyle w:val="null3"/>
              <w:jc w:val="left"/>
            </w:pPr>
            <w:r>
              <w:rPr/>
              <w:t>满足采购需求对“保修期（维保期）”的要求，所有产品验收后至少3年维保期得3分（供应商投标时提供承诺，可参照“投标（响应）文件格式”中《承诺函》格式）。</w:t>
            </w:r>
          </w:p>
        </w:tc>
      </w:tr>
      <w:tr>
        <w:tc>
          <w:tcPr>
            <w:tcW w:type="dxa" w:w="922"/>
            <w:gridSpan w:val="2"/>
            <w:vMerge/>
          </w:tcPr>
          <w:p/>
        </w:tc>
        <w:tc>
          <w:tcPr>
            <w:tcW w:type="dxa" w:w="2307"/>
          </w:tcPr>
          <w:p>
            <w:pPr>
              <w:pStyle w:val="null3"/>
              <w:jc w:val="left"/>
            </w:pPr>
            <w:r>
              <w:rPr/>
              <w:t>供货要求 (3.0分)</w:t>
            </w:r>
          </w:p>
        </w:tc>
        <w:tc>
          <w:tcPr>
            <w:tcW w:type="dxa" w:w="5076"/>
          </w:tcPr>
          <w:p>
            <w:pPr>
              <w:pStyle w:val="null3"/>
              <w:jc w:val="left"/>
            </w:pPr>
            <w:r>
              <w:rPr/>
              <w:t>满足采购需求对“供货期”的要求，所有产品自合同签订之日起30天内到货的，得3分（供应商投标时提供承诺，可参照“投标（响应）文件格式”中《承诺函》格式）。</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2"/>
          <w:b/>
        </w:rPr>
        <w:t>广东医科大学附属医院</w:t>
      </w:r>
    </w:p>
    <w:p>
      <w:pPr>
        <w:pStyle w:val="null3"/>
        <w:jc w:val="center"/>
      </w:pPr>
      <w:r>
        <w:rPr>
          <w:sz w:val="52"/>
          <w:b/>
        </w:rPr>
        <w:t>货物类（信息）合同模板</w:t>
      </w:r>
    </w:p>
    <w:p>
      <w:pPr>
        <w:pStyle w:val="null3"/>
        <w:jc w:val="both"/>
      </w:pPr>
      <w:r>
        <w:rPr>
          <w:sz w:val="21"/>
          <w:b/>
        </w:rPr>
        <w:t xml:space="preserve">      </w:t>
      </w:r>
    </w:p>
    <w:p>
      <w:pPr>
        <w:pStyle w:val="null3"/>
        <w:jc w:val="both"/>
      </w:pPr>
      <w:r>
        <w:rPr>
          <w:sz w:val="32"/>
          <w:b/>
        </w:rPr>
        <w:t>项目名称：广东医科大学附属医院XXXXX采购项目</w:t>
      </w:r>
    </w:p>
    <w:p>
      <w:pPr>
        <w:pStyle w:val="null3"/>
        <w:ind w:left="2130"/>
        <w:jc w:val="both"/>
      </w:pPr>
      <w:r>
        <w:rPr>
          <w:sz w:val="32"/>
          <w:b/>
        </w:rPr>
        <w:t>甲    方：</w:t>
      </w:r>
      <w:r>
        <w:rPr>
          <w:sz w:val="32"/>
          <w:b/>
          <w:u w:val="single"/>
        </w:rPr>
        <w:t>广东医科大学附属医院</w:t>
      </w:r>
    </w:p>
    <w:p>
      <w:pPr>
        <w:pStyle w:val="null3"/>
        <w:ind w:left="2130"/>
        <w:jc w:val="both"/>
      </w:pPr>
      <w:r>
        <w:rPr>
          <w:sz w:val="32"/>
          <w:b/>
        </w:rPr>
        <w:t>乙    方：</w:t>
      </w:r>
    </w:p>
    <w:p>
      <w:pPr>
        <w:pStyle w:val="null3"/>
        <w:ind w:left="2130"/>
        <w:jc w:val="both"/>
      </w:pPr>
      <w:r>
        <w:rPr>
          <w:sz w:val="32"/>
          <w:b/>
        </w:rPr>
        <w:t>签订时间：</w:t>
      </w:r>
      <w:r>
        <w:rPr>
          <w:sz w:val="32"/>
          <w:b/>
          <w:u w:val="single"/>
        </w:rPr>
        <w:t xml:space="preserve">      年    月    日</w:t>
      </w:r>
    </w:p>
    <w:p>
      <w:pPr>
        <w:pStyle w:val="null3"/>
        <w:jc w:val="both"/>
      </w:pPr>
      <w:r>
        <w:rPr>
          <w:sz w:val="21"/>
          <w:b/>
        </w:rPr>
        <w:t xml:space="preserve">                        </w:t>
      </w:r>
    </w:p>
    <w:p>
      <w:pPr>
        <w:pStyle w:val="null3"/>
        <w:jc w:val="both"/>
      </w:pPr>
      <w:r>
        <w:rPr>
          <w:sz w:val="21"/>
        </w:rPr>
        <w:t>（本合同为合同模板，相关内容根据招响应文件进行调整补充）</w:t>
      </w:r>
    </w:p>
    <w:p>
      <w:pPr>
        <w:pStyle w:val="null3"/>
        <w:jc w:val="both"/>
      </w:pPr>
      <w:r>
        <w:rPr>
          <w:sz w:val="28"/>
          <w:b/>
        </w:rPr>
        <w:t>合同</w:t>
      </w:r>
    </w:p>
    <w:p>
      <w:pPr>
        <w:pStyle w:val="null3"/>
        <w:jc w:val="both"/>
      </w:pPr>
      <w:r>
        <w:rPr>
          <w:sz w:val="24"/>
        </w:rPr>
        <w:t xml:space="preserve">甲方： </w:t>
      </w:r>
      <w:r>
        <w:rPr>
          <w:sz w:val="24"/>
        </w:rPr>
        <w:t>广东医科大学附属医院</w:t>
      </w:r>
    </w:p>
    <w:p>
      <w:pPr>
        <w:pStyle w:val="null3"/>
        <w:ind w:left="420"/>
        <w:jc w:val="both"/>
      </w:pPr>
      <w:r>
        <w:rPr>
          <w:sz w:val="24"/>
          <w:u w:val="single"/>
        </w:rPr>
        <w:t>统一社会信用代码：</w:t>
      </w:r>
      <w:r>
        <w:rPr>
          <w:sz w:val="24"/>
          <w:u w:val="single"/>
        </w:rPr>
        <w:t>12440000455858169P</w:t>
      </w:r>
    </w:p>
    <w:p>
      <w:pPr>
        <w:pStyle w:val="null3"/>
        <w:ind w:left="420"/>
        <w:jc w:val="both"/>
      </w:pPr>
      <w:r>
        <w:rPr>
          <w:sz w:val="24"/>
          <w:u w:val="single"/>
        </w:rPr>
        <w:t>法定代表人：</w:t>
      </w:r>
    </w:p>
    <w:p>
      <w:pPr>
        <w:pStyle w:val="null3"/>
        <w:ind w:left="420"/>
        <w:jc w:val="both"/>
      </w:pPr>
      <w:r>
        <w:rPr>
          <w:sz w:val="24"/>
          <w:u w:val="single"/>
        </w:rPr>
        <w:t>联系人：</w:t>
      </w:r>
      <w:r>
        <w:rPr>
          <w:sz w:val="24"/>
          <w:u w:val="single"/>
        </w:rPr>
        <w:t>XXX</w:t>
      </w:r>
    </w:p>
    <w:p>
      <w:pPr>
        <w:pStyle w:val="null3"/>
        <w:ind w:left="420"/>
        <w:jc w:val="both"/>
      </w:pPr>
      <w:r>
        <w:rPr>
          <w:sz w:val="24"/>
          <w:u w:val="single"/>
        </w:rPr>
        <w:t>联系方式：</w:t>
      </w:r>
      <w:r>
        <w:rPr>
          <w:sz w:val="24"/>
          <w:u w:val="single"/>
        </w:rPr>
        <w:t>XXX</w:t>
      </w:r>
    </w:p>
    <w:p>
      <w:pPr>
        <w:pStyle w:val="null3"/>
        <w:ind w:left="420"/>
        <w:jc w:val="both"/>
      </w:pPr>
      <w:r>
        <w:rPr>
          <w:sz w:val="24"/>
          <w:u w:val="single"/>
        </w:rPr>
        <w:t>联系地址：广东省湛江市霞山区人民大道南</w:t>
      </w:r>
      <w:r>
        <w:rPr>
          <w:sz w:val="24"/>
          <w:u w:val="single"/>
        </w:rPr>
        <w:t>57</w:t>
      </w:r>
      <w:r>
        <w:rPr>
          <w:sz w:val="24"/>
          <w:u w:val="single"/>
        </w:rPr>
        <w:t>号</w:t>
      </w:r>
    </w:p>
    <w:p>
      <w:pPr>
        <w:pStyle w:val="null3"/>
        <w:jc w:val="both"/>
      </w:pPr>
      <w:r>
        <w:rPr>
          <w:sz w:val="24"/>
        </w:rPr>
        <w:t xml:space="preserve">乙方： </w:t>
      </w:r>
      <w:r>
        <w:rPr>
          <w:sz w:val="24"/>
          <w:u w:val="single"/>
        </w:rPr>
        <w:t>XXX公司</w:t>
      </w:r>
    </w:p>
    <w:p>
      <w:pPr>
        <w:pStyle w:val="null3"/>
        <w:ind w:left="420"/>
        <w:jc w:val="both"/>
      </w:pPr>
      <w:r>
        <w:rPr>
          <w:sz w:val="24"/>
          <w:u w:val="single"/>
        </w:rPr>
        <w:t>统一社会信用代码：XXXX</w:t>
      </w:r>
    </w:p>
    <w:p>
      <w:pPr>
        <w:pStyle w:val="null3"/>
        <w:ind w:left="420"/>
        <w:jc w:val="both"/>
      </w:pPr>
      <w:r>
        <w:rPr>
          <w:sz w:val="24"/>
          <w:u w:val="single"/>
        </w:rPr>
        <w:t>法定代表人：XXX</w:t>
      </w:r>
    </w:p>
    <w:p>
      <w:pPr>
        <w:pStyle w:val="null3"/>
        <w:ind w:left="420"/>
        <w:jc w:val="both"/>
      </w:pPr>
      <w:r>
        <w:rPr>
          <w:sz w:val="24"/>
          <w:u w:val="single"/>
        </w:rPr>
        <w:t>联系人：XXX</w:t>
      </w:r>
    </w:p>
    <w:p>
      <w:pPr>
        <w:pStyle w:val="null3"/>
        <w:ind w:left="420"/>
        <w:jc w:val="both"/>
      </w:pPr>
      <w:r>
        <w:rPr>
          <w:sz w:val="24"/>
          <w:u w:val="single"/>
        </w:rPr>
        <w:t>联系方式：XXX</w:t>
      </w:r>
    </w:p>
    <w:p>
      <w:pPr>
        <w:pStyle w:val="null3"/>
        <w:ind w:left="420"/>
        <w:jc w:val="both"/>
      </w:pPr>
      <w:r>
        <w:rPr>
          <w:sz w:val="24"/>
          <w:u w:val="single"/>
        </w:rPr>
        <w:t>联系地址：XXX</w:t>
      </w:r>
    </w:p>
    <w:p>
      <w:pPr>
        <w:pStyle w:val="null3"/>
        <w:ind w:firstLine="480"/>
        <w:jc w:val="both"/>
      </w:pPr>
      <w:r>
        <w:rPr>
          <w:sz w:val="24"/>
        </w:rPr>
        <w:t>根据</w:t>
      </w:r>
      <w:r>
        <w:rPr>
          <w:sz w:val="24"/>
        </w:rPr>
        <w:t>《中华人民共和国民法典》等国家相关法律法规的规定，以及该项目的采购</w:t>
      </w:r>
      <w:r>
        <w:rPr>
          <w:sz w:val="24"/>
        </w:rPr>
        <w:t>结果和相关采购文件、响应文件的要求，按照广东医科大学附属医院XXXXX采购项目</w:t>
      </w:r>
      <w:r>
        <w:rPr>
          <w:sz w:val="24"/>
        </w:rPr>
        <w:t>（招标编号：XXX）</w:t>
      </w:r>
      <w:r>
        <w:rPr>
          <w:sz w:val="24"/>
        </w:rPr>
        <w:t>20XX</w:t>
      </w:r>
      <w:r>
        <w:rPr>
          <w:sz w:val="24"/>
        </w:rPr>
        <w:t>年XX月XX日的采购结果，甲</w:t>
      </w:r>
      <w:r>
        <w:rPr>
          <w:sz w:val="24"/>
        </w:rPr>
        <w:t>、乙双方经协商确定，甲方向乙方订购下述货物、设备及其服务，为明确双方责任和权利，特签订本合同，共同遵守。合同的标的、价款、质量、履行期限等主要条款应当与采购文件和乙方的响应文件的内容一致。具体条款如下：</w:t>
      </w:r>
    </w:p>
    <w:p>
      <w:pPr>
        <w:pStyle w:val="null3"/>
        <w:ind w:firstLine="845"/>
        <w:jc w:val="both"/>
      </w:pPr>
      <w:r>
        <w:rPr>
          <w:sz w:val="24"/>
          <w:b/>
        </w:rPr>
        <w:t>一、 合同标的</w:t>
      </w:r>
    </w:p>
    <w:p>
      <w:pPr>
        <w:pStyle w:val="null3"/>
        <w:ind w:firstLine="480"/>
        <w:jc w:val="both"/>
      </w:pPr>
      <w:r>
        <w:rPr>
          <w:sz w:val="24"/>
        </w:rPr>
        <w:t>乙方负责向甲方供应下表中所列货物、设备、软件、服务及配套设备，并负责相关的安装调试及售后服务。</w:t>
      </w:r>
    </w:p>
    <w:tbl>
      <w:tblPr>
        <w:tblW w:w="0" w:type="auto"/>
        <w:tblBorders>
          <w:top w:val="none" w:color="000000" w:sz="4"/>
          <w:left w:val="none" w:color="000000" w:sz="4"/>
          <w:bottom w:val="none" w:color="000000" w:sz="4"/>
          <w:right w:val="none" w:color="000000" w:sz="4"/>
          <w:insideH w:val="none"/>
          <w:insideV w:val="none"/>
        </w:tblBorders>
      </w:tblPr>
      <w:tblGrid>
        <w:gridCol w:w="1018"/>
        <w:gridCol w:w="451"/>
        <w:gridCol w:w="1251"/>
        <w:gridCol w:w="683"/>
        <w:gridCol w:w="683"/>
        <w:gridCol w:w="683"/>
        <w:gridCol w:w="683"/>
        <w:gridCol w:w="915"/>
        <w:gridCol w:w="915"/>
        <w:gridCol w:w="1018"/>
      </w:tblGrid>
      <w:tr>
        <w:tc>
          <w:tcPr>
            <w:tcW w:type="dxa" w:w="10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货物名称</w:t>
            </w:r>
          </w:p>
        </w:tc>
        <w:tc>
          <w:tcPr>
            <w:tcW w:type="dxa" w:w="4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品牌</w:t>
            </w:r>
          </w:p>
        </w:tc>
        <w:tc>
          <w:tcPr>
            <w:tcW w:type="dxa" w:w="1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规格型号</w:t>
            </w:r>
          </w:p>
          <w:p>
            <w:pPr>
              <w:pStyle w:val="null3"/>
              <w:jc w:val="center"/>
            </w:pPr>
            <w:r>
              <w:rPr>
                <w:sz w:val="24"/>
              </w:rPr>
              <w:t>/</w:t>
            </w:r>
            <w:r>
              <w:rPr>
                <w:sz w:val="24"/>
              </w:rPr>
              <w:t>版本号</w:t>
            </w:r>
          </w:p>
        </w:tc>
        <w:tc>
          <w:tcPr>
            <w:tcW w:type="dxa" w:w="6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产地</w:t>
            </w:r>
          </w:p>
        </w:tc>
        <w:tc>
          <w:tcPr>
            <w:tcW w:type="dxa" w:w="6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厂家</w:t>
            </w:r>
          </w:p>
        </w:tc>
        <w:tc>
          <w:tcPr>
            <w:tcW w:type="dxa" w:w="6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计量单位</w:t>
            </w:r>
          </w:p>
        </w:tc>
        <w:tc>
          <w:tcPr>
            <w:tcW w:type="dxa" w:w="6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9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单价（元）</w:t>
            </w:r>
          </w:p>
        </w:tc>
        <w:tc>
          <w:tcPr>
            <w:tcW w:type="dxa" w:w="9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总价</w:t>
            </w:r>
          </w:p>
          <w:p>
            <w:pPr>
              <w:pStyle w:val="null3"/>
              <w:jc w:val="center"/>
            </w:pPr>
            <w:r>
              <w:rPr>
                <w:sz w:val="24"/>
              </w:rPr>
              <w:t>（元）</w:t>
            </w:r>
          </w:p>
        </w:tc>
        <w:tc>
          <w:tcPr>
            <w:tcW w:type="dxa" w:w="10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配套配件</w:t>
            </w:r>
          </w:p>
        </w:tc>
      </w:tr>
      <w:tr>
        <w:tc>
          <w:tcPr>
            <w:tcW w:type="dxa" w:w="10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b/>
        </w:rPr>
        <w:t>二、 合同总价</w:t>
      </w:r>
    </w:p>
    <w:p>
      <w:pPr>
        <w:pStyle w:val="null3"/>
        <w:ind w:firstLine="480"/>
        <w:jc w:val="both"/>
      </w:pPr>
      <w:r>
        <w:rPr>
          <w:sz w:val="24"/>
        </w:rPr>
        <w:t>总价为：人民币</w:t>
      </w:r>
      <w:r>
        <w:rPr>
          <w:sz w:val="24"/>
          <w:u w:val="single"/>
        </w:rPr>
        <w:t>元</w:t>
      </w:r>
      <w:r>
        <w:rPr>
          <w:sz w:val="24"/>
        </w:rPr>
        <w:t>（大写），即</w:t>
      </w:r>
      <w:r>
        <w:rPr>
          <w:sz w:val="24"/>
        </w:rPr>
        <w:t>¥</w:t>
      </w:r>
      <w:r>
        <w:rPr>
          <w:sz w:val="24"/>
          <w:u w:val="single"/>
        </w:rPr>
        <w:t>元</w:t>
      </w:r>
      <w:r>
        <w:rPr>
          <w:sz w:val="24"/>
        </w:rPr>
        <w:t>（其中，含财政项目专项资金：人民币元（大写），即</w:t>
      </w:r>
      <w:r>
        <w:rPr>
          <w:sz w:val="24"/>
        </w:rPr>
        <w:t xml:space="preserve">¥ </w:t>
      </w:r>
      <w:r>
        <w:rPr>
          <w:sz w:val="24"/>
        </w:rPr>
        <w:t>元），该合同总金额是合同货物、设备</w:t>
      </w:r>
      <w:r>
        <w:rPr>
          <w:sz w:val="24"/>
        </w:rPr>
        <w:t>、软件</w:t>
      </w:r>
      <w:r>
        <w:rPr>
          <w:sz w:val="24"/>
        </w:rPr>
        <w:t>、服务的设计、制造、包装、仓储、运输、培训、保险、装卸、安装、调试及验收合格之前及保修期与备品备件发生的所有含税费用。本合同执行期间合同总金额不变。</w:t>
      </w:r>
    </w:p>
    <w:p>
      <w:pPr>
        <w:pStyle w:val="null3"/>
        <w:jc w:val="both"/>
      </w:pPr>
      <w:r>
        <w:rPr>
          <w:sz w:val="24"/>
          <w:b/>
        </w:rPr>
        <w:t>三、 合同组成</w:t>
      </w:r>
    </w:p>
    <w:p>
      <w:pPr>
        <w:pStyle w:val="null3"/>
        <w:ind w:firstLine="480"/>
        <w:jc w:val="both"/>
      </w:pPr>
      <w:r>
        <w:rPr>
          <w:sz w:val="24"/>
        </w:rPr>
        <w:t>详细价格、技术说明及其它有关合同货物、设备、软件、服务的特定信息由合同附件说明。所有合同附件及本项目的采购文件（或招标文件）、响应文件（或投标文件）、协议等均为本合同不可分割之一部分。</w:t>
      </w:r>
    </w:p>
    <w:p>
      <w:pPr>
        <w:pStyle w:val="null3"/>
        <w:jc w:val="both"/>
      </w:pPr>
      <w:r>
        <w:rPr>
          <w:sz w:val="24"/>
          <w:b/>
        </w:rPr>
        <w:t>四、 技术要求</w:t>
      </w:r>
    </w:p>
    <w:p>
      <w:pPr>
        <w:pStyle w:val="null3"/>
        <w:ind w:firstLine="480"/>
        <w:jc w:val="both"/>
      </w:pPr>
      <w:r>
        <w:rPr>
          <w:sz w:val="24"/>
        </w:rPr>
        <w:t>4.1</w:t>
      </w:r>
      <w:r>
        <w:rPr>
          <w:sz w:val="24"/>
        </w:rPr>
        <w:t>乙方所提供的货物、设备、软件、服务及配套配件，必须符合国家有关规范和甲方的技术要求，并提供货物的厂试测验报告（保修卡、合格证、出厂检验报告等质量相关证明文件）。</w:t>
      </w:r>
    </w:p>
    <w:p>
      <w:pPr>
        <w:pStyle w:val="null3"/>
        <w:ind w:firstLine="480"/>
        <w:jc w:val="both"/>
      </w:pPr>
      <w:r>
        <w:rPr>
          <w:sz w:val="24"/>
        </w:rPr>
        <w:t xml:space="preserve">4.2 </w:t>
      </w:r>
      <w:r>
        <w:rPr>
          <w:sz w:val="24"/>
        </w:rPr>
        <w:t>乙方提供的货物、设备、服务保证能与甲方原有设备或系统进行良好兼容，并且不能影响甲方原有设备或系统的性能。</w:t>
      </w:r>
    </w:p>
    <w:p>
      <w:pPr>
        <w:pStyle w:val="null3"/>
        <w:jc w:val="both"/>
      </w:pPr>
      <w:r>
        <w:rPr>
          <w:sz w:val="24"/>
          <w:b/>
        </w:rPr>
        <w:t>五、 合同标的物包装、交货、安装及验收</w:t>
      </w:r>
    </w:p>
    <w:p>
      <w:pPr>
        <w:pStyle w:val="null3"/>
        <w:jc w:val="both"/>
      </w:pPr>
      <w:r>
        <w:rPr>
          <w:sz w:val="24"/>
        </w:rPr>
        <w:t xml:space="preserve">5.1 </w:t>
      </w:r>
      <w:r>
        <w:rPr>
          <w:sz w:val="24"/>
        </w:rPr>
        <w:t>合同标的物的包装</w:t>
      </w:r>
    </w:p>
    <w:p>
      <w:pPr>
        <w:pStyle w:val="null3"/>
        <w:ind w:firstLine="480"/>
        <w:jc w:val="both"/>
      </w:pPr>
      <w:r>
        <w:rPr>
          <w:sz w:val="24"/>
        </w:rPr>
        <w:t>合同标的物包装均应有良好的防湿、防锈、防潮、防雨、防腐及防碰撞的措施。凡由于包装不良造成的损失和由此产生的费用均由乙方承担，且乙方应按甲方要求在规定的时间内重新提供新的符合验收要求的货物。</w:t>
      </w:r>
    </w:p>
    <w:p>
      <w:pPr>
        <w:pStyle w:val="null3"/>
        <w:jc w:val="both"/>
      </w:pPr>
      <w:r>
        <w:rPr>
          <w:sz w:val="24"/>
        </w:rPr>
        <w:t xml:space="preserve">5.2 </w:t>
      </w:r>
      <w:r>
        <w:rPr>
          <w:sz w:val="24"/>
        </w:rPr>
        <w:t>合同标的物的交货</w:t>
      </w:r>
    </w:p>
    <w:p>
      <w:pPr>
        <w:pStyle w:val="null3"/>
        <w:ind w:left="420"/>
        <w:jc w:val="both"/>
      </w:pPr>
      <w:r>
        <w:rPr>
          <w:sz w:val="24"/>
        </w:rPr>
        <w:t xml:space="preserve">5.2.1 </w:t>
      </w:r>
      <w:r>
        <w:rPr>
          <w:sz w:val="24"/>
        </w:rPr>
        <w:t>项目工期：</w:t>
      </w:r>
    </w:p>
    <w:p>
      <w:pPr>
        <w:pStyle w:val="null3"/>
        <w:ind w:firstLine="480"/>
        <w:jc w:val="both"/>
      </w:pPr>
      <w:r>
        <w:rPr>
          <w:sz w:val="24"/>
        </w:rPr>
        <w:t>合同签订后10个工作日内，乙方按照甲方及监理方（如有）要求办理完开工手续（即：审批通过《开工申请单》及《实施方案》）及安排人员进场实施。</w:t>
      </w:r>
    </w:p>
    <w:p>
      <w:pPr>
        <w:pStyle w:val="null3"/>
        <w:ind w:firstLine="480"/>
        <w:jc w:val="both"/>
      </w:pPr>
      <w:r>
        <w:rPr>
          <w:sz w:val="24"/>
        </w:rPr>
        <w:t>合同签订后的</w:t>
      </w:r>
      <w:r>
        <w:rPr>
          <w:sz w:val="24"/>
          <w:u w:val="single"/>
        </w:rPr>
        <w:t xml:space="preserve"> XX  </w:t>
      </w:r>
      <w:r>
        <w:rPr>
          <w:sz w:val="24"/>
        </w:rPr>
        <w:t>天内完成项目/设备的调研、设计（如有）、开箱检验、</w:t>
      </w:r>
      <w:r>
        <w:rPr>
          <w:sz w:val="24"/>
        </w:rPr>
        <w:t>安装、测试</w:t>
      </w:r>
      <w:r>
        <w:rPr>
          <w:sz w:val="24"/>
        </w:rPr>
        <w:t>等，直至正常运行。</w:t>
      </w:r>
    </w:p>
    <w:p>
      <w:pPr>
        <w:pStyle w:val="null3"/>
        <w:ind w:left="420"/>
        <w:jc w:val="both"/>
      </w:pPr>
      <w:r>
        <w:rPr>
          <w:sz w:val="24"/>
        </w:rPr>
        <w:t xml:space="preserve">5.2.2 </w:t>
      </w:r>
      <w:r>
        <w:rPr>
          <w:sz w:val="24"/>
        </w:rPr>
        <w:t>乙方交货地点：运输、卸车并安装至甲方指定地点。</w:t>
      </w:r>
    </w:p>
    <w:p>
      <w:pPr>
        <w:pStyle w:val="null3"/>
        <w:jc w:val="both"/>
      </w:pPr>
      <w:r>
        <w:rPr>
          <w:sz w:val="24"/>
        </w:rPr>
        <w:t xml:space="preserve">5.3 </w:t>
      </w:r>
      <w:r>
        <w:rPr>
          <w:sz w:val="24"/>
        </w:rPr>
        <w:t>合同标的物的安装</w:t>
      </w:r>
    </w:p>
    <w:p>
      <w:pPr>
        <w:pStyle w:val="null3"/>
        <w:ind w:left="420"/>
        <w:jc w:val="both"/>
      </w:pPr>
      <w:r>
        <w:rPr>
          <w:sz w:val="24"/>
        </w:rPr>
        <w:t xml:space="preserve">5.3.1 </w:t>
      </w:r>
      <w:r>
        <w:rPr>
          <w:sz w:val="24"/>
        </w:rPr>
        <w:t>乙方负责合同项下标的安装、调试等，相关费用已包含在本合同总价中，甲方无需另行支付费用。</w:t>
      </w:r>
    </w:p>
    <w:p>
      <w:pPr>
        <w:pStyle w:val="null3"/>
        <w:ind w:left="420"/>
        <w:jc w:val="both"/>
      </w:pPr>
      <w:r>
        <w:rPr>
          <w:sz w:val="24"/>
        </w:rPr>
        <w:t xml:space="preserve">5.3.2 </w:t>
      </w:r>
      <w:r>
        <w:rPr>
          <w:sz w:val="24"/>
        </w:rPr>
        <w:t>乙方安装时须对各安装场地内的其他设备、设施有良好保护措施；设备/系统及用户等账号采用强密码策略，禁止使用常见密码和弱密码。</w:t>
      </w:r>
    </w:p>
    <w:p>
      <w:pPr>
        <w:pStyle w:val="null3"/>
        <w:ind w:left="420"/>
        <w:jc w:val="both"/>
      </w:pPr>
      <w:r>
        <w:rPr>
          <w:sz w:val="24"/>
        </w:rPr>
        <w:t xml:space="preserve">5.3.3 </w:t>
      </w:r>
      <w:r>
        <w:rPr>
          <w:sz w:val="24"/>
        </w:rPr>
        <w:t>安装过程中出现的一切安全责任以及财产损失或人身损害，均由乙方自行负责</w:t>
      </w:r>
    </w:p>
    <w:p>
      <w:pPr>
        <w:pStyle w:val="null3"/>
        <w:jc w:val="both"/>
      </w:pPr>
      <w:r>
        <w:rPr>
          <w:sz w:val="24"/>
        </w:rPr>
        <w:t xml:space="preserve">5.4 </w:t>
      </w:r>
      <w:r>
        <w:rPr>
          <w:sz w:val="24"/>
        </w:rPr>
        <w:t>验收</w:t>
      </w:r>
    </w:p>
    <w:p>
      <w:pPr>
        <w:pStyle w:val="null3"/>
        <w:ind w:left="420"/>
        <w:jc w:val="both"/>
      </w:pPr>
      <w:r>
        <w:rPr>
          <w:sz w:val="24"/>
        </w:rPr>
        <w:t xml:space="preserve">5.4.1 </w:t>
      </w:r>
      <w:r>
        <w:rPr>
          <w:sz w:val="24"/>
        </w:rPr>
        <w:t>合同货物、设备、软件、服务及配套设备安装完成且甲方试用其性能达标，并稳定运行</w:t>
      </w:r>
      <w:r>
        <w:rPr>
          <w:sz w:val="24"/>
          <w:u w:val="single"/>
        </w:rPr>
        <w:t xml:space="preserve">  60  </w:t>
      </w:r>
      <w:r>
        <w:rPr>
          <w:sz w:val="24"/>
        </w:rPr>
        <w:t>天后组织项目验收，验收应在甲、乙、监理（如有）方共同参加下进行。</w:t>
      </w:r>
    </w:p>
    <w:p>
      <w:pPr>
        <w:pStyle w:val="null3"/>
        <w:ind w:left="420"/>
        <w:jc w:val="both"/>
      </w:pPr>
      <w:r>
        <w:rPr>
          <w:sz w:val="24"/>
        </w:rPr>
        <w:t xml:space="preserve">5.4.2 </w:t>
      </w:r>
      <w:r>
        <w:rPr>
          <w:sz w:val="24"/>
        </w:rPr>
        <w:t>乙方在验收时须向甲方提供与本合同项下货物、设备、软件、服务及配套设备相符且完整的技术资料，技术资料包括但不限于：</w:t>
      </w:r>
      <w:r>
        <w:rPr>
          <w:sz w:val="24"/>
          <w:u w:val="single"/>
        </w:rPr>
        <w:t>①</w:t>
      </w:r>
      <w:r>
        <w:rPr>
          <w:sz w:val="24"/>
          <w:u w:val="single"/>
        </w:rPr>
        <w:t>两套中文使用说明书；</w:t>
      </w:r>
      <w:r>
        <w:rPr>
          <w:sz w:val="24"/>
          <w:u w:val="single"/>
        </w:rPr>
        <w:t>②</w:t>
      </w:r>
      <w:r>
        <w:rPr>
          <w:sz w:val="24"/>
          <w:u w:val="single"/>
        </w:rPr>
        <w:t>出厂合格证或出厂检测报告；</w:t>
      </w:r>
      <w:r>
        <w:rPr>
          <w:sz w:val="24"/>
          <w:u w:val="single"/>
        </w:rPr>
        <w:t>③</w:t>
      </w:r>
      <w:r>
        <w:rPr>
          <w:sz w:val="24"/>
          <w:u w:val="single"/>
        </w:rPr>
        <w:t>安装调试报告；</w:t>
      </w:r>
      <w:r>
        <w:rPr>
          <w:sz w:val="24"/>
          <w:u w:val="single"/>
        </w:rPr>
        <w:t>④</w:t>
      </w:r>
      <w:r>
        <w:rPr>
          <w:sz w:val="24"/>
          <w:u w:val="single"/>
        </w:rPr>
        <w:t>人员培训报告；</w:t>
      </w:r>
      <w:r>
        <w:rPr>
          <w:sz w:val="24"/>
          <w:u w:val="single"/>
        </w:rPr>
        <w:t>⑤</w:t>
      </w:r>
      <w:r>
        <w:rPr>
          <w:sz w:val="24"/>
          <w:u w:val="single"/>
        </w:rPr>
        <w:t>进口货物、设备还需要提供进口货物报关单、入境货物检验检疫证明；⑥项目实施过程文档等。</w:t>
      </w:r>
    </w:p>
    <w:p>
      <w:pPr>
        <w:pStyle w:val="null3"/>
        <w:ind w:left="420" w:firstLine="480"/>
        <w:jc w:val="both"/>
      </w:pPr>
      <w:r>
        <w:rPr>
          <w:sz w:val="24"/>
        </w:rPr>
        <w:t>如果乙方提供的技术资料不齐全，甲方有权拒绝接收货物、设备</w:t>
      </w:r>
      <w:r>
        <w:rPr>
          <w:sz w:val="24"/>
        </w:rPr>
        <w:t>、软件、服务及配套设备，乙方拒不配合的，甲方有权直接处置乙方应运走的货物/设备/配套设备等，乙方须承担由此产生的一切经济损失。</w:t>
      </w:r>
    </w:p>
    <w:p>
      <w:pPr>
        <w:pStyle w:val="null3"/>
        <w:ind w:left="420"/>
        <w:jc w:val="both"/>
      </w:pPr>
      <w:r>
        <w:rPr>
          <w:sz w:val="24"/>
        </w:rPr>
        <w:t xml:space="preserve">5.4.3 </w:t>
      </w:r>
      <w:r>
        <w:rPr>
          <w:sz w:val="24"/>
        </w:rPr>
        <w:t>验收标准：</w:t>
      </w:r>
    </w:p>
    <w:p>
      <w:pPr>
        <w:pStyle w:val="null3"/>
        <w:ind w:left="420" w:firstLine="480"/>
        <w:jc w:val="both"/>
      </w:pPr>
      <w:r>
        <w:rPr>
          <w:sz w:val="24"/>
        </w:rPr>
        <w:t>按本合同的有关规定。</w:t>
      </w:r>
    </w:p>
    <w:p>
      <w:pPr>
        <w:pStyle w:val="null3"/>
        <w:ind w:left="420"/>
        <w:jc w:val="both"/>
      </w:pPr>
      <w:r>
        <w:rPr>
          <w:sz w:val="24"/>
        </w:rPr>
        <w:t xml:space="preserve">5.4.4 </w:t>
      </w:r>
      <w:r>
        <w:rPr>
          <w:sz w:val="24"/>
        </w:rPr>
        <w:t>验收按国家有关的规定、规范进行。合同货物、设备、软件、服务及配套设备全部通过开箱验收；合同货物、设备、软件、服务及配套设备全部安装调试部署完成，并稳定运行</w:t>
      </w:r>
      <w:r>
        <w:rPr>
          <w:sz w:val="24"/>
          <w:u w:val="single"/>
        </w:rPr>
        <w:t xml:space="preserve">  60  </w:t>
      </w:r>
      <w:r>
        <w:rPr>
          <w:sz w:val="24"/>
        </w:rPr>
        <w:t>天后，经甲、乙、监理方（如有）共同确认并出具《项目验收报告》，视为验收合格。</w:t>
      </w:r>
    </w:p>
    <w:p>
      <w:pPr>
        <w:pStyle w:val="null3"/>
        <w:ind w:left="420"/>
        <w:jc w:val="both"/>
      </w:pPr>
      <w:r>
        <w:rPr>
          <w:sz w:val="24"/>
        </w:rPr>
        <w:t xml:space="preserve">5.4.5 </w:t>
      </w:r>
      <w:r>
        <w:rPr>
          <w:sz w:val="24"/>
        </w:rPr>
        <w:t>甲方、监理方（如有）在验收中如发现货物、设备、软件、服务及配套设备不符合本合同的约定，有权拒收货物、设备、软件、服务及配套设备，并签发拒绝收货通知书。如果甲方、监理方（如有）同意更换的，乙方应于收到拒绝收货通知书之日起按国产货物7个工作日内、进口货物15个工作日内的期限重新提供符合本合同约定的货物、设备，否则，视为乙方逾期交货。甲方因前述原因拒收货物而产生的一切费用和责任均由乙方承担。</w:t>
      </w:r>
    </w:p>
    <w:p>
      <w:pPr>
        <w:pStyle w:val="null3"/>
        <w:ind w:left="420"/>
        <w:jc w:val="both"/>
      </w:pPr>
      <w:r>
        <w:rPr>
          <w:sz w:val="24"/>
        </w:rPr>
        <w:t xml:space="preserve">5.4.6 </w:t>
      </w:r>
      <w:r>
        <w:rPr>
          <w:sz w:val="24"/>
        </w:rPr>
        <w:t>验收时如发现所交付的货物、设备、软件、服务及配套设备有短装、次品、损坏或其它不符合本合同规定之情形者，甲方、监理方（如有）应作出详尽的现场记录，或由甲、乙、监理方（如有）三方签署备忘录。此现场记录或备忘录可用作补充、缺失和更换损坏部件的有效证据。由此产生的有关费用由乙方承担。</w:t>
      </w:r>
    </w:p>
    <w:p>
      <w:pPr>
        <w:pStyle w:val="null3"/>
        <w:ind w:left="420"/>
        <w:jc w:val="both"/>
      </w:pPr>
      <w:r>
        <w:rPr>
          <w:sz w:val="24"/>
        </w:rPr>
        <w:t xml:space="preserve">5.4.7 </w:t>
      </w:r>
      <w:r>
        <w:rPr>
          <w:sz w:val="24"/>
        </w:rPr>
        <w:t>如果合同标的物在运输和安装过程中因事故造成货物、设备、软件、服务及配套设备短缺、损坏，乙方应及时安排换装，以保证本合同货物、设备的安装能按本合同约定的期限成功完成。换货的相关费用由乙方承担。</w:t>
      </w:r>
    </w:p>
    <w:p>
      <w:pPr>
        <w:pStyle w:val="null3"/>
        <w:jc w:val="both"/>
      </w:pPr>
      <w:r>
        <w:rPr>
          <w:sz w:val="24"/>
        </w:rPr>
        <w:t xml:space="preserve">5.5 </w:t>
      </w:r>
      <w:r>
        <w:rPr>
          <w:sz w:val="24"/>
        </w:rPr>
        <w:t>乙方保证本合同项下提供的货物、设备、软件、服务及配套设备不侵犯任何第三方的专利、商标或版权。否则，乙方须承担对第三方的专利或版权的侵权责任并承担甲方因此而发生的所有费用和遭受的间接损失</w:t>
      </w:r>
    </w:p>
    <w:p>
      <w:pPr>
        <w:pStyle w:val="null3"/>
        <w:jc w:val="both"/>
      </w:pPr>
      <w:r>
        <w:rPr>
          <w:sz w:val="24"/>
        </w:rPr>
        <w:t xml:space="preserve">5.6 </w:t>
      </w:r>
      <w:r>
        <w:rPr>
          <w:sz w:val="24"/>
        </w:rPr>
        <w:t>乙方应就交付的货物、设备、软件、服务及配套设备，保证甲方免受任何第三方主张任何权利（第三方主张的权利包括但不仅限于：对合同标的物主张所有权或知识产权等）。</w:t>
      </w:r>
    </w:p>
    <w:p>
      <w:pPr>
        <w:pStyle w:val="null3"/>
        <w:ind w:left="420"/>
        <w:jc w:val="both"/>
      </w:pPr>
      <w:r>
        <w:rPr>
          <w:sz w:val="24"/>
        </w:rPr>
        <w:t xml:space="preserve">5.6.1 </w:t>
      </w:r>
      <w:r>
        <w:rPr>
          <w:sz w:val="24"/>
        </w:rPr>
        <w:t>若有第三方对合同标的物主张上述权利的侵权损害赔偿请求，由乙方承担全部法律责任；甲方有权解除本合同，且乙方应向甲方承担包括赔偿甲方直接或间接损失在内的全部违约责任。</w:t>
      </w:r>
    </w:p>
    <w:p>
      <w:pPr>
        <w:pStyle w:val="null3"/>
        <w:ind w:left="420"/>
        <w:jc w:val="both"/>
      </w:pPr>
      <w:r>
        <w:rPr>
          <w:sz w:val="24"/>
        </w:rPr>
        <w:t xml:space="preserve">5.6.2 </w:t>
      </w:r>
      <w:r>
        <w:rPr>
          <w:sz w:val="24"/>
        </w:rPr>
        <w:t>在合同履行过程中，甲方有确切证据证明第三方可能就合同标的物主张上述权利的，甲方有权中止支付相应的价款，如甲方已支付部分价款，则有权要求乙方返还已收取的价款；但乙方提供适当担保的除外。</w:t>
      </w:r>
    </w:p>
    <w:p>
      <w:pPr>
        <w:pStyle w:val="null3"/>
        <w:ind w:left="420"/>
        <w:jc w:val="both"/>
      </w:pPr>
      <w:r>
        <w:rPr>
          <w:sz w:val="24"/>
        </w:rPr>
        <w:t xml:space="preserve">5.6.3 </w:t>
      </w:r>
      <w:r>
        <w:rPr>
          <w:sz w:val="24"/>
        </w:rPr>
        <w:t>因第三方就合同标的对甲方主张权利而发生的纠纷，乙方应承担相应的法律责任和诉讼费用、律师费用、保全费用、保函费用、鉴定费用、差旅费用等为解除纠纷而发生的费用以及由此给甲方造成的一切直接或间接经济损失。</w:t>
      </w:r>
    </w:p>
    <w:p>
      <w:pPr>
        <w:pStyle w:val="null3"/>
        <w:jc w:val="both"/>
      </w:pPr>
      <w:r>
        <w:rPr>
          <w:sz w:val="24"/>
        </w:rPr>
        <w:t xml:space="preserve">5.7 </w:t>
      </w:r>
      <w:r>
        <w:rPr>
          <w:sz w:val="24"/>
        </w:rPr>
        <w:t>风险承担</w:t>
      </w:r>
    </w:p>
    <w:p>
      <w:pPr>
        <w:pStyle w:val="null3"/>
        <w:ind w:left="420"/>
        <w:jc w:val="both"/>
      </w:pPr>
      <w:r>
        <w:rPr>
          <w:sz w:val="24"/>
        </w:rPr>
        <w:t xml:space="preserve">5.7.1 </w:t>
      </w:r>
      <w:r>
        <w:rPr>
          <w:sz w:val="24"/>
        </w:rPr>
        <w:t>货物、设备、软件、服务及配套设备毁损、灭失的风险，在货物、设备、软件、服务及配套设备经甲方验收合格以前由乙方承担，在货物、设备、软件、服务及配套设备经甲方验收合格以后由甲方承担。</w:t>
      </w:r>
    </w:p>
    <w:p>
      <w:pPr>
        <w:pStyle w:val="null3"/>
        <w:ind w:left="420"/>
        <w:jc w:val="both"/>
      </w:pPr>
      <w:r>
        <w:rPr>
          <w:sz w:val="24"/>
        </w:rPr>
        <w:t xml:space="preserve">5.7.2 </w:t>
      </w:r>
      <w:r>
        <w:rPr>
          <w:sz w:val="24"/>
        </w:rPr>
        <w:t>甲方因货物、设备、软件、服务及配套设备质量不符合约定的质量要求而拒绝接收货物或解除合同的，货物、设备毁损、灭失的风险由乙方承担。</w:t>
      </w:r>
    </w:p>
    <w:p>
      <w:pPr>
        <w:pStyle w:val="null3"/>
        <w:ind w:left="420"/>
        <w:jc w:val="both"/>
      </w:pPr>
      <w:r>
        <w:rPr>
          <w:sz w:val="24"/>
        </w:rPr>
        <w:t xml:space="preserve">5.7.3 </w:t>
      </w:r>
      <w:r>
        <w:rPr>
          <w:sz w:val="24"/>
        </w:rPr>
        <w:t>经甲方验收合格后，货物、设备、软件、服务及配套设备毁损、灭失的风险由甲方承担的，不影响因乙方履行其他合同义务不符合约定的，甲方要求其承担违约责任的权利。</w:t>
      </w:r>
    </w:p>
    <w:p>
      <w:pPr>
        <w:pStyle w:val="null3"/>
        <w:ind w:left="420"/>
        <w:jc w:val="both"/>
      </w:pPr>
      <w:r>
        <w:rPr>
          <w:sz w:val="24"/>
        </w:rPr>
        <w:t xml:space="preserve">5.7.4 </w:t>
      </w:r>
      <w:r>
        <w:rPr>
          <w:sz w:val="24"/>
        </w:rPr>
        <w:t>由乙方承担货物、设备、软件、服务及配套设备毁损、灭失风险，如货物、设备、软件、服务及配套设备毁损或灭失的，乙方应按国产货物7个工作日内、进口货物15个工作日内的期限重新提供符合合同规定的货物、设备、软件、服务及配套设备，否则，视为乙方逾期交货。</w:t>
      </w:r>
    </w:p>
    <w:p>
      <w:pPr>
        <w:pStyle w:val="null3"/>
        <w:ind w:left="420"/>
        <w:jc w:val="both"/>
      </w:pPr>
      <w:r>
        <w:rPr>
          <w:sz w:val="24"/>
        </w:rPr>
        <w:t xml:space="preserve">5.7.5 </w:t>
      </w:r>
      <w:r>
        <w:rPr>
          <w:sz w:val="24"/>
        </w:rPr>
        <w:t>由甲方承担货物、设备、软件、服务及配套设备毁损、灭失风险的，则甲方不能免除给付货款的义务。</w:t>
      </w:r>
    </w:p>
    <w:p>
      <w:pPr>
        <w:pStyle w:val="null3"/>
        <w:jc w:val="both"/>
      </w:pPr>
      <w:r>
        <w:rPr>
          <w:sz w:val="24"/>
          <w:b/>
        </w:rPr>
        <w:t>六、 质量保证及售后服务</w:t>
      </w:r>
    </w:p>
    <w:p>
      <w:pPr>
        <w:pStyle w:val="null3"/>
        <w:jc w:val="both"/>
      </w:pPr>
      <w:r>
        <w:rPr>
          <w:sz w:val="24"/>
        </w:rPr>
        <w:t xml:space="preserve">6.1 </w:t>
      </w:r>
      <w:r>
        <w:rPr>
          <w:sz w:val="24"/>
        </w:rPr>
        <w:t>乙方保证合同货物、设备、软件、服务及配套设备是全新的（出厂日期距离合同签订之日不得超过</w:t>
      </w:r>
      <w:r>
        <w:rPr>
          <w:sz w:val="24"/>
          <w:u w:val="single"/>
        </w:rPr>
        <w:t xml:space="preserve">  壹  </w:t>
      </w:r>
      <w:r>
        <w:rPr>
          <w:sz w:val="24"/>
        </w:rPr>
        <w:t>年）、未曾使用过的，且进货渠道合法。合同货物、设备、软件、服务及配套设备必须具备出厂合格证或出厂检测报告（进口货物、设备、软件、服务及配套设备还需要提供进口货物报关单、入境货物检验检疫证明），其质量、规格及技术特征符合合同附件的要求（在本条款下，如甲方对乙方交付的货物存在异议，乙方须提供相关的证明文件并附书面说明，如货物、设备、软件、服务及配套设备生产商出具书面出厂证明等，用以有效解释、证明甲方所质疑的事项）。</w:t>
      </w:r>
    </w:p>
    <w:p>
      <w:pPr>
        <w:pStyle w:val="null3"/>
        <w:jc w:val="both"/>
      </w:pPr>
      <w:r>
        <w:rPr>
          <w:sz w:val="24"/>
        </w:rPr>
        <w:t xml:space="preserve">6.2 </w:t>
      </w:r>
      <w:r>
        <w:rPr>
          <w:sz w:val="24"/>
        </w:rPr>
        <w:t>合同标的的保修期自验收合格之日起</w:t>
      </w:r>
      <w:r>
        <w:rPr>
          <w:sz w:val="24"/>
          <w:u w:val="single"/>
        </w:rPr>
        <w:t xml:space="preserve">   XX  </w:t>
      </w:r>
      <w:r>
        <w:rPr>
          <w:sz w:val="24"/>
        </w:rPr>
        <w:t>个月（详见响应文件）。保修期内非因甲方人为原因而出现产品质量及安装问题，由乙方负责包修、包换或包退，并承担因此而产生的一切费用。乙方应在收到甲方报修通知后【】小时（详见响应文件）内派员到现场维修。下列情况乙方不负责保修，但乙方需对此提供证明材料予以证明：</w:t>
      </w:r>
    </w:p>
    <w:p>
      <w:pPr>
        <w:pStyle w:val="null3"/>
        <w:ind w:firstLine="480"/>
        <w:jc w:val="both"/>
      </w:pPr>
      <w:r>
        <w:rPr>
          <w:sz w:val="24"/>
        </w:rPr>
        <w:t xml:space="preserve">6.3.1 </w:t>
      </w:r>
      <w:r>
        <w:rPr>
          <w:sz w:val="24"/>
        </w:rPr>
        <w:t>甲方不按照乙方提供的正确使用方法而引致合同标的故障损坏；</w:t>
      </w:r>
    </w:p>
    <w:p>
      <w:pPr>
        <w:pStyle w:val="null3"/>
        <w:ind w:firstLine="480"/>
        <w:jc w:val="both"/>
      </w:pPr>
      <w:r>
        <w:rPr>
          <w:sz w:val="24"/>
        </w:rPr>
        <w:t xml:space="preserve">6.3.2 </w:t>
      </w:r>
      <w:r>
        <w:rPr>
          <w:sz w:val="24"/>
        </w:rPr>
        <w:t>甲方擅自修改系统或改装合同标的；</w:t>
      </w:r>
    </w:p>
    <w:p>
      <w:pPr>
        <w:pStyle w:val="null3"/>
        <w:ind w:firstLine="480"/>
        <w:jc w:val="both"/>
      </w:pPr>
      <w:r>
        <w:rPr>
          <w:sz w:val="24"/>
        </w:rPr>
        <w:t xml:space="preserve">6.3.3 </w:t>
      </w:r>
      <w:r>
        <w:rPr>
          <w:sz w:val="24"/>
        </w:rPr>
        <w:t>非乙方过错的人为因素或天灾等外来因素造成的损坏。</w:t>
      </w:r>
    </w:p>
    <w:p>
      <w:pPr>
        <w:pStyle w:val="null3"/>
        <w:jc w:val="both"/>
      </w:pPr>
      <w:r>
        <w:rPr>
          <w:sz w:val="24"/>
        </w:rPr>
        <w:t xml:space="preserve">6.3 </w:t>
      </w:r>
      <w:r>
        <w:rPr>
          <w:sz w:val="24"/>
        </w:rPr>
        <w:t>因产品的质量问题而发生争议，甲乙双方均有权向广东省有资质的质检部门申请质量鉴定。产品符合质量标准的，鉴定费用由甲方承担；产品不符合质量标准的，鉴定费用由乙方承担。</w:t>
      </w:r>
    </w:p>
    <w:p>
      <w:pPr>
        <w:pStyle w:val="null3"/>
        <w:jc w:val="both"/>
      </w:pPr>
      <w:r>
        <w:rPr>
          <w:sz w:val="24"/>
        </w:rPr>
        <w:t xml:space="preserve">6.4 </w:t>
      </w:r>
      <w:r>
        <w:rPr>
          <w:sz w:val="24"/>
        </w:rPr>
        <w:t>乙方无偿培训甲方使用人员、维护及维修人员，主要内容为合同标的的基本结构、性能、主要部件/模块的构造及维护，日常使用与管理，常见故障的排除，紧急情况的处理等，培训地点主要在产品安装现场或按甲方安排。</w:t>
      </w:r>
    </w:p>
    <w:p>
      <w:pPr>
        <w:pStyle w:val="null3"/>
        <w:jc w:val="both"/>
      </w:pPr>
      <w:r>
        <w:rPr>
          <w:sz w:val="24"/>
          <w:b/>
        </w:rPr>
        <w:t>七、 付款时间及方式</w:t>
      </w:r>
    </w:p>
    <w:p>
      <w:pPr>
        <w:pStyle w:val="null3"/>
        <w:ind w:right="-60" w:firstLine="480"/>
        <w:jc w:val="both"/>
      </w:pPr>
      <w:r>
        <w:rPr>
          <w:sz w:val="24"/>
        </w:rPr>
        <w:t xml:space="preserve">7.1 </w:t>
      </w:r>
      <w:r>
        <w:rPr>
          <w:sz w:val="24"/>
        </w:rPr>
        <w:t>（详见用户需求）</w:t>
      </w:r>
    </w:p>
    <w:p>
      <w:pPr>
        <w:pStyle w:val="null3"/>
        <w:ind w:right="-60" w:firstLine="480"/>
        <w:jc w:val="both"/>
      </w:pPr>
      <w:r>
        <w:rPr>
          <w:sz w:val="24"/>
        </w:rPr>
        <w:t>7.2</w:t>
      </w:r>
    </w:p>
    <w:p>
      <w:pPr>
        <w:pStyle w:val="null3"/>
        <w:ind w:firstLine="480"/>
        <w:jc w:val="both"/>
      </w:pPr>
      <w:r>
        <w:rPr>
          <w:sz w:val="24"/>
        </w:rPr>
        <w:t>7.3</w:t>
      </w:r>
    </w:p>
    <w:p>
      <w:pPr>
        <w:pStyle w:val="null3"/>
        <w:ind w:firstLine="480"/>
        <w:jc w:val="both"/>
      </w:pPr>
      <w:r>
        <w:rPr>
          <w:sz w:val="24"/>
        </w:rPr>
        <w:t>7.4</w:t>
      </w:r>
      <w:r>
        <w:rPr>
          <w:sz w:val="24"/>
        </w:rPr>
        <w:t>如乙</w:t>
      </w:r>
      <w:r>
        <w:rPr>
          <w:sz w:val="24"/>
        </w:rPr>
        <w:t>方违反甲方《广东医科大学附属医院信息化项目建设管理制度》，确认、统计后出现扣款情况的，甲方将从</w:t>
      </w:r>
      <w:r>
        <w:rPr>
          <w:sz w:val="24"/>
        </w:rPr>
        <w:t>本项目</w:t>
      </w:r>
      <w:r>
        <w:rPr>
          <w:sz w:val="24"/>
        </w:rPr>
        <w:t>货款中予以扣除相应金额，货款不足以抵扣的部分由乙方直接向甲方支付。</w:t>
      </w:r>
    </w:p>
    <w:p>
      <w:pPr>
        <w:pStyle w:val="null3"/>
        <w:ind w:firstLine="480"/>
        <w:jc w:val="both"/>
      </w:pPr>
      <w:r>
        <w:rPr>
          <w:sz w:val="24"/>
        </w:rPr>
        <w:t>7.5</w:t>
      </w:r>
      <w:r>
        <w:rPr>
          <w:sz w:val="24"/>
        </w:rPr>
        <w:t>甲方开</w:t>
      </w:r>
      <w:r>
        <w:rPr>
          <w:sz w:val="24"/>
        </w:rPr>
        <w:t>票详细信息：</w:t>
      </w:r>
    </w:p>
    <w:tbl>
      <w:tblPr>
        <w:tblW w:w="0" w:type="auto"/>
        <w:tblInd w:type="dxa" w:w="645"/>
        <w:tblBorders>
          <w:top w:val="none" w:color="000000" w:sz="4"/>
          <w:left w:val="none" w:color="000000" w:sz="4"/>
          <w:bottom w:val="none" w:color="000000" w:sz="4"/>
          <w:right w:val="none" w:color="000000" w:sz="4"/>
          <w:insideH w:val="none"/>
          <w:insideV w:val="none"/>
        </w:tblBorders>
      </w:tblPr>
      <w:tblGrid>
        <w:gridCol w:w="2010"/>
        <w:gridCol w:w="5700"/>
      </w:tblGrid>
      <w:tr>
        <w:tc>
          <w:tcPr>
            <w:tcW w:type="dxa" w:w="201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单位名称</w:t>
            </w:r>
          </w:p>
        </w:tc>
        <w:tc>
          <w:tcPr>
            <w:tcW w:type="dxa" w:w="57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广东医科大学附属医院</w:t>
            </w:r>
          </w:p>
        </w:tc>
      </w:tr>
      <w:tr>
        <w:tc>
          <w:tcPr>
            <w:tcW w:type="dxa" w:w="20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统一社会信用代码</w:t>
            </w:r>
          </w:p>
        </w:tc>
        <w:tc>
          <w:tcPr>
            <w:tcW w:type="dxa" w:w="5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12440000455858169P</w:t>
            </w:r>
          </w:p>
        </w:tc>
      </w:tr>
      <w:tr>
        <w:tc>
          <w:tcPr>
            <w:tcW w:type="dxa" w:w="20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地址</w:t>
            </w:r>
          </w:p>
        </w:tc>
        <w:tc>
          <w:tcPr>
            <w:tcW w:type="dxa" w:w="5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广东省湛江市霞山区人民大道南57号</w:t>
            </w:r>
          </w:p>
        </w:tc>
      </w:tr>
      <w:tr>
        <w:tc>
          <w:tcPr>
            <w:tcW w:type="dxa" w:w="20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电话</w:t>
            </w:r>
          </w:p>
        </w:tc>
        <w:tc>
          <w:tcPr>
            <w:tcW w:type="dxa" w:w="5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0759-2387612</w:t>
            </w:r>
          </w:p>
        </w:tc>
      </w:tr>
      <w:tr>
        <w:tc>
          <w:tcPr>
            <w:tcW w:type="dxa" w:w="20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开户行</w:t>
            </w:r>
          </w:p>
        </w:tc>
        <w:tc>
          <w:tcPr>
            <w:tcW w:type="dxa" w:w="5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广发银行湛江岭南支行</w:t>
            </w:r>
          </w:p>
        </w:tc>
      </w:tr>
      <w:tr>
        <w:tc>
          <w:tcPr>
            <w:tcW w:type="dxa" w:w="201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账号</w:t>
            </w:r>
          </w:p>
        </w:tc>
        <w:tc>
          <w:tcPr>
            <w:tcW w:type="dxa" w:w="5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109008516010000123</w:t>
            </w:r>
          </w:p>
        </w:tc>
      </w:tr>
    </w:tbl>
    <w:p>
      <w:pPr>
        <w:pStyle w:val="null3"/>
        <w:ind w:firstLine="480"/>
        <w:jc w:val="both"/>
      </w:pPr>
      <w:r>
        <w:rPr>
          <w:sz w:val="24"/>
        </w:rPr>
        <w:t>7.6</w:t>
      </w:r>
      <w:r>
        <w:rPr>
          <w:sz w:val="24"/>
        </w:rPr>
        <w:t>乙方开户银行名称及账号：</w:t>
      </w:r>
    </w:p>
    <w:tbl>
      <w:tblPr>
        <w:tblW w:w="0" w:type="auto"/>
        <w:tblInd w:type="dxa" w:w="675"/>
        <w:tblBorders>
          <w:top w:val="none" w:color="000000" w:sz="4"/>
          <w:left w:val="none" w:color="000000" w:sz="4"/>
          <w:bottom w:val="none" w:color="000000" w:sz="4"/>
          <w:right w:val="none" w:color="000000" w:sz="4"/>
          <w:insideH w:val="none"/>
          <w:insideV w:val="none"/>
        </w:tblBorders>
      </w:tblPr>
      <w:tblGrid>
        <w:gridCol w:w="1980"/>
        <w:gridCol w:w="5700"/>
      </w:tblGrid>
      <w:tr>
        <w:tc>
          <w:tcPr>
            <w:tcW w:type="dxa" w:w="198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用户名</w:t>
            </w:r>
          </w:p>
        </w:tc>
        <w:tc>
          <w:tcPr>
            <w:tcW w:type="dxa" w:w="57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XXX</w:t>
            </w:r>
            <w:r>
              <w:rPr>
                <w:sz w:val="24"/>
              </w:rPr>
              <w:t>公司</w:t>
            </w:r>
          </w:p>
        </w:tc>
      </w:tr>
      <w:tr>
        <w:tc>
          <w:tcPr>
            <w:tcW w:type="dxa" w:w="19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开户银行</w:t>
            </w:r>
          </w:p>
        </w:tc>
        <w:tc>
          <w:tcPr>
            <w:tcW w:type="dxa" w:w="5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XXX</w:t>
            </w:r>
          </w:p>
        </w:tc>
      </w:tr>
      <w:tr>
        <w:tc>
          <w:tcPr>
            <w:tcW w:type="dxa" w:w="19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rPr>
              <w:t>账号</w:t>
            </w:r>
          </w:p>
        </w:tc>
        <w:tc>
          <w:tcPr>
            <w:tcW w:type="dxa" w:w="5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XXX</w:t>
            </w:r>
          </w:p>
        </w:tc>
      </w:tr>
    </w:tbl>
    <w:p>
      <w:pPr>
        <w:pStyle w:val="null3"/>
        <w:jc w:val="both"/>
      </w:pPr>
      <w:r>
        <w:rPr>
          <w:sz w:val="24"/>
          <w:b/>
        </w:rPr>
        <w:t>八、 技术服务</w:t>
      </w:r>
    </w:p>
    <w:p>
      <w:pPr>
        <w:pStyle w:val="null3"/>
        <w:jc w:val="both"/>
      </w:pPr>
      <w:r>
        <w:rPr>
          <w:sz w:val="24"/>
        </w:rPr>
        <w:t xml:space="preserve">8.1 </w:t>
      </w:r>
      <w:r>
        <w:rPr>
          <w:sz w:val="24"/>
        </w:rPr>
        <w:t>乙方应按照合同要求期限内安排人员到甲方指定地点配合工作。如驻场人员能力达不到甲方要求，甲方有权要求更换项目驻场人员。</w:t>
      </w:r>
    </w:p>
    <w:p>
      <w:pPr>
        <w:pStyle w:val="null3"/>
        <w:jc w:val="both"/>
      </w:pPr>
      <w:r>
        <w:rPr>
          <w:sz w:val="24"/>
        </w:rPr>
        <w:t xml:space="preserve">8.2 </w:t>
      </w:r>
      <w:r>
        <w:rPr>
          <w:sz w:val="24"/>
        </w:rPr>
        <w:t>乙方按甲方提供的合同执行进度计划，再配合甲方及有关单位，以此做好合同执行进度上的配合工作。</w:t>
      </w:r>
    </w:p>
    <w:p>
      <w:pPr>
        <w:pStyle w:val="null3"/>
        <w:jc w:val="both"/>
      </w:pPr>
      <w:r>
        <w:rPr>
          <w:sz w:val="24"/>
        </w:rPr>
        <w:t xml:space="preserve">8.3 </w:t>
      </w:r>
      <w:r>
        <w:rPr>
          <w:sz w:val="24"/>
        </w:rPr>
        <w:t>在项目的建设和实施过程中，乙方应遵守甲方《广东医科大学附属医院信息化项目建设管理制度》内相关制度的考核，如有监理单位，则要接受甲方指定的监理单位的监督和考核。</w:t>
      </w:r>
    </w:p>
    <w:p>
      <w:pPr>
        <w:pStyle w:val="null3"/>
        <w:jc w:val="both"/>
      </w:pPr>
      <w:r>
        <w:rPr>
          <w:sz w:val="24"/>
        </w:rPr>
        <w:t xml:space="preserve">8.4 </w:t>
      </w:r>
      <w:r>
        <w:rPr>
          <w:sz w:val="24"/>
        </w:rPr>
        <w:t>乙方在货物开箱检验阶段必须派遣对货物熟悉的人员主导开箱检验工作，确保设备开箱检验的通过率。</w:t>
      </w:r>
    </w:p>
    <w:p>
      <w:pPr>
        <w:pStyle w:val="null3"/>
        <w:jc w:val="both"/>
      </w:pPr>
      <w:r>
        <w:rPr>
          <w:sz w:val="24"/>
        </w:rPr>
        <w:t xml:space="preserve">8.5 </w:t>
      </w:r>
      <w:r>
        <w:rPr>
          <w:sz w:val="24"/>
        </w:rPr>
        <w:t>乙方在项目实施阶段需要提供与响应文件相同资质和经验的项目人员，如项目人员有调整，需要提出书面的人员变更申请，并经过甲方和监理方（如有）同意后才能更换，且保证更换的人员资质和经验大于或等于原响应文件的要求。</w:t>
      </w:r>
    </w:p>
    <w:p>
      <w:pPr>
        <w:pStyle w:val="null3"/>
        <w:jc w:val="both"/>
      </w:pPr>
      <w:r>
        <w:rPr>
          <w:sz w:val="24"/>
          <w:b/>
        </w:rPr>
        <w:t>九、 不可抗力</w:t>
      </w:r>
    </w:p>
    <w:p>
      <w:pPr>
        <w:pStyle w:val="null3"/>
        <w:spacing w:after="120"/>
      </w:pPr>
      <w:r>
        <w:rPr>
          <w:sz w:val="24"/>
        </w:rPr>
        <w:t xml:space="preserve">9.1 </w:t>
      </w:r>
      <w:r>
        <w:rPr>
          <w:sz w:val="24"/>
        </w:rPr>
        <w:t>不可抗力指合同订立时不能预见、不能避免且不能克服的客观情况，包括台风、地震、洪水等。</w:t>
      </w:r>
    </w:p>
    <w:p>
      <w:pPr>
        <w:pStyle w:val="null3"/>
        <w:spacing w:after="120"/>
      </w:pPr>
      <w:r>
        <w:rPr>
          <w:sz w:val="24"/>
        </w:rPr>
        <w:t xml:space="preserve">9.2 </w:t>
      </w:r>
      <w:r>
        <w:rPr>
          <w:sz w:val="24"/>
        </w:rPr>
        <w:t>签约双方中任何一方由于不可抗力影响合同执行时，发生不可抗力一方应在合理时间内尽快将事故通知另一方。在此情况下，乙方仍然有责任采取必要的措施加速供货，双方应通过友好协商尽快解决本合同的执行问题。</w:t>
      </w:r>
    </w:p>
    <w:p>
      <w:pPr>
        <w:pStyle w:val="null3"/>
        <w:jc w:val="both"/>
      </w:pPr>
      <w:r>
        <w:rPr>
          <w:sz w:val="24"/>
          <w:b/>
        </w:rPr>
        <w:t>十、 索赔</w:t>
      </w:r>
    </w:p>
    <w:p>
      <w:pPr>
        <w:pStyle w:val="null3"/>
        <w:jc w:val="both"/>
      </w:pPr>
      <w:r>
        <w:rPr>
          <w:sz w:val="24"/>
        </w:rPr>
        <w:t xml:space="preserve">10.1 </w:t>
      </w:r>
      <w:r>
        <w:rPr>
          <w:sz w:val="24"/>
        </w:rPr>
        <w:t>如有异议，甲方有权根据相关有资质的质检部门的检验结果向乙方提出索赔。</w:t>
      </w:r>
    </w:p>
    <w:p>
      <w:pPr>
        <w:pStyle w:val="null3"/>
        <w:jc w:val="both"/>
      </w:pPr>
      <w:r>
        <w:rPr>
          <w:sz w:val="24"/>
        </w:rPr>
        <w:t xml:space="preserve">10.2 </w:t>
      </w:r>
      <w:r>
        <w:rPr>
          <w:sz w:val="24"/>
        </w:rPr>
        <w:t>在合同执行期间，如果乙方对甲方提出的索赔或差异（指合同实际履行情况与合同约定存在的差异）要求负有责任，乙方应按照甲方同意的下列一种或多种方式解决索赔事宜：</w:t>
      </w:r>
    </w:p>
    <w:p>
      <w:pPr>
        <w:pStyle w:val="null3"/>
        <w:ind w:left="420"/>
        <w:jc w:val="both"/>
      </w:pPr>
      <w:r>
        <w:rPr>
          <w:sz w:val="24"/>
        </w:rPr>
        <w:t xml:space="preserve">10.2.1 </w:t>
      </w:r>
      <w:r>
        <w:rPr>
          <w:sz w:val="24"/>
        </w:rPr>
        <w:t>乙方同意退货，并按合同规定的同种货币将货款退还给甲方，并承担由此造成甲方产生的一切损失和费用。</w:t>
      </w:r>
    </w:p>
    <w:p>
      <w:pPr>
        <w:pStyle w:val="null3"/>
        <w:ind w:left="420"/>
        <w:jc w:val="both"/>
      </w:pPr>
      <w:r>
        <w:rPr>
          <w:sz w:val="24"/>
        </w:rPr>
        <w:t xml:space="preserve">10.2.2 </w:t>
      </w:r>
      <w:r>
        <w:rPr>
          <w:sz w:val="24"/>
        </w:rPr>
        <w:t>根据货物低劣程度、损坏程度以及甲方所遭受损失的数额甲乙双方商定降低货物的价格。</w:t>
      </w:r>
    </w:p>
    <w:p>
      <w:pPr>
        <w:pStyle w:val="null3"/>
        <w:ind w:left="420"/>
        <w:jc w:val="both"/>
      </w:pPr>
      <w:r>
        <w:rPr>
          <w:sz w:val="24"/>
        </w:rPr>
        <w:t xml:space="preserve">10.2.3 </w:t>
      </w:r>
      <w:r>
        <w:rPr>
          <w:sz w:val="24"/>
        </w:rPr>
        <w:t>在不改变合同价款的情况下，用符合或高于合同约定的规格、质量和性能、权属等要求的新零件、部件或货物来更换有缺陷的部分或修补缺陷的部分，乙方应承担一切费用和风险并负担甲方所发生的一切直接费用。同时，相应延长保修期。</w:t>
      </w:r>
    </w:p>
    <w:p>
      <w:pPr>
        <w:pStyle w:val="null3"/>
        <w:jc w:val="both"/>
      </w:pPr>
      <w:r>
        <w:rPr>
          <w:sz w:val="24"/>
        </w:rPr>
        <w:t xml:space="preserve">10.3 </w:t>
      </w:r>
      <w:r>
        <w:rPr>
          <w:sz w:val="24"/>
        </w:rPr>
        <w:t>如果在甲方发出索赔通知后15天内，乙方未作书面答复，上述索赔应视为已被乙方接受。甲方将从合同款项中扣回索赔金额。如果这些金额不足以补偿索赔金额，乙方应对不足部分金额予以补偿。</w:t>
      </w:r>
    </w:p>
    <w:p>
      <w:pPr>
        <w:pStyle w:val="null3"/>
        <w:jc w:val="both"/>
      </w:pPr>
      <w:r>
        <w:rPr>
          <w:sz w:val="24"/>
        </w:rPr>
        <w:t xml:space="preserve">10.4 </w:t>
      </w:r>
      <w:r>
        <w:rPr>
          <w:sz w:val="24"/>
        </w:rPr>
        <w:t>双方承担因其自身原因而导致项目延期的责任和费用。如因乙方原因造成项目出现严重故障并造成重大事故的，甲方有权终止合同，并向乙方索赔合同总额20%罚金，同时要求乙方另行承担由此为甲方造成的直接和间接损失；如因甲方原因出现事故，则由甲方承担相应责任和费用。</w:t>
      </w:r>
    </w:p>
    <w:p>
      <w:pPr>
        <w:pStyle w:val="null3"/>
        <w:jc w:val="both"/>
      </w:pPr>
      <w:r>
        <w:rPr>
          <w:sz w:val="24"/>
        </w:rPr>
        <w:t xml:space="preserve">10.5 </w:t>
      </w:r>
      <w:r>
        <w:rPr>
          <w:sz w:val="24"/>
        </w:rPr>
        <w:t>如因客观原因导致工期延误，经各方共同协商并达成一致后，双方无须为此负责；项目工期如需调整必须在双方协商同意并出具《项目延期申请表》后方可生效。</w:t>
      </w:r>
    </w:p>
    <w:p>
      <w:pPr>
        <w:pStyle w:val="null3"/>
        <w:jc w:val="both"/>
      </w:pPr>
      <w:r>
        <w:rPr>
          <w:sz w:val="24"/>
          <w:b/>
        </w:rPr>
        <w:t>十一、 违约责任</w:t>
      </w:r>
    </w:p>
    <w:p>
      <w:pPr>
        <w:pStyle w:val="null3"/>
        <w:jc w:val="both"/>
      </w:pPr>
      <w:r>
        <w:rPr>
          <w:sz w:val="24"/>
        </w:rPr>
        <w:t>11.1</w:t>
      </w:r>
      <w:r>
        <w:rPr>
          <w:sz w:val="24"/>
        </w:rPr>
        <w:t>甲方向本合同乙方账号汇出款项即视为甲方已履行付款义务，在合同履行过程中，因乙方账户的原因（包括但不限于账号被注销、被冻结等）导致乙方无法收取款项的，由乙方承担相应后果。</w:t>
      </w:r>
    </w:p>
    <w:p>
      <w:pPr>
        <w:pStyle w:val="null3"/>
        <w:jc w:val="both"/>
      </w:pPr>
      <w:r>
        <w:rPr>
          <w:sz w:val="24"/>
        </w:rPr>
        <w:t xml:space="preserve">11.2 </w:t>
      </w:r>
      <w:r>
        <w:rPr>
          <w:sz w:val="24"/>
        </w:rPr>
        <w:t>如因乙方原因未能按时交货，每逾期1天，乙方须向甲方支付合同金额的5‰的违约金，甲方有权直接从应付给乙方的合同款项中扣除该违约金。若逾期超过【15】日，甲方还有权单方面解除本合同并要求乙方承担由此为甲方造成的直接和间接损失。</w:t>
      </w:r>
    </w:p>
    <w:p>
      <w:pPr>
        <w:pStyle w:val="null3"/>
        <w:jc w:val="both"/>
      </w:pPr>
      <w:r>
        <w:rPr>
          <w:sz w:val="24"/>
        </w:rPr>
        <w:t xml:space="preserve">11.3 </w:t>
      </w:r>
      <w:r>
        <w:rPr>
          <w:sz w:val="24"/>
        </w:rPr>
        <w:t>乙方交付的货物不符合合同规定的，甲方有权拒收并要求乙方更换，且乙方还须向甲方支付合同金额的3%的违约金，甲方有权直接从应付给乙方的合同款项中扣除该违约金。</w:t>
      </w:r>
    </w:p>
    <w:p>
      <w:pPr>
        <w:pStyle w:val="null3"/>
        <w:ind w:firstLine="480"/>
        <w:jc w:val="both"/>
      </w:pPr>
      <w:r>
        <w:rPr>
          <w:sz w:val="24"/>
        </w:rPr>
        <w:t>如果甲方同意更换的，乙方应于收到甲方拒绝收货通知书之日起按本合同约定的期限重新提供符合合同约定的货物，乙方在本合同约定的期限内未能调换的，按逾期交货的违约责任处理。</w:t>
      </w:r>
    </w:p>
    <w:p>
      <w:pPr>
        <w:pStyle w:val="null3"/>
        <w:ind w:firstLine="480"/>
        <w:jc w:val="both"/>
      </w:pPr>
      <w:r>
        <w:rPr>
          <w:sz w:val="24"/>
        </w:rPr>
        <w:t>如果乙方拒绝重新提供货物，或重新提供的货物仍不符合合同规定的，甲方有权拒收货物，视为乙方交付的货物不符合本合同规定，甲方有权解除本合同，且乙方须向甲方支付合同总金额的20%作为违约金，并保留追究因乙方的违约导致甲方产生的一切经济损失（包括因项目延期期间的可得收益）。</w:t>
      </w:r>
    </w:p>
    <w:p>
      <w:pPr>
        <w:pStyle w:val="null3"/>
        <w:jc w:val="both"/>
      </w:pPr>
      <w:r>
        <w:rPr>
          <w:sz w:val="24"/>
        </w:rPr>
        <w:t xml:space="preserve">11.4 </w:t>
      </w:r>
      <w:r>
        <w:rPr>
          <w:sz w:val="24"/>
        </w:rPr>
        <w:t>甲方无正当理由拒收货物的，甲方向乙方支付合同总金额的5%的违约金。</w:t>
      </w:r>
    </w:p>
    <w:p>
      <w:pPr>
        <w:pStyle w:val="null3"/>
        <w:jc w:val="both"/>
      </w:pPr>
      <w:r>
        <w:rPr>
          <w:sz w:val="24"/>
        </w:rPr>
        <w:t xml:space="preserve">11.5 </w:t>
      </w:r>
      <w:r>
        <w:rPr>
          <w:sz w:val="24"/>
        </w:rPr>
        <w:t>若乙方未按本合同的约定提供保修服务，甲方有权自行委托第三方提供甲方所需要的技术支持和售后服务，所发生的费用由乙方承担，如因此造成甲方损失的，乙方应承担赔偿责任。</w:t>
      </w:r>
    </w:p>
    <w:p>
      <w:pPr>
        <w:pStyle w:val="null3"/>
        <w:jc w:val="both"/>
      </w:pPr>
      <w:r>
        <w:rPr>
          <w:sz w:val="24"/>
        </w:rPr>
        <w:t xml:space="preserve">11.6 </w:t>
      </w:r>
      <w:r>
        <w:rPr>
          <w:sz w:val="24"/>
        </w:rPr>
        <w:t>甲方如逾期支付，经双方协商后，甲方根据协商结果承担逾期支付相应责任。</w:t>
      </w:r>
    </w:p>
    <w:p>
      <w:pPr>
        <w:pStyle w:val="null3"/>
        <w:jc w:val="both"/>
      </w:pPr>
      <w:r>
        <w:rPr>
          <w:sz w:val="24"/>
        </w:rPr>
        <w:t>11.7</w:t>
      </w:r>
      <w:r>
        <w:rPr>
          <w:sz w:val="24"/>
        </w:rPr>
        <w:t>其他违约情形的责任按《中华人民共和国民法典》</w:t>
      </w:r>
      <w:r>
        <w:rPr>
          <w:sz w:val="24"/>
        </w:rPr>
        <w:t>及相关法律法规的</w:t>
      </w:r>
      <w:r>
        <w:rPr>
          <w:sz w:val="24"/>
        </w:rPr>
        <w:t>规定处理。</w:t>
      </w:r>
    </w:p>
    <w:p>
      <w:pPr>
        <w:pStyle w:val="null3"/>
        <w:jc w:val="both"/>
      </w:pPr>
      <w:r>
        <w:rPr>
          <w:sz w:val="24"/>
          <w:b/>
        </w:rPr>
        <w:t>十二、 合同解除</w:t>
      </w:r>
    </w:p>
    <w:p>
      <w:pPr>
        <w:pStyle w:val="null3"/>
        <w:ind w:firstLine="480"/>
        <w:jc w:val="both"/>
      </w:pPr>
      <w:r>
        <w:rPr>
          <w:sz w:val="24"/>
        </w:rPr>
        <w:t>如果一方严重违反合同，并在收到对方违约通知书之日起15天内仍未能改正，对方有权立即解除本合同而不构成违约。在此情形下，违约方仍应当赔偿守约方因此遭受的损失，包括但不限于守约方的直接经济损失、间接经济损失、守约方为追究违约责任所发生的律师费、诉讼费、保全费、保函费、鉴定费、差旅费、交通费等。</w:t>
      </w:r>
    </w:p>
    <w:p>
      <w:pPr>
        <w:pStyle w:val="null3"/>
        <w:jc w:val="both"/>
      </w:pPr>
      <w:r>
        <w:rPr>
          <w:sz w:val="24"/>
          <w:b/>
        </w:rPr>
        <w:t>十三、 争议解决</w:t>
      </w:r>
    </w:p>
    <w:p>
      <w:pPr>
        <w:pStyle w:val="null3"/>
        <w:ind w:firstLine="480"/>
        <w:jc w:val="both"/>
      </w:pPr>
      <w:r>
        <w:rPr>
          <w:sz w:val="24"/>
        </w:rPr>
        <w:t>签约双方在履约中发生争执和分歧，双方应通过友好协商解决；若经协商不能达成协议时，可通过向法院提起诉讼解决；双方同意诉讼管辖法院为甲方住所地人民法院。协商、调解或诉讼期间，除争议条款外，原则上双方应继续执行合同其余部分。</w:t>
      </w:r>
    </w:p>
    <w:p>
      <w:pPr>
        <w:pStyle w:val="null3"/>
        <w:ind w:right="-60"/>
        <w:jc w:val="both"/>
      </w:pPr>
      <w:r>
        <w:rPr>
          <w:sz w:val="24"/>
          <w:b/>
        </w:rPr>
        <w:t>十四、 其他</w:t>
      </w:r>
    </w:p>
    <w:p>
      <w:pPr>
        <w:pStyle w:val="null3"/>
        <w:jc w:val="both"/>
      </w:pPr>
      <w:r>
        <w:rPr>
          <w:sz w:val="24"/>
        </w:rPr>
        <w:t>14.1</w:t>
      </w:r>
      <w:r>
        <w:rPr>
          <w:sz w:val="24"/>
        </w:rPr>
        <w:t>合同签订地：广东省湛江市霞山区人民大道南57号。</w:t>
      </w:r>
    </w:p>
    <w:p>
      <w:pPr>
        <w:pStyle w:val="null3"/>
        <w:jc w:val="both"/>
      </w:pPr>
      <w:r>
        <w:rPr>
          <w:sz w:val="24"/>
        </w:rPr>
        <w:t>14.2</w:t>
      </w:r>
      <w:r>
        <w:rPr>
          <w:sz w:val="24"/>
        </w:rPr>
        <w:t>本合同正本柒份（每份合同必须双面打印并附上页码，并加盖骑缝章），甲方执伍份，乙方执贰份，具有同等法律效力。</w:t>
      </w:r>
    </w:p>
    <w:p>
      <w:pPr>
        <w:pStyle w:val="null3"/>
        <w:jc w:val="both"/>
      </w:pPr>
      <w:r>
        <w:rPr>
          <w:sz w:val="24"/>
        </w:rPr>
        <w:t>14.3</w:t>
      </w:r>
      <w:r>
        <w:rPr>
          <w:sz w:val="24"/>
        </w:rPr>
        <w:t>本合同自双方法定代表人或授权代表签字并加盖单位公章（或合同专用章）之日起生效。</w:t>
      </w:r>
    </w:p>
    <w:p>
      <w:pPr>
        <w:pStyle w:val="null3"/>
        <w:jc w:val="both"/>
      </w:pPr>
      <w:r>
        <w:rPr>
          <w:sz w:val="24"/>
        </w:rPr>
        <w:t>14.4</w:t>
      </w:r>
      <w:r>
        <w:rPr>
          <w:sz w:val="24"/>
        </w:rPr>
        <w:t>本合同未尽事宜，经双方友好协商可另行签订补充协议。补充条款为本合同不可分割的一部分，与本合同具有同等法律效力，补充条款与本合同不一致的，以补充条款为准。</w:t>
      </w:r>
    </w:p>
    <w:p>
      <w:pPr>
        <w:pStyle w:val="null3"/>
        <w:jc w:val="both"/>
      </w:pPr>
      <w:r>
        <w:rPr>
          <w:sz w:val="24"/>
        </w:rPr>
        <w:t>14.5</w:t>
      </w:r>
      <w:r>
        <w:rPr>
          <w:sz w:val="24"/>
        </w:rPr>
        <w:t>双方确认本协议合同首部及签字页的联系方式为各自有效送达地址和联系方式，对方或法院向该地址送达的文书、文件等均视为有效送达。如一方注册信息（含单位名称、地址、电话、传真号码等）发生变更，应于变更后2个工作日内书面通知对方，否则违约方应承担相应责任。由于合同一方提供或者确认的送达地址不准确、送达地址变更后未及时依程序履行通知义务、指定接收人拒绝签收等原因而导致的不利后果及产生的法律责任，应当自行承担。</w:t>
      </w:r>
    </w:p>
    <w:p>
      <w:pPr>
        <w:pStyle w:val="null3"/>
        <w:ind w:firstLine="480"/>
        <w:jc w:val="both"/>
      </w:pPr>
      <w:r>
        <w:rPr>
          <w:sz w:val="24"/>
        </w:rPr>
        <w:t>各方授权代表或法定代表人向对方发送的通知、文件、资料等均视为各自代理的法人的真实意思表示，即视为法人的行为。</w:t>
      </w:r>
    </w:p>
    <w:p>
      <w:pPr>
        <w:pStyle w:val="null3"/>
        <w:jc w:val="both"/>
      </w:pPr>
      <w:r>
        <w:rPr>
          <w:sz w:val="24"/>
        </w:rPr>
        <w:t>14.6</w:t>
      </w:r>
      <w:r>
        <w:rPr>
          <w:sz w:val="24"/>
        </w:rPr>
        <w:t>合同附件：</w:t>
      </w:r>
    </w:p>
    <w:p>
      <w:pPr>
        <w:pStyle w:val="null3"/>
        <w:ind w:firstLine="480"/>
        <w:jc w:val="both"/>
      </w:pPr>
      <w:r>
        <w:rPr>
          <w:sz w:val="24"/>
        </w:rPr>
        <w:t>□14.6.1 货物的配置清单（货物型号、参数、功能、数量、质量等应与</w:t>
      </w:r>
      <w:r>
        <w:rPr>
          <w:sz w:val="24"/>
        </w:rPr>
        <w:t>采购文件、响应文件的内容一致，</w:t>
      </w:r>
      <w:r>
        <w:rPr>
          <w:sz w:val="24"/>
        </w:rPr>
        <w:t>乙方署名并加盖公章）。</w:t>
      </w:r>
    </w:p>
    <w:p>
      <w:pPr>
        <w:pStyle w:val="null3"/>
        <w:ind w:firstLine="480"/>
        <w:jc w:val="both"/>
      </w:pPr>
      <w:r>
        <w:rPr>
          <w:sz w:val="24"/>
        </w:rPr>
        <w:t>□14.6.2 成交结果通知书（加盖乙方公章）。</w:t>
      </w:r>
    </w:p>
    <w:p>
      <w:pPr>
        <w:pStyle w:val="null3"/>
        <w:ind w:firstLine="480"/>
        <w:jc w:val="both"/>
      </w:pPr>
      <w:r>
        <w:rPr>
          <w:sz w:val="24"/>
        </w:rPr>
        <w:t>□14.6.3 售后服务承诺（加盖乙方公章）。</w:t>
      </w:r>
    </w:p>
    <w:p>
      <w:pPr>
        <w:pStyle w:val="null3"/>
        <w:ind w:firstLine="480"/>
        <w:jc w:val="both"/>
      </w:pPr>
      <w:r>
        <w:rPr>
          <w:sz w:val="24"/>
        </w:rPr>
        <w:t>□14.6.4 其他：。</w:t>
      </w:r>
    </w:p>
    <w:p>
      <w:pPr>
        <w:pStyle w:val="null3"/>
        <w:jc w:val="both"/>
      </w:pPr>
      <w:r>
        <w:rPr>
          <w:sz w:val="24"/>
          <w:b/>
        </w:rPr>
        <w:t>（以下无条款）</w:t>
      </w:r>
    </w:p>
    <w:tbl>
      <w:tblPr>
        <w:tblW w:w="0" w:type="auto"/>
        <w:tblBorders>
          <w:top w:val="none" w:color="000000" w:sz="4"/>
          <w:left w:val="none" w:color="000000" w:sz="4"/>
          <w:bottom w:val="none" w:color="000000" w:sz="4"/>
          <w:right w:val="none" w:color="000000" w:sz="4"/>
          <w:insideH w:val="none"/>
          <w:insideV w:val="none"/>
        </w:tblBorders>
      </w:tblPr>
      <w:tblGrid>
        <w:gridCol w:w="4140"/>
        <w:gridCol w:w="4166"/>
      </w:tblGrid>
      <w:tr>
        <w:tc>
          <w:tcPr>
            <w:tcW w:type="dxa" w:w="4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b/>
              </w:rPr>
              <w:t>甲方（盖章）：</w:t>
            </w:r>
            <w:r>
              <w:rPr>
                <w:sz w:val="21"/>
              </w:rPr>
              <w:t>广东医科大学附属医院</w:t>
            </w:r>
          </w:p>
        </w:tc>
        <w:tc>
          <w:tcPr>
            <w:tcW w:type="dxa" w:w="4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b/>
              </w:rPr>
              <w:t>乙方（盖章）：</w:t>
            </w:r>
          </w:p>
        </w:tc>
      </w:tr>
      <w:tr>
        <w:tc>
          <w:tcPr>
            <w:tcW w:type="dxa" w:w="414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right="-60"/>
              <w:jc w:val="both"/>
            </w:pPr>
            <w:r>
              <w:rPr>
                <w:sz w:val="21"/>
                <w:b/>
              </w:rPr>
              <w:t>地址：</w:t>
            </w:r>
            <w:r>
              <w:rPr>
                <w:sz w:val="21"/>
              </w:rPr>
              <w:t>广东省湛江市霞山区人民大道南57号</w:t>
            </w:r>
          </w:p>
          <w:p>
            <w:pPr>
              <w:pStyle w:val="null3"/>
              <w:ind w:right="-60"/>
              <w:jc w:val="both"/>
            </w:pPr>
            <w:r>
              <w:rPr>
                <w:sz w:val="21"/>
                <w:b/>
              </w:rPr>
              <w:t>邮编：</w:t>
            </w:r>
            <w:r>
              <w:rPr>
                <w:sz w:val="21"/>
              </w:rPr>
              <w:t>524001</w:t>
            </w:r>
          </w:p>
          <w:p>
            <w:pPr>
              <w:pStyle w:val="null3"/>
              <w:ind w:right="-60"/>
              <w:jc w:val="both"/>
            </w:pPr>
            <w:r>
              <w:rPr>
                <w:sz w:val="21"/>
                <w:b/>
              </w:rPr>
              <w:t>电话：07592387575</w:t>
            </w:r>
          </w:p>
        </w:tc>
        <w:tc>
          <w:tcPr>
            <w:tcW w:type="dxa" w:w="4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b/>
              </w:rPr>
              <w:t>地址：</w:t>
            </w:r>
          </w:p>
          <w:p>
            <w:pPr>
              <w:pStyle w:val="null3"/>
              <w:ind w:right="-60"/>
              <w:jc w:val="both"/>
            </w:pPr>
            <w:r>
              <w:rPr>
                <w:sz w:val="21"/>
                <w:b/>
              </w:rPr>
              <w:t>邮编：</w:t>
            </w:r>
          </w:p>
          <w:p>
            <w:pPr>
              <w:pStyle w:val="null3"/>
              <w:ind w:right="-60"/>
              <w:jc w:val="both"/>
            </w:pPr>
            <w:r>
              <w:rPr>
                <w:sz w:val="21"/>
                <w:b/>
              </w:rPr>
              <w:t>电话：</w:t>
            </w:r>
          </w:p>
          <w:p>
            <w:pPr>
              <w:pStyle w:val="null3"/>
              <w:ind w:right="-60"/>
              <w:jc w:val="both"/>
            </w:pPr>
            <w:r>
              <w:rPr>
                <w:sz w:val="21"/>
                <w:b/>
              </w:rPr>
              <w:t>电子邮箱：</w:t>
            </w:r>
          </w:p>
        </w:tc>
      </w:tr>
      <w:tr>
        <w:tc>
          <w:tcPr>
            <w:tcW w:type="dxa" w:w="4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b/>
              </w:rPr>
              <w:t>法定代表人</w:t>
            </w:r>
          </w:p>
          <w:p>
            <w:pPr>
              <w:pStyle w:val="null3"/>
              <w:ind w:right="-60"/>
              <w:jc w:val="both"/>
            </w:pPr>
            <w:r>
              <w:rPr>
                <w:sz w:val="21"/>
                <w:b/>
              </w:rPr>
              <w:t>或授权代表（签字/签章）：</w:t>
            </w:r>
          </w:p>
        </w:tc>
        <w:tc>
          <w:tcPr>
            <w:tcW w:type="dxa" w:w="4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b/>
              </w:rPr>
              <w:t>法定代表人</w:t>
            </w:r>
          </w:p>
          <w:p>
            <w:pPr>
              <w:pStyle w:val="null3"/>
              <w:ind w:right="-60"/>
              <w:jc w:val="both"/>
            </w:pPr>
            <w:r>
              <w:rPr>
                <w:sz w:val="21"/>
                <w:b/>
              </w:rPr>
              <w:t>或授权代表（签字/签章）：</w:t>
            </w:r>
          </w:p>
        </w:tc>
      </w:tr>
      <w:tr>
        <w:tc>
          <w:tcPr>
            <w:tcW w:type="dxa" w:w="4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b/>
              </w:rPr>
              <w:t>签订日期：</w:t>
            </w:r>
            <w:r>
              <w:rPr>
                <w:sz w:val="21"/>
              </w:rPr>
              <w:t xml:space="preserve">                </w:t>
            </w:r>
            <w:r>
              <w:rPr>
                <w:sz w:val="21"/>
              </w:rPr>
              <w:t>年   月   日</w:t>
            </w:r>
          </w:p>
        </w:tc>
        <w:tc>
          <w:tcPr>
            <w:tcW w:type="dxa" w:w="4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1"/>
                <w:b/>
              </w:rPr>
              <w:t>签订日期：</w:t>
            </w:r>
            <w:r>
              <w:rPr>
                <w:sz w:val="21"/>
              </w:rPr>
              <w:t xml:space="preserve">                  </w:t>
            </w:r>
            <w:r>
              <w:rPr>
                <w:sz w:val="21"/>
              </w:rPr>
              <w:t>年   月   日</w:t>
            </w:r>
          </w:p>
        </w:tc>
      </w:tr>
    </w:tbl>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440001-2025-26959</w:t>
      </w:r>
    </w:p>
    <w:p>
      <w:pPr>
        <w:pStyle w:val="null3"/>
        <w:jc w:val="center"/>
        <w:outlineLvl w:val="3"/>
      </w:pPr>
      <w:r>
        <w:rPr>
          <w:sz w:val="24"/>
          <w:b/>
        </w:rPr>
        <w:t>采购项目编号：</w:t>
      </w:r>
      <w:r>
        <w:rPr>
          <w:sz w:val="24"/>
          <w:b/>
        </w:rPr>
        <w:t>GPCGD253174HG117F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广东医科大学附属医院API安全网关与流量探针购置</w:t>
      </w:r>
      <w:r>
        <w:rPr>
          <w:u w:val="single"/>
        </w:rPr>
        <w:t>”</w:t>
      </w:r>
      <w:r>
        <w:rPr/>
        <w:t>项目的招标[采购项目编号为：</w:t>
      </w:r>
      <w:r>
        <w:rPr>
          <w:u w:val="single"/>
        </w:rPr>
        <w:t>GPCGD253174HG117F</w:t>
      </w:r>
      <w:r>
        <w:rPr/>
        <w:t>]，我方愿参与投标。</w:t>
      </w:r>
    </w:p>
    <w:p>
      <w:pPr>
        <w:pStyle w:val="null3"/>
        <w:ind w:firstLine="480"/>
      </w:pPr>
      <w:r>
        <w:rPr/>
        <w:t>我方确认收到贵方提供的</w:t>
      </w:r>
      <w:r>
        <w:rPr>
          <w:u w:val="single"/>
        </w:rPr>
        <w:t>“</w:t>
      </w:r>
      <w:r>
        <w:rPr>
          <w:u w:val="single"/>
        </w:rPr>
        <w:t>广东医科大学附属医院API安全网关与流量探针购置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广东医科大学附属医院API安全网关与流量探针购置</w:t>
      </w:r>
      <w:r>
        <w:rPr/>
        <w:t>”项目采购[采购项目编号为</w:t>
      </w:r>
      <w:r>
        <w:rPr/>
        <w:t>GPCGD253174HG117F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广东医科大学附属医院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广东医科大学附属医院API安全网关与流量探针购置</w:t>
      </w:r>
      <w:r>
        <w:rPr/>
        <w:t>招标中获中标（采购项目编号：</w:t>
      </w:r>
      <w:r>
        <w:rPr/>
        <w:t>GPCGD253174HG117F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广东医科大学附属医院API安全网关与流量探针购置</w:t>
      </w:r>
      <w:r>
        <w:rPr/>
        <w:t>”项目（采购项目编号：</w:t>
      </w:r>
      <w:r>
        <w:rPr/>
        <w:t>GPCGD253174HG117F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