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440001-2025-25895</w:t>
      </w:r>
    </w:p>
    <w:p>
      <w:pPr>
        <w:pStyle w:val="null3"/>
        <w:jc w:val="center"/>
        <w:outlineLvl w:val="3"/>
      </w:pPr>
      <w:r>
        <w:rPr>
          <w:sz w:val="24"/>
          <w:b/>
        </w:rPr>
        <w:t>采购项目编号：</w:t>
      </w:r>
      <w:r>
        <w:rPr>
          <w:sz w:val="24"/>
          <w:b/>
        </w:rPr>
        <w:t>GPCGD253174HG186F</w:t>
      </w:r>
    </w:p>
    <w:p>
      <w:pPr>
        <w:pStyle w:val="null3"/>
        <w:jc w:val="center"/>
        <w:outlineLvl w:val="3"/>
      </w:pPr>
      <w:r>
        <w:rPr>
          <w:sz w:val="24"/>
          <w:b/>
        </w:rPr>
        <w:t>项目名称：</w:t>
      </w:r>
      <w:r>
        <w:rPr>
          <w:sz w:val="24"/>
          <w:b/>
        </w:rPr>
        <w:t>广东省重点医院先进医疗设备更新项目（粤东、粤西）——数字化X射线摄影系统（双板DR）</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广东省重点医院先进医疗设备更新项目（粤东、粤西）——数字化X射线摄影系统（双板DR）</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广东省重点医院先进医疗设备更新项目（粤东、粤西）——数字化X射线摄影系统（双板DR）</w:t>
      </w:r>
    </w:p>
    <w:p>
      <w:pPr>
        <w:pStyle w:val="null3"/>
        <w:ind w:firstLine="480"/>
      </w:pPr>
      <w:r>
        <w:rPr/>
        <w:t>采购计划编号：</w:t>
      </w:r>
      <w:r>
        <w:rPr/>
        <w:t>440001-2025-25895</w:t>
      </w:r>
    </w:p>
    <w:p>
      <w:pPr>
        <w:pStyle w:val="null3"/>
        <w:ind w:firstLine="480"/>
      </w:pPr>
      <w:r>
        <w:rPr/>
        <w:t>采购项目编号：</w:t>
      </w:r>
      <w:r>
        <w:rPr/>
        <w:t>GPCGD253174HG186F</w:t>
      </w:r>
    </w:p>
    <w:p>
      <w:pPr>
        <w:pStyle w:val="null3"/>
        <w:ind w:firstLine="480"/>
      </w:pPr>
      <w:r>
        <w:rPr/>
        <w:t>采购方式：</w:t>
      </w:r>
      <w:r>
        <w:rPr/>
        <w:t>公开招标</w:t>
      </w:r>
    </w:p>
    <w:p>
      <w:pPr>
        <w:pStyle w:val="null3"/>
        <w:ind w:firstLine="480"/>
      </w:pPr>
      <w:r>
        <w:rPr/>
        <w:t>预算金额：</w:t>
      </w:r>
      <w:r>
        <w:rPr/>
        <w:t>5,400,000.00</w:t>
      </w:r>
      <w:r>
        <w:rPr/>
        <w:t>元</w:t>
      </w:r>
    </w:p>
    <w:p>
      <w:pPr>
        <w:pStyle w:val="null3"/>
        <w:outlineLvl w:val="3"/>
      </w:pPr>
      <w:r>
        <w:rPr>
          <w:sz w:val="24"/>
          <w:b/>
        </w:rPr>
        <w:t>2.项目内容及需求情况（采购项目技术规格、参数及要求）</w:t>
      </w:r>
    </w:p>
    <w:p>
      <w:pPr>
        <w:pStyle w:val="null3"/>
      </w:pPr>
      <w:r>
        <w:rPr/>
        <w:t>采购包1(数字化X射线摄影系统（双板DR）):</w:t>
      </w:r>
    </w:p>
    <w:p>
      <w:pPr>
        <w:pStyle w:val="null3"/>
      </w:pPr>
      <w:r>
        <w:rPr/>
        <w:t>采购包预算金额：5,400,000.00元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 X 线诊断设备</w:t>
            </w:r>
          </w:p>
        </w:tc>
        <w:tc>
          <w:tcPr>
            <w:tcW w:type="dxa" w:w="2136"/>
          </w:tcPr>
          <w:p>
            <w:pPr>
              <w:pStyle w:val="null3"/>
            </w:pPr>
            <w:r>
              <w:rPr/>
              <w:t>数字化X射线摄影系统（双板DR）</w:t>
            </w:r>
          </w:p>
        </w:tc>
        <w:tc>
          <w:tcPr>
            <w:tcW w:type="dxa" w:w="1187"/>
          </w:tcPr>
          <w:p>
            <w:pPr>
              <w:pStyle w:val="null3"/>
            </w:pPr>
            <w:r>
              <w:rPr/>
              <w:t>2(套)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合同履行期限：合同签订后待使用单位通知30天内交货。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采购包1（数字化X射线摄影系统（双板DR））：</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 xml:space="preserve">4.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凡属于中国强制性产品认证目录（</w:t>
      </w:r>
      <w:r>
        <w:rPr>
          <w:sz w:val="21"/>
        </w:rPr>
        <w:t>CCC</w:t>
      </w:r>
      <w:r>
        <w:rPr>
          <w:sz w:val="21"/>
        </w:rPr>
        <w:t>目录）的产品，供货时必须提供相关证书复印件或自我声明的有效材料（供货时提供在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1"/>
        </w:rPr>
        <w:t>)</w:t>
      </w:r>
      <w:r>
        <w:rPr>
          <w:sz w:val="21"/>
        </w:rPr>
        <w:t>）。（投标时提供承诺，可参照“投标（响应）文件格式”中《承诺函》格式）。</w:t>
      </w:r>
    </w:p>
    <w:p>
      <w:pPr>
        <w:pStyle w:val="null3"/>
        <w:ind w:firstLine="315"/>
      </w:pPr>
      <w:r>
        <w:rPr>
          <w:sz w:val="21"/>
        </w:rPr>
        <w:t>★</w:t>
      </w:r>
      <w:r>
        <w:rPr>
          <w:sz w:val="21"/>
        </w:rPr>
        <w:t>9.</w:t>
      </w:r>
      <w:r>
        <w:rPr>
          <w:sz w:val="21"/>
        </w:rPr>
        <w:t>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105"/>
      </w:pPr>
      <w:r>
        <w:rPr>
          <w:sz w:val="21"/>
        </w:rPr>
        <w:t xml:space="preserve">    ★</w:t>
      </w:r>
      <w:r>
        <w:rPr>
          <w:sz w:val="21"/>
        </w:rPr>
        <w:t xml:space="preserve">10. </w:t>
      </w:r>
      <w:r>
        <w:rPr>
          <w:sz w:val="21"/>
        </w:rPr>
        <w:t>供应商所投产品应提供监督管理部门颁发的处于有效期内的《中华人民共和国医疗器械注册证》复印件。</w:t>
      </w:r>
    </w:p>
    <w:p>
      <w:pPr>
        <w:pStyle w:val="null3"/>
      </w:pPr>
      <w:r>
        <w:rPr>
          <w:sz w:val="21"/>
        </w:rPr>
        <w:t xml:space="preserve">     ★</w:t>
      </w:r>
      <w:r>
        <w:rPr>
          <w:sz w:val="21"/>
        </w:rPr>
        <w:t>11.</w:t>
      </w:r>
      <w:r>
        <w:rPr>
          <w:sz w:val="21"/>
        </w:rPr>
        <w:t>根据《放射性同位素与射线装置安全和防护条例》，投标人须提供监督管理部门签发的处于有效期的《辐射安全许可证》（许可种类包含销售），提供证书复印件。如主管部门另有规定导致无需提供以上相关证件，则请依据有关法规作出情况说明，并从其规定。</w:t>
      </w:r>
    </w:p>
    <w:p>
      <w:pPr>
        <w:pStyle w:val="null3"/>
      </w:pPr>
      <w:r>
        <w:rPr>
          <w:sz w:val="21"/>
        </w:rPr>
        <w:t xml:space="preserve">    ★</w:t>
      </w:r>
      <w:r>
        <w:rPr>
          <w:sz w:val="21"/>
        </w:rPr>
        <w:t>12.</w:t>
      </w:r>
      <w:r>
        <w:rPr>
          <w:sz w:val="21"/>
        </w:rPr>
        <w:t>本项目最高限价</w:t>
      </w:r>
      <w:r>
        <w:rPr>
          <w:sz w:val="21"/>
        </w:rPr>
        <w:t>500</w:t>
      </w:r>
      <w:r>
        <w:rPr>
          <w:sz w:val="21"/>
        </w:rPr>
        <w:t>万元，投标人报价不得超过本项目最高限价。</w:t>
      </w:r>
    </w:p>
    <w:p>
      <w:pPr>
        <w:pStyle w:val="null3"/>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 xml:space="preserve"> </w:t>
            </w:r>
            <w:r>
              <w:rPr>
                <w:sz w:val="20"/>
              </w:rPr>
              <w:t>医用</w:t>
            </w:r>
            <w:r>
              <w:rPr>
                <w:sz w:val="20"/>
              </w:rPr>
              <w:t xml:space="preserve"> X </w:t>
            </w:r>
            <w:r>
              <w:rPr>
                <w:sz w:val="20"/>
              </w:rPr>
              <w:t>线诊断设备</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数字化</w:t>
            </w:r>
            <w:r>
              <w:rPr>
                <w:sz w:val="20"/>
              </w:rPr>
              <w:t>X</w:t>
            </w:r>
            <w:r>
              <w:rPr>
                <w:sz w:val="20"/>
              </w:rPr>
              <w:t>射线摄影系统（双板</w:t>
            </w:r>
            <w:r>
              <w:rPr>
                <w:sz w:val="20"/>
              </w:rPr>
              <w:t>DR</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w:t>
            </w:r>
            <w:r>
              <w:rPr>
                <w:sz w:val="20"/>
              </w:rPr>
              <w:t>套</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540</w:t>
            </w:r>
            <w:r>
              <w:rPr>
                <w:sz w:val="20"/>
              </w:rPr>
              <w:t>（万元）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ind w:firstLine="420"/>
      </w:pPr>
      <w:r>
        <w:rPr>
          <w:sz w:val="20"/>
          <w:b/>
        </w:rPr>
        <w:t>注：核心产品不包含材料及配件。</w:t>
      </w:r>
    </w:p>
    <w:p>
      <w:pPr>
        <w:pStyle w:val="null3"/>
      </w:pPr>
      <w:r>
        <w:rPr>
          <w:sz w:val="24"/>
          <w:b/>
        </w:rPr>
        <w:t>二、商务要求</w:t>
      </w:r>
    </w:p>
    <w:tbl>
      <w:tblPr>
        <w:tblW w:w="0" w:type="auto"/>
        <w:tblBorders>
          <w:top w:val="none" w:color="000000" w:sz="4"/>
          <w:left w:val="none" w:color="000000" w:sz="4"/>
          <w:bottom w:val="none" w:color="000000" w:sz="4"/>
          <w:right w:val="none" w:color="000000" w:sz="4"/>
          <w:insideH w:val="none"/>
          <w:insideV w:val="none"/>
        </w:tblBorders>
      </w:tblPr>
      <w:tblGrid>
        <w:gridCol w:w="1594"/>
        <w:gridCol w:w="6712"/>
      </w:tblGrid>
      <w:tr>
        <w:tc>
          <w:tcPr>
            <w:tcW w:type="dxa" w:w="159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质保期限要求</w:t>
            </w:r>
          </w:p>
        </w:tc>
        <w:tc>
          <w:tcPr>
            <w:tcW w:type="dxa" w:w="67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★自验收合格之日起不少于</w:t>
            </w:r>
            <w:r>
              <w:rPr>
                <w:sz w:val="21"/>
              </w:rPr>
              <w:t>5</w:t>
            </w:r>
            <w:r>
              <w:rPr>
                <w:sz w:val="21"/>
              </w:rPr>
              <w:t>年。（投标时提交承诺，可参照“投标文件格式”中《承诺函》格式）。</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售后服务要求</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质保期内，每年至少两次现场维护（包括整机清洗、保养、调整等），费用包含在投标总价中，采购人不再另行支付。质保期内，设备发生故障时，投标人应在</w:t>
            </w:r>
            <w:r>
              <w:rPr>
                <w:sz w:val="21"/>
              </w:rPr>
              <w:t>1</w:t>
            </w:r>
            <w:r>
              <w:rPr>
                <w:sz w:val="21"/>
              </w:rPr>
              <w:t>小时内作出响应，并于</w:t>
            </w:r>
            <w:r>
              <w:rPr>
                <w:sz w:val="21"/>
              </w:rPr>
              <w:t>48</w:t>
            </w:r>
            <w:r>
              <w:rPr>
                <w:sz w:val="21"/>
              </w:rPr>
              <w:t>小时内与采购人协商确定解决方案。</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产品效期要求</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要求国产产品的生产日期为交货前的六个月之内。</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交货时间</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合同签订后待使用单位通知</w:t>
            </w:r>
            <w:r>
              <w:rPr>
                <w:sz w:val="21"/>
              </w:rPr>
              <w:t>30</w:t>
            </w:r>
            <w:r>
              <w:rPr>
                <w:sz w:val="21"/>
              </w:rPr>
              <w:t>天内交货。</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收货人和最终使用方</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1.</w:t>
            </w:r>
            <w:r>
              <w:rPr>
                <w:sz w:val="21"/>
              </w:rPr>
              <w:t>广东医科大学附属医院</w:t>
            </w:r>
          </w:p>
          <w:p>
            <w:pPr>
              <w:pStyle w:val="null3"/>
              <w:spacing w:before="165"/>
              <w:jc w:val="left"/>
            </w:pPr>
            <w:r>
              <w:rPr>
                <w:sz w:val="21"/>
              </w:rPr>
              <w:t>2.</w:t>
            </w:r>
            <w:r>
              <w:rPr>
                <w:sz w:val="21"/>
              </w:rPr>
              <w:t>汕头大学医学院第二附属医院</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交货地点</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1.</w:t>
            </w:r>
            <w:r>
              <w:rPr>
                <w:sz w:val="21"/>
              </w:rPr>
              <w:t>一套标的物交付给位于广东省湛江市霞山区人民大道</w:t>
            </w:r>
            <w:r>
              <w:rPr>
                <w:sz w:val="21"/>
              </w:rPr>
              <w:t>57</w:t>
            </w:r>
            <w:r>
              <w:rPr>
                <w:sz w:val="21"/>
              </w:rPr>
              <w:t>号的广东医科大学附属医院的指定地点</w:t>
            </w:r>
          </w:p>
          <w:p>
            <w:pPr>
              <w:pStyle w:val="null3"/>
              <w:spacing w:before="165"/>
              <w:jc w:val="left"/>
            </w:pPr>
            <w:r>
              <w:rPr>
                <w:sz w:val="21"/>
              </w:rPr>
              <w:t>2.</w:t>
            </w:r>
            <w:r>
              <w:rPr>
                <w:sz w:val="21"/>
              </w:rPr>
              <w:t>一套标的物交付给位于广东省汕头市东厦北路的汕头大学医学院第二附属医院的指定地点</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信息化</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支持与医院信息化系统对接并实现互联互通，采购人不再另行支付；数据采集端口终身开放费用、设备所有信息化端口软硬件终身升级费用及设备配套工作站的软件终身维修维护费用均已包含在投标总价中，采购人不再另行支付。（投标时提交承诺，可参照“投标文件格式”中《承诺函》格式）。</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耗材</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★投标人须承诺所投设备适用多种品牌同类耗材或无须耗材。（投标时提交承诺，可参照“投标文件格式”中《承诺函》格式）。</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安装调试要求</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w:t>
            </w:r>
            <w:r>
              <w:rPr>
                <w:sz w:val="21"/>
              </w:rPr>
              <w:t>1</w:t>
            </w:r>
            <w:r>
              <w:rPr>
                <w:sz w:val="21"/>
              </w:rPr>
              <w:t>）中标人提供设备厂家或者厂家授权的售后服务商的安装调试服务。依照招标文件的要求和投标文件的承诺，将设备、系统安装并调试至正常运行的最佳状态。</w:t>
            </w:r>
          </w:p>
          <w:p>
            <w:pPr>
              <w:pStyle w:val="null3"/>
              <w:spacing w:before="165"/>
              <w:jc w:val="left"/>
            </w:pPr>
            <w:r>
              <w:rPr>
                <w:sz w:val="21"/>
              </w:rPr>
              <w:t>（</w:t>
            </w:r>
            <w:r>
              <w:rPr>
                <w:sz w:val="21"/>
              </w:rPr>
              <w:t>2</w:t>
            </w:r>
            <w:r>
              <w:rPr>
                <w:sz w:val="21"/>
              </w:rPr>
              <w:t>）设备安装时需对最终使用方各安装场地内的其他设备、设施有良好保护措施。如因中标人原因造成包括但不限于采购人场地或场地内其他设备设施损坏，或造成任何人员伤亡的，中标人承担全部赔偿责任。</w:t>
            </w:r>
          </w:p>
          <w:p>
            <w:pPr>
              <w:pStyle w:val="null3"/>
              <w:spacing w:before="165"/>
              <w:jc w:val="left"/>
            </w:pPr>
            <w:r>
              <w:rPr>
                <w:sz w:val="21"/>
              </w:rPr>
              <w:t>（</w:t>
            </w:r>
            <w:r>
              <w:rPr>
                <w:sz w:val="21"/>
              </w:rPr>
              <w:t>3</w:t>
            </w:r>
            <w:r>
              <w:rPr>
                <w:sz w:val="21"/>
              </w:rPr>
              <w:t>）安装调试过程中所产生的一切材料费、工具费、人工费、手续费、差旅费、食宿费和加班费等，均包含在本项目投标报价中，采购人不再另行支付。安装调试期间所发现一切安全和质量事故及费用，均由中标人承担。</w:t>
            </w:r>
          </w:p>
          <w:p>
            <w:pPr>
              <w:pStyle w:val="null3"/>
              <w:spacing w:before="165"/>
              <w:jc w:val="left"/>
            </w:pPr>
            <w:r>
              <w:rPr>
                <w:sz w:val="21"/>
              </w:rPr>
              <w:t>（</w:t>
            </w:r>
            <w:r>
              <w:rPr>
                <w:sz w:val="21"/>
              </w:rPr>
              <w:t>4</w:t>
            </w:r>
            <w:r>
              <w:rPr>
                <w:sz w:val="21"/>
              </w:rPr>
              <w:t>）中标人需加强安装调试过程的组织管理，所有安装调试人员应遵守文明安全操作的有关规章制度，持证上岗。</w:t>
            </w:r>
          </w:p>
          <w:p>
            <w:pPr>
              <w:pStyle w:val="null3"/>
              <w:spacing w:before="165"/>
              <w:jc w:val="left"/>
            </w:pPr>
            <w:r>
              <w:rPr>
                <w:sz w:val="21"/>
              </w:rPr>
              <w:t>（</w:t>
            </w:r>
            <w:r>
              <w:rPr>
                <w:sz w:val="21"/>
              </w:rPr>
              <w:t>5</w:t>
            </w:r>
            <w:r>
              <w:rPr>
                <w:sz w:val="21"/>
              </w:rPr>
              <w:t>）设备安装调试完毕，中标人应将项目有关的全部资料，包括但不限于产品资料、中文操作说明书、技术文档、合格证及采购人要求的相关资料等，移交最终使用方。</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培训要求</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提供专业、系统的现场培训服务直至科室使用人员能熟悉使用。</w:t>
            </w:r>
          </w:p>
          <w:p>
            <w:pPr>
              <w:pStyle w:val="null3"/>
              <w:spacing w:before="165"/>
              <w:jc w:val="left"/>
            </w:pPr>
            <w:r>
              <w:rPr>
                <w:sz w:val="21"/>
              </w:rPr>
              <w:t>（</w:t>
            </w:r>
            <w:r>
              <w:rPr>
                <w:sz w:val="21"/>
              </w:rPr>
              <w:t>1</w:t>
            </w:r>
            <w:r>
              <w:rPr>
                <w:sz w:val="21"/>
              </w:rPr>
              <w:t>）提供设备厂家或者厂家授权的售后服务商的培训服务。中标人应明确培训的师资人员安排和培训效果的保障措施，在设备安装和调试完成后，中标人应组织培训服务，组织专业技术人员对最终使用方科室使用人员和设备维护、维修的工程师进行培训，并保证最终使用方</w:t>
            </w:r>
            <w:r>
              <w:rPr>
                <w:sz w:val="21"/>
              </w:rPr>
              <w:t>2</w:t>
            </w:r>
            <w:r>
              <w:rPr>
                <w:sz w:val="21"/>
              </w:rPr>
              <w:t>名以上操作人员熟练掌握操作技术为止。</w:t>
            </w:r>
          </w:p>
          <w:p>
            <w:pPr>
              <w:pStyle w:val="null3"/>
              <w:spacing w:before="165"/>
              <w:jc w:val="left"/>
            </w:pPr>
            <w:r>
              <w:rPr>
                <w:sz w:val="21"/>
              </w:rPr>
              <w:t>（</w:t>
            </w:r>
            <w:r>
              <w:rPr>
                <w:sz w:val="21"/>
              </w:rPr>
              <w:t>2</w:t>
            </w:r>
            <w:r>
              <w:rPr>
                <w:sz w:val="21"/>
              </w:rPr>
              <w:t>）中标人需制定详细的培训内容和培训计划。培训内容包括设备的安装和维护、常见故障现象及诊断、常见的问题及解决办法、操作系统软件的使用等。</w:t>
            </w:r>
          </w:p>
          <w:p>
            <w:pPr>
              <w:pStyle w:val="null3"/>
              <w:spacing w:before="165"/>
              <w:jc w:val="left"/>
            </w:pPr>
            <w:r>
              <w:rPr>
                <w:sz w:val="21"/>
              </w:rPr>
              <w:t>（</w:t>
            </w:r>
            <w:r>
              <w:rPr>
                <w:sz w:val="21"/>
              </w:rPr>
              <w:t>3</w:t>
            </w:r>
            <w:r>
              <w:rPr>
                <w:sz w:val="21"/>
              </w:rPr>
              <w:t>）如遇设备升级更新，中标人需协调设备厂家或者厂家授权的售后服务商及时为最终使用方提供更新操作指导。</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供货服务要求</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w:t>
            </w:r>
            <w:r>
              <w:rPr>
                <w:sz w:val="21"/>
              </w:rPr>
              <w:t>1</w:t>
            </w:r>
            <w:r>
              <w:rPr>
                <w:sz w:val="21"/>
              </w:rPr>
              <w:t>）交货要求</w:t>
            </w:r>
          </w:p>
          <w:p>
            <w:pPr>
              <w:pStyle w:val="null3"/>
              <w:jc w:val="left"/>
            </w:pPr>
            <w:r>
              <w:rPr>
                <w:sz w:val="21"/>
              </w:rPr>
              <w:t>投标人从交货时间、交货地点、包装运输等方面制定项目交货事项方案。方案应符合项目条件以及最终使用方情况，具备相应的保障措施。包括但不限于以下要求：</w:t>
            </w:r>
          </w:p>
          <w:p>
            <w:pPr>
              <w:pStyle w:val="null3"/>
              <w:jc w:val="both"/>
            </w:pPr>
            <w:r>
              <w:rPr>
                <w:sz w:val="21"/>
              </w:rPr>
              <w:t>1</w:t>
            </w:r>
            <w:r>
              <w:rPr>
                <w:sz w:val="21"/>
              </w:rPr>
              <w:t>）包装和运输要求：包装箱应用坚固的材料制造，适用长途运输、防潮、防锈、防震、防粗暴装卸，适于空运和整体吊装，并注明起吊位置，起吊重量及重心位置。</w:t>
            </w:r>
          </w:p>
          <w:p>
            <w:pPr>
              <w:pStyle w:val="null3"/>
              <w:jc w:val="left"/>
            </w:pPr>
            <w:r>
              <w:rPr>
                <w:sz w:val="21"/>
              </w:rPr>
              <w:t>2</w:t>
            </w:r>
            <w:r>
              <w:rPr>
                <w:sz w:val="21"/>
              </w:rPr>
              <w:t>）交付方式：供应商应负责将设备安全、完整地运送至指定地点。卸货和搬运工作由供应商负责，使用单位予以配合。运输及费用承担：供应商负责本项目所有设备的运输、装卸以及相关运输许可的申请（若有）。供应商承担运输过程中产生的所有费用，涵盖运输费、保险费、装卸费等，同时承担运输全程的所有风险，直至设备安全送达并经使用单位初步检验合格。</w:t>
            </w:r>
          </w:p>
          <w:p>
            <w:pPr>
              <w:pStyle w:val="null3"/>
              <w:jc w:val="left"/>
            </w:pPr>
            <w:r>
              <w:rPr>
                <w:sz w:val="21"/>
              </w:rPr>
              <w:t>3</w:t>
            </w:r>
            <w:r>
              <w:rPr>
                <w:sz w:val="21"/>
              </w:rPr>
              <w:t>）所有设备：中标供应商确保设备完整无损地运抵采购人指定的地点，并提供原厂包装、装箱清单、合格证等相关资料。货物包装及标识：货物包装应符合国家相关标准和运输要求，确保货物在运输过程中不受损坏。每个包装箱外应有清晰、牢固的标识。</w:t>
            </w:r>
          </w:p>
          <w:p>
            <w:pPr>
              <w:pStyle w:val="null3"/>
              <w:jc w:val="both"/>
            </w:pPr>
            <w:r>
              <w:rPr>
                <w:sz w:val="21"/>
              </w:rPr>
              <w:t>所有文档资料：交货时，应完整地提供全套技术及质量资料，包括但不限于设备使用手册、安装及维修手册、系统软件及软件备份、故障代码表、备件及必备的零部件清单、维修密码等，以保证使用单位能够正确进行操作、检查、维护、维修、测试、调试、等运行过程中的全部内容。</w:t>
            </w:r>
          </w:p>
          <w:p>
            <w:pPr>
              <w:pStyle w:val="null3"/>
              <w:spacing w:before="165"/>
              <w:jc w:val="left"/>
            </w:pPr>
            <w:r>
              <w:rPr>
                <w:sz w:val="21"/>
              </w:rPr>
              <w:t>（</w:t>
            </w:r>
            <w:r>
              <w:rPr>
                <w:sz w:val="21"/>
              </w:rPr>
              <w:t>2</w:t>
            </w:r>
            <w:r>
              <w:rPr>
                <w:sz w:val="21"/>
              </w:rPr>
              <w:t>）进度计划</w:t>
            </w:r>
          </w:p>
          <w:p>
            <w:pPr>
              <w:pStyle w:val="null3"/>
              <w:spacing w:before="165"/>
              <w:jc w:val="left"/>
            </w:pPr>
            <w:r>
              <w:rPr>
                <w:sz w:val="21"/>
              </w:rPr>
              <w:t>投标人从项目启动、设备采购、安装调试、验收、售后服务等方面制定项目进度计划方案。方案应符合项目条件以及最终使用方情况，具有应对突发情况的计划方案。</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验收要求</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1</w:t>
            </w:r>
            <w:r>
              <w:rPr>
                <w:sz w:val="21"/>
              </w:rPr>
              <w:t>）验收按国家、地方及行业有关的规定、规范、采购文件约定要求。验收时如发现所交付的设备有短装、次品、损坏或其它不符合本合同规定之情形者，由最终使用方和中标人双方签署现场记录或备忘录。此现场记录或备忘录可用作补充、缺失和更换损坏部件的有效证据。由此产生的有关费用由中标人承担。</w:t>
            </w:r>
          </w:p>
          <w:p>
            <w:pPr>
              <w:pStyle w:val="null3"/>
              <w:spacing w:before="165"/>
              <w:jc w:val="left"/>
            </w:pPr>
            <w:r>
              <w:rPr>
                <w:sz w:val="21"/>
              </w:rPr>
              <w:t>（</w:t>
            </w:r>
            <w:r>
              <w:rPr>
                <w:sz w:val="21"/>
              </w:rPr>
              <w:t>2</w:t>
            </w:r>
            <w:r>
              <w:rPr>
                <w:sz w:val="21"/>
              </w:rPr>
              <w:t>）设备验收时，中标人应有制造商技术人员现场协助最终使用方进行验收，验收报告作为项目验收必备文档之一。</w:t>
            </w:r>
          </w:p>
          <w:p>
            <w:pPr>
              <w:pStyle w:val="null3"/>
              <w:spacing w:before="165"/>
              <w:jc w:val="left"/>
            </w:pPr>
            <w:r>
              <w:rPr>
                <w:sz w:val="21"/>
              </w:rPr>
              <w:t>（</w:t>
            </w:r>
            <w:r>
              <w:rPr>
                <w:sz w:val="21"/>
              </w:rPr>
              <w:t>3</w:t>
            </w:r>
            <w:r>
              <w:rPr>
                <w:sz w:val="21"/>
              </w:rPr>
              <w:t>）设备完成安装调试并稳定运行后，中标人向最终使用方提出验收申请，中标人及设备的厂家或厂家授权的售后服务商协助最终使用方完成验收工作。若项目实施情况不满足验收标准，中标人应在采购人通知后</w:t>
            </w:r>
            <w:r>
              <w:rPr>
                <w:sz w:val="21"/>
              </w:rPr>
              <w:t>7</w:t>
            </w:r>
            <w:r>
              <w:rPr>
                <w:sz w:val="21"/>
              </w:rPr>
              <w:t>日内完成整改，整改合格后再向最终使用方提出验收申请。中标人整改次数不得超过</w:t>
            </w:r>
            <w:r>
              <w:rPr>
                <w:sz w:val="21"/>
              </w:rPr>
              <w:t>2</w:t>
            </w:r>
            <w:r>
              <w:rPr>
                <w:sz w:val="21"/>
              </w:rPr>
              <w:t>次，否则视为中标人严重违约，采购人有权单方解除合同。从中标人提供的设备未通过最终使用方验收之日起，中标人应每日按合同总额的</w:t>
            </w:r>
            <w:r>
              <w:rPr>
                <w:sz w:val="21"/>
              </w:rPr>
              <w:t>0.3</w:t>
            </w:r>
            <w:r>
              <w:rPr>
                <w:sz w:val="21"/>
              </w:rPr>
              <w:t>‰向采购人支付违约金，直至设备验收合格。</w:t>
            </w:r>
          </w:p>
        </w:tc>
      </w:tr>
      <w:tr>
        <w:tc>
          <w:tcPr>
            <w:tcW w:type="dxa" w:w="159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165"/>
              <w:jc w:val="center"/>
            </w:pPr>
            <w:r>
              <w:rPr>
                <w:sz w:val="21"/>
              </w:rPr>
              <w:t>付款方式</w:t>
            </w:r>
          </w:p>
        </w:tc>
        <w:tc>
          <w:tcPr>
            <w:tcW w:type="dxa" w:w="67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165"/>
              <w:jc w:val="left"/>
            </w:pPr>
            <w:r>
              <w:rPr>
                <w:sz w:val="21"/>
              </w:rPr>
              <w:t>合同生效后，自收到完税发票之日起</w:t>
            </w:r>
            <w:r>
              <w:rPr>
                <w:sz w:val="21"/>
              </w:rPr>
              <w:t>10</w:t>
            </w:r>
            <w:r>
              <w:rPr>
                <w:sz w:val="21"/>
              </w:rPr>
              <w:t>个工作日内，支付合同款</w:t>
            </w:r>
            <w:r>
              <w:rPr>
                <w:sz w:val="21"/>
              </w:rPr>
              <w:t>50%</w:t>
            </w:r>
            <w:r>
              <w:rPr>
                <w:sz w:val="21"/>
              </w:rPr>
              <w:t>，项目验收合格，双方签署验收报告后，自收到完税发票之日起</w:t>
            </w:r>
            <w:r>
              <w:rPr>
                <w:sz w:val="21"/>
              </w:rPr>
              <w:t>10</w:t>
            </w:r>
            <w:r>
              <w:rPr>
                <w:sz w:val="21"/>
              </w:rPr>
              <w:t>个工作日内，支付合同款</w:t>
            </w:r>
            <w:r>
              <w:rPr>
                <w:sz w:val="21"/>
              </w:rPr>
              <w:t>50%</w:t>
            </w:r>
            <w:r>
              <w:rPr>
                <w:sz w:val="21"/>
              </w:rPr>
              <w:t>。</w:t>
            </w:r>
          </w:p>
          <w:p>
            <w:pPr>
              <w:pStyle w:val="null3"/>
              <w:spacing w:before="165"/>
              <w:jc w:val="left"/>
            </w:pPr>
            <w:r>
              <w:rPr>
                <w:sz w:val="21"/>
              </w:rPr>
              <w:t>收款方、出具发票方、合同乙方均必须一致。如有变更，必须以书面方式通知对方并加盖财务专用章。</w:t>
            </w:r>
          </w:p>
          <w:p>
            <w:pPr>
              <w:pStyle w:val="null3"/>
              <w:spacing w:before="165"/>
              <w:jc w:val="left"/>
            </w:pPr>
            <w:r>
              <w:rPr>
                <w:sz w:val="21"/>
              </w:rPr>
              <w:t>支付方式采用银行转账支付。支付程序按法定流程处理。</w:t>
            </w:r>
          </w:p>
        </w:tc>
      </w:tr>
    </w:tbl>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三、功能及技术参数要求</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35"/>
              <w:jc w:val="both"/>
            </w:pPr>
            <w:r>
              <w:rPr>
                <w:sz w:val="21"/>
                <w:b/>
              </w:rPr>
              <w:t>1.</w:t>
            </w:r>
            <w:r>
              <w:rPr>
                <w:sz w:val="21"/>
                <w:b/>
              </w:rPr>
              <w:t>高压发生器</w:t>
            </w:r>
          </w:p>
          <w:p>
            <w:pPr>
              <w:pStyle w:val="null3"/>
              <w:ind w:left="135"/>
              <w:jc w:val="both"/>
            </w:pPr>
            <w:r>
              <w:rPr>
                <w:sz w:val="21"/>
              </w:rPr>
              <w:t xml:space="preserve">1.1 </w:t>
            </w:r>
            <w:r>
              <w:rPr>
                <w:sz w:val="21"/>
              </w:rPr>
              <w:t>最大输出功率≥</w:t>
            </w:r>
            <w:r>
              <w:rPr>
                <w:sz w:val="21"/>
              </w:rPr>
              <w:t>65KW</w:t>
            </w:r>
          </w:p>
          <w:p>
            <w:pPr>
              <w:pStyle w:val="null3"/>
              <w:ind w:left="135"/>
              <w:jc w:val="both"/>
            </w:pPr>
            <w:r>
              <w:rPr>
                <w:sz w:val="21"/>
              </w:rPr>
              <w:t xml:space="preserve">1.2 </w:t>
            </w:r>
            <w:r>
              <w:rPr>
                <w:sz w:val="21"/>
              </w:rPr>
              <w:t>逆变频率≥</w:t>
            </w:r>
            <w:r>
              <w:rPr>
                <w:sz w:val="21"/>
              </w:rPr>
              <w:t>250KHz</w:t>
            </w:r>
          </w:p>
          <w:p>
            <w:pPr>
              <w:pStyle w:val="null3"/>
              <w:ind w:left="135"/>
              <w:jc w:val="both"/>
            </w:pPr>
            <w:r>
              <w:rPr>
                <w:sz w:val="21"/>
              </w:rPr>
              <w:t>1.3 KV</w:t>
            </w:r>
            <w:r>
              <w:rPr>
                <w:sz w:val="21"/>
              </w:rPr>
              <w:t>范围≥</w:t>
            </w:r>
            <w:r>
              <w:rPr>
                <w:sz w:val="21"/>
              </w:rPr>
              <w:t>40~150KV</w:t>
            </w:r>
          </w:p>
          <w:p>
            <w:pPr>
              <w:pStyle w:val="null3"/>
              <w:ind w:left="135"/>
              <w:jc w:val="both"/>
            </w:pPr>
            <w:r>
              <w:rPr>
                <w:sz w:val="21"/>
              </w:rPr>
              <w:t xml:space="preserve">1.4 </w:t>
            </w:r>
            <w:r>
              <w:rPr>
                <w:sz w:val="21"/>
              </w:rPr>
              <w:t>最大输出电流≥</w:t>
            </w:r>
            <w:r>
              <w:rPr>
                <w:sz w:val="21"/>
              </w:rPr>
              <w:t>800mA</w:t>
            </w:r>
          </w:p>
          <w:p>
            <w:pPr>
              <w:pStyle w:val="null3"/>
              <w:ind w:left="135"/>
              <w:jc w:val="both"/>
            </w:pPr>
            <w:r>
              <w:rPr>
                <w:sz w:val="21"/>
              </w:rPr>
              <w:t>▲</w:t>
            </w:r>
            <w:r>
              <w:rPr>
                <w:sz w:val="21"/>
              </w:rPr>
              <w:t xml:space="preserve">1.5 </w:t>
            </w:r>
            <w:r>
              <w:rPr>
                <w:sz w:val="21"/>
              </w:rPr>
              <w:t>最大加载时间≥</w:t>
            </w:r>
            <w:r>
              <w:rPr>
                <w:sz w:val="21"/>
              </w:rPr>
              <w:t>10s</w:t>
            </w:r>
          </w:p>
          <w:p>
            <w:pPr>
              <w:pStyle w:val="null3"/>
              <w:ind w:left="135"/>
              <w:jc w:val="both"/>
            </w:pPr>
            <w:r>
              <w:rPr>
                <w:sz w:val="21"/>
              </w:rPr>
              <w:t>▲</w:t>
            </w:r>
            <w:r>
              <w:rPr>
                <w:sz w:val="21"/>
              </w:rPr>
              <w:t xml:space="preserve">1.6 </w:t>
            </w:r>
            <w:r>
              <w:rPr>
                <w:sz w:val="21"/>
              </w:rPr>
              <w:t>最大电流时间积≥</w:t>
            </w:r>
            <w:r>
              <w:rPr>
                <w:sz w:val="21"/>
              </w:rPr>
              <w:t>1000mAs</w:t>
            </w:r>
          </w:p>
          <w:p>
            <w:pPr>
              <w:pStyle w:val="null3"/>
              <w:ind w:left="135"/>
              <w:jc w:val="both"/>
            </w:pPr>
            <w:r>
              <w:rPr>
                <w:sz w:val="21"/>
              </w:rPr>
              <w:t xml:space="preserve">1.7 </w:t>
            </w:r>
            <w:r>
              <w:rPr>
                <w:sz w:val="21"/>
              </w:rPr>
              <w:t>自动曝光控制功能</w:t>
            </w:r>
          </w:p>
          <w:p>
            <w:pPr>
              <w:pStyle w:val="null3"/>
              <w:ind w:left="135"/>
              <w:jc w:val="both"/>
            </w:pPr>
            <w:r>
              <w:rPr>
                <w:sz w:val="21"/>
              </w:rPr>
              <w:t>1.8</w:t>
            </w:r>
            <w:r>
              <w:rPr>
                <w:sz w:val="21"/>
              </w:rPr>
              <w:t>具有自动摄影程序</w:t>
            </w:r>
          </w:p>
          <w:p>
            <w:pPr>
              <w:pStyle w:val="null3"/>
              <w:ind w:left="135"/>
              <w:jc w:val="both"/>
            </w:pPr>
            <w:r>
              <w:rPr>
                <w:sz w:val="21"/>
              </w:rPr>
              <w:t xml:space="preserve">1.9 </w:t>
            </w:r>
            <w:r>
              <w:rPr>
                <w:sz w:val="21"/>
              </w:rPr>
              <w:t>曝光参数调节与图像采集工作站集成</w:t>
            </w:r>
          </w:p>
          <w:p>
            <w:pPr>
              <w:pStyle w:val="null3"/>
              <w:ind w:left="135"/>
              <w:jc w:val="both"/>
            </w:pPr>
            <w:r>
              <w:rPr>
                <w:sz w:val="21"/>
                <w:b/>
              </w:rPr>
              <w:t>2.X</w:t>
            </w:r>
            <w:r>
              <w:rPr>
                <w:sz w:val="21"/>
                <w:b/>
              </w:rPr>
              <w:t>线球管</w:t>
            </w:r>
          </w:p>
          <w:p>
            <w:pPr>
              <w:pStyle w:val="null3"/>
              <w:ind w:left="135"/>
              <w:jc w:val="both"/>
            </w:pPr>
            <w:r>
              <w:rPr>
                <w:sz w:val="21"/>
              </w:rPr>
              <w:t xml:space="preserve">2.1 </w:t>
            </w:r>
            <w:r>
              <w:rPr>
                <w:sz w:val="21"/>
              </w:rPr>
              <w:t>双焦点球管，小焦点≤</w:t>
            </w:r>
            <w:r>
              <w:rPr>
                <w:sz w:val="21"/>
              </w:rPr>
              <w:t>0.6mm</w:t>
            </w:r>
            <w:r>
              <w:rPr>
                <w:sz w:val="21"/>
              </w:rPr>
              <w:t>，大焦点≤</w:t>
            </w:r>
            <w:r>
              <w:rPr>
                <w:sz w:val="21"/>
              </w:rPr>
              <w:t>1.2mm</w:t>
            </w:r>
          </w:p>
          <w:p>
            <w:pPr>
              <w:pStyle w:val="null3"/>
              <w:ind w:left="135"/>
              <w:jc w:val="both"/>
            </w:pPr>
            <w:r>
              <w:rPr>
                <w:sz w:val="21"/>
              </w:rPr>
              <w:t xml:space="preserve">2.2 </w:t>
            </w:r>
            <w:r>
              <w:rPr>
                <w:sz w:val="21"/>
              </w:rPr>
              <w:t>阳极热容量≥</w:t>
            </w:r>
            <w:r>
              <w:rPr>
                <w:sz w:val="21"/>
              </w:rPr>
              <w:t>300kHu</w:t>
            </w:r>
          </w:p>
          <w:p>
            <w:pPr>
              <w:pStyle w:val="null3"/>
              <w:ind w:left="135"/>
              <w:jc w:val="both"/>
            </w:pPr>
            <w:r>
              <w:rPr>
                <w:sz w:val="21"/>
              </w:rPr>
              <w:t xml:space="preserve">2.3 </w:t>
            </w:r>
            <w:r>
              <w:rPr>
                <w:sz w:val="21"/>
              </w:rPr>
              <w:t>阳极转速≥</w:t>
            </w:r>
            <w:r>
              <w:rPr>
                <w:sz w:val="21"/>
              </w:rPr>
              <w:t>9700r/min</w:t>
            </w:r>
          </w:p>
          <w:p>
            <w:pPr>
              <w:pStyle w:val="null3"/>
              <w:ind w:left="135"/>
              <w:jc w:val="both"/>
            </w:pPr>
            <w:r>
              <w:rPr>
                <w:sz w:val="21"/>
              </w:rPr>
              <w:t xml:space="preserve">2.4 </w:t>
            </w:r>
            <w:r>
              <w:rPr>
                <w:sz w:val="21"/>
              </w:rPr>
              <w:t>支持风冷</w:t>
            </w:r>
            <w:r>
              <w:rPr>
                <w:sz w:val="21"/>
              </w:rPr>
              <w:t>+</w:t>
            </w:r>
            <w:r>
              <w:rPr>
                <w:sz w:val="21"/>
              </w:rPr>
              <w:t>油冷双散热</w:t>
            </w:r>
          </w:p>
          <w:p>
            <w:pPr>
              <w:pStyle w:val="null3"/>
              <w:ind w:left="135"/>
              <w:jc w:val="both"/>
            </w:pPr>
            <w:r>
              <w:rPr>
                <w:sz w:val="21"/>
              </w:rPr>
              <w:t xml:space="preserve">2.5 </w:t>
            </w:r>
            <w:r>
              <w:rPr>
                <w:sz w:val="21"/>
              </w:rPr>
              <w:t>自动束光器，具有光野及中心指示功能</w:t>
            </w:r>
          </w:p>
          <w:p>
            <w:pPr>
              <w:pStyle w:val="null3"/>
              <w:ind w:left="135"/>
              <w:jc w:val="both"/>
            </w:pPr>
            <w:r>
              <w:rPr>
                <w:sz w:val="21"/>
                <w:b/>
              </w:rPr>
              <w:t>3.</w:t>
            </w:r>
            <w:r>
              <w:rPr>
                <w:sz w:val="21"/>
                <w:b/>
              </w:rPr>
              <w:t>无线平板探测器</w:t>
            </w:r>
          </w:p>
          <w:p>
            <w:pPr>
              <w:pStyle w:val="null3"/>
              <w:ind w:left="135"/>
              <w:jc w:val="both"/>
            </w:pPr>
            <w:r>
              <w:rPr>
                <w:sz w:val="21"/>
              </w:rPr>
              <w:t xml:space="preserve">3.1 </w:t>
            </w:r>
            <w:r>
              <w:rPr>
                <w:sz w:val="21"/>
              </w:rPr>
              <w:t>探测器材料：非晶硅碘化铯</w:t>
            </w:r>
          </w:p>
          <w:p>
            <w:pPr>
              <w:pStyle w:val="null3"/>
              <w:ind w:left="135"/>
              <w:jc w:val="both"/>
            </w:pPr>
            <w:r>
              <w:rPr>
                <w:sz w:val="21"/>
              </w:rPr>
              <w:t>▲</w:t>
            </w:r>
            <w:r>
              <w:rPr>
                <w:sz w:val="21"/>
              </w:rPr>
              <w:t xml:space="preserve">3.2 </w:t>
            </w:r>
            <w:r>
              <w:rPr>
                <w:sz w:val="21"/>
              </w:rPr>
              <w:t>像素尺寸≤</w:t>
            </w:r>
            <w:r>
              <w:rPr>
                <w:sz w:val="21"/>
              </w:rPr>
              <w:t>100</w:t>
            </w:r>
            <w:r>
              <w:rPr>
                <w:sz w:val="21"/>
              </w:rPr>
              <w:t>μ</w:t>
            </w:r>
            <w:r>
              <w:rPr>
                <w:sz w:val="21"/>
              </w:rPr>
              <w:t>m</w:t>
            </w:r>
          </w:p>
          <w:p>
            <w:pPr>
              <w:pStyle w:val="null3"/>
              <w:ind w:left="135"/>
              <w:jc w:val="both"/>
            </w:pPr>
            <w:r>
              <w:rPr>
                <w:sz w:val="21"/>
              </w:rPr>
              <w:t xml:space="preserve">3.3 </w:t>
            </w:r>
            <w:r>
              <w:rPr>
                <w:sz w:val="21"/>
              </w:rPr>
              <w:t>探测器尺寸≥</w:t>
            </w:r>
            <w:r>
              <w:rPr>
                <w:sz w:val="21"/>
              </w:rPr>
              <w:t>17</w:t>
            </w:r>
            <w:r>
              <w:rPr>
                <w:sz w:val="21"/>
              </w:rPr>
              <w:t>×</w:t>
            </w:r>
            <w:r>
              <w:rPr>
                <w:sz w:val="21"/>
              </w:rPr>
              <w:t xml:space="preserve">17 </w:t>
            </w:r>
            <w:r>
              <w:rPr>
                <w:sz w:val="21"/>
              </w:rPr>
              <w:t>英寸</w:t>
            </w:r>
          </w:p>
          <w:p>
            <w:pPr>
              <w:pStyle w:val="null3"/>
              <w:ind w:left="135"/>
              <w:jc w:val="both"/>
            </w:pPr>
            <w:r>
              <w:rPr>
                <w:sz w:val="21"/>
              </w:rPr>
              <w:t xml:space="preserve">3.4 </w:t>
            </w:r>
            <w:r>
              <w:rPr>
                <w:sz w:val="21"/>
              </w:rPr>
              <w:t>采集矩阵≥</w:t>
            </w:r>
            <w:r>
              <w:rPr>
                <w:sz w:val="21"/>
              </w:rPr>
              <w:t>4200</w:t>
            </w:r>
            <w:r>
              <w:rPr>
                <w:sz w:val="21"/>
              </w:rPr>
              <w:t>×</w:t>
            </w:r>
            <w:r>
              <w:rPr>
                <w:sz w:val="21"/>
              </w:rPr>
              <w:t>4200</w:t>
            </w:r>
          </w:p>
          <w:p>
            <w:pPr>
              <w:pStyle w:val="null3"/>
              <w:ind w:left="135"/>
              <w:jc w:val="both"/>
            </w:pPr>
            <w:r>
              <w:rPr>
                <w:sz w:val="21"/>
              </w:rPr>
              <w:t xml:space="preserve">3.5 </w:t>
            </w:r>
            <w:r>
              <w:rPr>
                <w:sz w:val="21"/>
              </w:rPr>
              <w:t>空间分辨率≥</w:t>
            </w:r>
            <w:r>
              <w:rPr>
                <w:sz w:val="21"/>
              </w:rPr>
              <w:t>5.0lp/mm</w:t>
            </w:r>
          </w:p>
          <w:p>
            <w:pPr>
              <w:pStyle w:val="null3"/>
              <w:ind w:left="135"/>
              <w:jc w:val="both"/>
            </w:pPr>
            <w:r>
              <w:rPr>
                <w:sz w:val="21"/>
              </w:rPr>
              <w:t xml:space="preserve">3.6 </w:t>
            </w:r>
            <w:r>
              <w:rPr>
                <w:sz w:val="21"/>
              </w:rPr>
              <w:t>动态灰阶度≥</w:t>
            </w:r>
            <w:r>
              <w:rPr>
                <w:sz w:val="21"/>
              </w:rPr>
              <w:t>16bit</w:t>
            </w:r>
          </w:p>
          <w:p>
            <w:pPr>
              <w:pStyle w:val="null3"/>
              <w:ind w:left="135"/>
              <w:jc w:val="both"/>
            </w:pPr>
            <w:r>
              <w:rPr>
                <w:sz w:val="21"/>
              </w:rPr>
              <w:t xml:space="preserve">3.7 </w:t>
            </w:r>
            <w:r>
              <w:rPr>
                <w:sz w:val="21"/>
              </w:rPr>
              <w:t>数据传输：无线传输</w:t>
            </w:r>
          </w:p>
          <w:p>
            <w:pPr>
              <w:pStyle w:val="null3"/>
              <w:ind w:left="135"/>
              <w:jc w:val="both"/>
            </w:pPr>
            <w:r>
              <w:rPr>
                <w:sz w:val="21"/>
              </w:rPr>
              <w:t xml:space="preserve">3.8 </w:t>
            </w:r>
            <w:r>
              <w:rPr>
                <w:sz w:val="21"/>
              </w:rPr>
              <w:t>探测器重量（含电池）≤</w:t>
            </w:r>
            <w:r>
              <w:rPr>
                <w:sz w:val="21"/>
              </w:rPr>
              <w:t>3.8kg</w:t>
            </w:r>
          </w:p>
          <w:p>
            <w:pPr>
              <w:pStyle w:val="null3"/>
              <w:ind w:left="135"/>
              <w:jc w:val="both"/>
            </w:pPr>
            <w:r>
              <w:rPr>
                <w:sz w:val="21"/>
                <w:b/>
              </w:rPr>
              <w:t>4.</w:t>
            </w:r>
            <w:r>
              <w:rPr>
                <w:sz w:val="21"/>
                <w:b/>
              </w:rPr>
              <w:t>悬吊式球管支架</w:t>
            </w:r>
          </w:p>
          <w:p>
            <w:pPr>
              <w:pStyle w:val="null3"/>
              <w:ind w:left="135"/>
              <w:jc w:val="both"/>
            </w:pPr>
            <w:r>
              <w:rPr>
                <w:sz w:val="21"/>
              </w:rPr>
              <w:t>▲</w:t>
            </w:r>
            <w:r>
              <w:rPr>
                <w:sz w:val="21"/>
              </w:rPr>
              <w:t xml:space="preserve">4.1 </w:t>
            </w:r>
            <w:r>
              <w:rPr>
                <w:sz w:val="21"/>
              </w:rPr>
              <w:t>球管组件沿垂直轴升降运动行程≥</w:t>
            </w:r>
            <w:r>
              <w:rPr>
                <w:sz w:val="21"/>
              </w:rPr>
              <w:t>1800mm</w:t>
            </w:r>
          </w:p>
          <w:p>
            <w:pPr>
              <w:pStyle w:val="null3"/>
              <w:ind w:left="135"/>
              <w:jc w:val="both"/>
            </w:pPr>
            <w:r>
              <w:rPr>
                <w:sz w:val="21"/>
              </w:rPr>
              <w:t xml:space="preserve">4.2 </w:t>
            </w:r>
            <w:r>
              <w:rPr>
                <w:sz w:val="21"/>
              </w:rPr>
              <w:t>球管组件沿水平轴纵向运动行程≥</w:t>
            </w:r>
            <w:r>
              <w:rPr>
                <w:sz w:val="21"/>
              </w:rPr>
              <w:t>1900mm</w:t>
            </w:r>
          </w:p>
          <w:p>
            <w:pPr>
              <w:pStyle w:val="null3"/>
              <w:ind w:left="135"/>
              <w:jc w:val="both"/>
            </w:pPr>
            <w:r>
              <w:rPr>
                <w:sz w:val="21"/>
              </w:rPr>
              <w:t>▲</w:t>
            </w:r>
            <w:r>
              <w:rPr>
                <w:sz w:val="21"/>
              </w:rPr>
              <w:t xml:space="preserve">4.3 </w:t>
            </w:r>
            <w:r>
              <w:rPr>
                <w:sz w:val="21"/>
              </w:rPr>
              <w:t>球管组件沿水平轴横向运动行程≥</w:t>
            </w:r>
            <w:r>
              <w:rPr>
                <w:sz w:val="21"/>
              </w:rPr>
              <w:t>3000mm</w:t>
            </w:r>
          </w:p>
          <w:p>
            <w:pPr>
              <w:pStyle w:val="null3"/>
              <w:ind w:left="135"/>
              <w:jc w:val="both"/>
            </w:pPr>
            <w:r>
              <w:rPr>
                <w:sz w:val="21"/>
              </w:rPr>
              <w:t xml:space="preserve">4.4 </w:t>
            </w:r>
            <w:r>
              <w:rPr>
                <w:sz w:val="21"/>
              </w:rPr>
              <w:t>球管组件绕垂直轴运动范围≥±</w:t>
            </w:r>
            <w:r>
              <w:rPr>
                <w:sz w:val="21"/>
              </w:rPr>
              <w:t>150</w:t>
            </w:r>
            <w:r>
              <w:rPr>
                <w:sz w:val="21"/>
              </w:rPr>
              <w:t>°</w:t>
            </w:r>
          </w:p>
          <w:p>
            <w:pPr>
              <w:pStyle w:val="null3"/>
              <w:ind w:left="135"/>
              <w:jc w:val="both"/>
            </w:pPr>
            <w:r>
              <w:rPr>
                <w:sz w:val="21"/>
              </w:rPr>
              <w:t xml:space="preserve">4.5 </w:t>
            </w:r>
            <w:r>
              <w:rPr>
                <w:sz w:val="21"/>
              </w:rPr>
              <w:t>球管组件绕水平轴运动范围≥±</w:t>
            </w:r>
            <w:r>
              <w:rPr>
                <w:sz w:val="21"/>
              </w:rPr>
              <w:t>130</w:t>
            </w:r>
            <w:r>
              <w:rPr>
                <w:sz w:val="21"/>
              </w:rPr>
              <w:t>°</w:t>
            </w:r>
          </w:p>
          <w:p>
            <w:pPr>
              <w:pStyle w:val="null3"/>
              <w:ind w:left="135"/>
              <w:jc w:val="both"/>
            </w:pPr>
            <w:r>
              <w:rPr>
                <w:sz w:val="21"/>
                <w:b/>
              </w:rPr>
              <w:t>5.</w:t>
            </w:r>
            <w:r>
              <w:rPr>
                <w:sz w:val="21"/>
                <w:b/>
              </w:rPr>
              <w:t>近台触摸屏</w:t>
            </w:r>
          </w:p>
          <w:p>
            <w:pPr>
              <w:pStyle w:val="null3"/>
              <w:ind w:left="135"/>
              <w:jc w:val="both"/>
            </w:pPr>
            <w:r>
              <w:rPr>
                <w:sz w:val="21"/>
              </w:rPr>
              <w:t xml:space="preserve">5.1 </w:t>
            </w:r>
            <w:r>
              <w:rPr>
                <w:sz w:val="21"/>
              </w:rPr>
              <w:t>近台操控彩色触摸屏</w:t>
            </w:r>
          </w:p>
          <w:p>
            <w:pPr>
              <w:pStyle w:val="null3"/>
              <w:ind w:left="135"/>
              <w:jc w:val="both"/>
            </w:pPr>
            <w:r>
              <w:rPr>
                <w:sz w:val="21"/>
              </w:rPr>
              <w:t xml:space="preserve">5.2 </w:t>
            </w:r>
            <w:r>
              <w:rPr>
                <w:sz w:val="21"/>
              </w:rPr>
              <w:t>操控方式：电容式触摸屏（仅当人体皮肤触及时生效）</w:t>
            </w:r>
          </w:p>
          <w:p>
            <w:pPr>
              <w:pStyle w:val="null3"/>
              <w:ind w:left="135"/>
              <w:jc w:val="both"/>
            </w:pPr>
            <w:r>
              <w:rPr>
                <w:sz w:val="21"/>
              </w:rPr>
              <w:t xml:space="preserve">5.3 </w:t>
            </w:r>
            <w:r>
              <w:rPr>
                <w:sz w:val="21"/>
              </w:rPr>
              <w:t>屏幕尺寸≥</w:t>
            </w:r>
            <w:r>
              <w:rPr>
                <w:sz w:val="21"/>
              </w:rPr>
              <w:t>9.5</w:t>
            </w:r>
            <w:r>
              <w:rPr>
                <w:sz w:val="21"/>
              </w:rPr>
              <w:t>英寸</w:t>
            </w:r>
          </w:p>
          <w:p>
            <w:pPr>
              <w:pStyle w:val="null3"/>
              <w:ind w:left="135"/>
              <w:jc w:val="both"/>
            </w:pPr>
            <w:r>
              <w:rPr>
                <w:sz w:val="21"/>
              </w:rPr>
              <w:t xml:space="preserve">5.4 </w:t>
            </w:r>
            <w:r>
              <w:rPr>
                <w:sz w:val="21"/>
              </w:rPr>
              <w:t>屏幕显示可依据重力方向自动调整显示的方向</w:t>
            </w:r>
          </w:p>
          <w:p>
            <w:pPr>
              <w:pStyle w:val="null3"/>
              <w:ind w:left="135"/>
              <w:jc w:val="both"/>
            </w:pPr>
            <w:r>
              <w:rPr>
                <w:sz w:val="21"/>
              </w:rPr>
              <w:t xml:space="preserve">5.5 </w:t>
            </w:r>
            <w:r>
              <w:rPr>
                <w:sz w:val="21"/>
              </w:rPr>
              <w:t>可显示患者的详细登记信息、摆位引导图、</w:t>
            </w:r>
            <w:r>
              <w:rPr>
                <w:sz w:val="21"/>
              </w:rPr>
              <w:t>SID</w:t>
            </w:r>
            <w:r>
              <w:rPr>
                <w:sz w:val="21"/>
              </w:rPr>
              <w:t>数值、球管组件绕水平轴旋转角度</w:t>
            </w:r>
          </w:p>
          <w:p>
            <w:pPr>
              <w:pStyle w:val="null3"/>
              <w:ind w:left="135"/>
              <w:jc w:val="both"/>
            </w:pPr>
            <w:r>
              <w:rPr>
                <w:sz w:val="21"/>
              </w:rPr>
              <w:t xml:space="preserve">5.6 </w:t>
            </w:r>
            <w:r>
              <w:rPr>
                <w:sz w:val="21"/>
              </w:rPr>
              <w:t>可调整曝光参数（</w:t>
            </w:r>
            <w:r>
              <w:rPr>
                <w:sz w:val="21"/>
              </w:rPr>
              <w:t>kV</w:t>
            </w:r>
            <w:r>
              <w:rPr>
                <w:sz w:val="21"/>
              </w:rPr>
              <w:t>，</w:t>
            </w:r>
            <w:r>
              <w:rPr>
                <w:sz w:val="21"/>
              </w:rPr>
              <w:t>mA</w:t>
            </w:r>
            <w:r>
              <w:rPr>
                <w:sz w:val="21"/>
              </w:rPr>
              <w:t>，</w:t>
            </w:r>
            <w:r>
              <w:rPr>
                <w:sz w:val="21"/>
              </w:rPr>
              <w:t>mAs</w:t>
            </w:r>
            <w:r>
              <w:rPr>
                <w:sz w:val="21"/>
              </w:rPr>
              <w:t>等）、部位选择、体型选择、束光器滤过组合、大小焦点快速切换</w:t>
            </w:r>
          </w:p>
          <w:p>
            <w:pPr>
              <w:pStyle w:val="null3"/>
              <w:ind w:left="135"/>
              <w:jc w:val="both"/>
            </w:pPr>
            <w:r>
              <w:rPr>
                <w:sz w:val="21"/>
              </w:rPr>
              <w:t xml:space="preserve">5.7 </w:t>
            </w:r>
            <w:r>
              <w:rPr>
                <w:sz w:val="21"/>
              </w:rPr>
              <w:t>滤线栅状态提示（滤线栅有无，以及与当前</w:t>
            </w:r>
            <w:r>
              <w:rPr>
                <w:sz w:val="21"/>
              </w:rPr>
              <w:t>APR</w:t>
            </w:r>
            <w:r>
              <w:rPr>
                <w:sz w:val="21"/>
              </w:rPr>
              <w:t>是否匹配）</w:t>
            </w:r>
          </w:p>
          <w:p>
            <w:pPr>
              <w:pStyle w:val="null3"/>
              <w:ind w:left="135"/>
              <w:jc w:val="both"/>
            </w:pPr>
            <w:r>
              <w:rPr>
                <w:sz w:val="21"/>
              </w:rPr>
              <w:t xml:space="preserve">5.8 </w:t>
            </w:r>
            <w:r>
              <w:rPr>
                <w:sz w:val="21"/>
              </w:rPr>
              <w:t>智能故障预判提示</w:t>
            </w:r>
          </w:p>
          <w:p>
            <w:pPr>
              <w:pStyle w:val="null3"/>
              <w:ind w:left="135"/>
              <w:jc w:val="both"/>
            </w:pPr>
            <w:r>
              <w:rPr>
                <w:sz w:val="21"/>
                <w:b/>
              </w:rPr>
              <w:t>6.</w:t>
            </w:r>
            <w:r>
              <w:rPr>
                <w:sz w:val="21"/>
                <w:b/>
              </w:rPr>
              <w:t>无线远程遥控器</w:t>
            </w:r>
          </w:p>
          <w:p>
            <w:pPr>
              <w:pStyle w:val="null3"/>
              <w:ind w:left="135"/>
              <w:jc w:val="both"/>
            </w:pPr>
            <w:r>
              <w:rPr>
                <w:sz w:val="21"/>
              </w:rPr>
              <w:t xml:space="preserve">6.1 </w:t>
            </w:r>
            <w:r>
              <w:rPr>
                <w:sz w:val="21"/>
              </w:rPr>
              <w:t>可遥控胸片架电动升降</w:t>
            </w:r>
          </w:p>
          <w:p>
            <w:pPr>
              <w:pStyle w:val="null3"/>
              <w:ind w:left="135"/>
              <w:jc w:val="both"/>
            </w:pPr>
            <w:r>
              <w:rPr>
                <w:sz w:val="21"/>
              </w:rPr>
              <w:t xml:space="preserve">6.2 </w:t>
            </w:r>
            <w:r>
              <w:rPr>
                <w:sz w:val="21"/>
              </w:rPr>
              <w:t>可遥控限束器光野控制</w:t>
            </w:r>
          </w:p>
          <w:p>
            <w:pPr>
              <w:pStyle w:val="null3"/>
              <w:ind w:left="135"/>
              <w:jc w:val="both"/>
            </w:pPr>
            <w:r>
              <w:rPr>
                <w:sz w:val="21"/>
              </w:rPr>
              <w:t xml:space="preserve">6.3 </w:t>
            </w:r>
            <w:r>
              <w:rPr>
                <w:sz w:val="21"/>
              </w:rPr>
              <w:t>供电电池类型</w:t>
            </w:r>
          </w:p>
          <w:p>
            <w:pPr>
              <w:pStyle w:val="null3"/>
              <w:ind w:left="135"/>
              <w:jc w:val="both"/>
            </w:pPr>
            <w:r>
              <w:rPr>
                <w:sz w:val="21"/>
              </w:rPr>
              <w:t xml:space="preserve">6.4 </w:t>
            </w:r>
            <w:r>
              <w:rPr>
                <w:sz w:val="21"/>
              </w:rPr>
              <w:t>支持卧位一键到位</w:t>
            </w:r>
          </w:p>
          <w:p>
            <w:pPr>
              <w:pStyle w:val="null3"/>
              <w:ind w:left="135"/>
              <w:jc w:val="both"/>
            </w:pPr>
            <w:r>
              <w:rPr>
                <w:sz w:val="21"/>
              </w:rPr>
              <w:t xml:space="preserve">6.5 </w:t>
            </w:r>
            <w:r>
              <w:rPr>
                <w:sz w:val="21"/>
              </w:rPr>
              <w:t>支持立位一键到位</w:t>
            </w:r>
          </w:p>
          <w:p>
            <w:pPr>
              <w:pStyle w:val="null3"/>
              <w:ind w:left="135"/>
              <w:jc w:val="both"/>
            </w:pPr>
            <w:r>
              <w:rPr>
                <w:sz w:val="21"/>
                <w:b/>
              </w:rPr>
              <w:t>7.</w:t>
            </w:r>
            <w:r>
              <w:rPr>
                <w:sz w:val="21"/>
                <w:b/>
              </w:rPr>
              <w:t>立式胸片架</w:t>
            </w:r>
          </w:p>
          <w:p>
            <w:pPr>
              <w:pStyle w:val="null3"/>
              <w:ind w:left="135"/>
              <w:jc w:val="both"/>
            </w:pPr>
            <w:r>
              <w:rPr>
                <w:sz w:val="21"/>
              </w:rPr>
              <w:t xml:space="preserve">7.1 </w:t>
            </w:r>
            <w:r>
              <w:rPr>
                <w:sz w:val="21"/>
              </w:rPr>
              <w:t>立式胸片架升降运动≥</w:t>
            </w:r>
            <w:r>
              <w:rPr>
                <w:sz w:val="21"/>
              </w:rPr>
              <w:t>1500mm</w:t>
            </w:r>
          </w:p>
          <w:p>
            <w:pPr>
              <w:pStyle w:val="null3"/>
              <w:ind w:left="135"/>
              <w:jc w:val="both"/>
            </w:pPr>
            <w:r>
              <w:rPr>
                <w:sz w:val="21"/>
              </w:rPr>
              <w:t>▲</w:t>
            </w:r>
            <w:r>
              <w:rPr>
                <w:sz w:val="21"/>
              </w:rPr>
              <w:t xml:space="preserve">7.2 </w:t>
            </w:r>
            <w:r>
              <w:rPr>
                <w:sz w:val="21"/>
              </w:rPr>
              <w:t>立式胸片架中心距地最小高度≤</w:t>
            </w:r>
            <w:r>
              <w:rPr>
                <w:sz w:val="21"/>
              </w:rPr>
              <w:t>320mm</w:t>
            </w:r>
          </w:p>
          <w:p>
            <w:pPr>
              <w:pStyle w:val="null3"/>
              <w:ind w:left="135"/>
              <w:jc w:val="both"/>
            </w:pPr>
            <w:r>
              <w:rPr>
                <w:sz w:val="21"/>
              </w:rPr>
              <w:t xml:space="preserve">7.3 </w:t>
            </w:r>
            <w:r>
              <w:rPr>
                <w:sz w:val="21"/>
              </w:rPr>
              <w:t>立式胸片架内置三野电离室</w:t>
            </w:r>
          </w:p>
          <w:p>
            <w:pPr>
              <w:pStyle w:val="null3"/>
              <w:ind w:left="135"/>
              <w:jc w:val="both"/>
            </w:pPr>
            <w:r>
              <w:rPr>
                <w:sz w:val="21"/>
              </w:rPr>
              <w:t xml:space="preserve">7.4 </w:t>
            </w:r>
            <w:r>
              <w:rPr>
                <w:sz w:val="21"/>
              </w:rPr>
              <w:t>立式胸片架可在</w:t>
            </w:r>
            <w:r>
              <w:rPr>
                <w:sz w:val="21"/>
              </w:rPr>
              <w:t>-20</w:t>
            </w:r>
            <w:r>
              <w:rPr>
                <w:sz w:val="21"/>
              </w:rPr>
              <w:t>度</w:t>
            </w:r>
            <w:r>
              <w:rPr>
                <w:sz w:val="21"/>
              </w:rPr>
              <w:t>/+90</w:t>
            </w:r>
            <w:r>
              <w:rPr>
                <w:sz w:val="21"/>
              </w:rPr>
              <w:t>度变化</w:t>
            </w:r>
          </w:p>
          <w:p>
            <w:pPr>
              <w:pStyle w:val="null3"/>
              <w:ind w:left="135"/>
              <w:jc w:val="both"/>
            </w:pPr>
            <w:r>
              <w:rPr>
                <w:sz w:val="21"/>
              </w:rPr>
              <w:t xml:space="preserve">7.5 </w:t>
            </w:r>
            <w:r>
              <w:rPr>
                <w:sz w:val="21"/>
              </w:rPr>
              <w:t>立式胸片架内配置可拔插式滤线栅</w:t>
            </w:r>
          </w:p>
          <w:p>
            <w:pPr>
              <w:pStyle w:val="null3"/>
              <w:ind w:left="135"/>
              <w:jc w:val="both"/>
            </w:pPr>
            <w:r>
              <w:rPr>
                <w:sz w:val="21"/>
              </w:rPr>
              <w:t xml:space="preserve">7.6 </w:t>
            </w:r>
            <w:r>
              <w:rPr>
                <w:sz w:val="21"/>
              </w:rPr>
              <w:t>支持探测器在立式胸片架的片盒内在线充电</w:t>
            </w:r>
          </w:p>
          <w:p>
            <w:pPr>
              <w:pStyle w:val="null3"/>
              <w:ind w:left="135"/>
              <w:jc w:val="both"/>
            </w:pPr>
            <w:r>
              <w:rPr>
                <w:sz w:val="21"/>
                <w:b/>
              </w:rPr>
              <w:t>8.</w:t>
            </w:r>
            <w:r>
              <w:rPr>
                <w:sz w:val="21"/>
                <w:b/>
              </w:rPr>
              <w:t>检查床</w:t>
            </w:r>
          </w:p>
          <w:p>
            <w:pPr>
              <w:pStyle w:val="null3"/>
              <w:ind w:left="135"/>
              <w:jc w:val="both"/>
            </w:pPr>
            <w:r>
              <w:rPr>
                <w:sz w:val="21"/>
              </w:rPr>
              <w:t xml:space="preserve">8.1 </w:t>
            </w:r>
            <w:r>
              <w:rPr>
                <w:sz w:val="21"/>
              </w:rPr>
              <w:t>检查床支持床面电动升降</w:t>
            </w:r>
          </w:p>
          <w:p>
            <w:pPr>
              <w:pStyle w:val="null3"/>
              <w:ind w:left="135"/>
              <w:jc w:val="both"/>
            </w:pPr>
            <w:r>
              <w:rPr>
                <w:sz w:val="21"/>
              </w:rPr>
              <w:t>▲</w:t>
            </w:r>
            <w:r>
              <w:rPr>
                <w:sz w:val="21"/>
              </w:rPr>
              <w:t xml:space="preserve">8.2 </w:t>
            </w:r>
            <w:r>
              <w:rPr>
                <w:sz w:val="21"/>
              </w:rPr>
              <w:t>最低床面高度≤</w:t>
            </w:r>
            <w:r>
              <w:rPr>
                <w:sz w:val="21"/>
              </w:rPr>
              <w:t>50cm</w:t>
            </w:r>
          </w:p>
          <w:p>
            <w:pPr>
              <w:pStyle w:val="null3"/>
              <w:ind w:left="135"/>
              <w:jc w:val="both"/>
            </w:pPr>
            <w:r>
              <w:rPr>
                <w:sz w:val="21"/>
              </w:rPr>
              <w:t xml:space="preserve">8.3 </w:t>
            </w:r>
            <w:r>
              <w:rPr>
                <w:sz w:val="21"/>
              </w:rPr>
              <w:t>床面横向移动范围≥±</w:t>
            </w:r>
            <w:r>
              <w:rPr>
                <w:sz w:val="21"/>
              </w:rPr>
              <w:t>30cm</w:t>
            </w:r>
          </w:p>
          <w:p>
            <w:pPr>
              <w:pStyle w:val="null3"/>
              <w:ind w:left="135"/>
              <w:jc w:val="both"/>
            </w:pPr>
            <w:r>
              <w:rPr>
                <w:sz w:val="21"/>
              </w:rPr>
              <w:t xml:space="preserve">8.4 </w:t>
            </w:r>
            <w:r>
              <w:rPr>
                <w:sz w:val="21"/>
              </w:rPr>
              <w:t>床面纵向移动范围≥</w:t>
            </w:r>
            <w:r>
              <w:rPr>
                <w:sz w:val="21"/>
              </w:rPr>
              <w:t>12cm</w:t>
            </w:r>
          </w:p>
          <w:p>
            <w:pPr>
              <w:pStyle w:val="null3"/>
              <w:ind w:left="135"/>
              <w:jc w:val="both"/>
            </w:pPr>
            <w:r>
              <w:rPr>
                <w:sz w:val="21"/>
              </w:rPr>
              <w:t xml:space="preserve">8.5 </w:t>
            </w:r>
            <w:r>
              <w:rPr>
                <w:sz w:val="21"/>
              </w:rPr>
              <w:t>床面最大承重≥</w:t>
            </w:r>
            <w:r>
              <w:rPr>
                <w:sz w:val="21"/>
              </w:rPr>
              <w:t>250kg</w:t>
            </w:r>
          </w:p>
          <w:p>
            <w:pPr>
              <w:pStyle w:val="null3"/>
              <w:ind w:left="135"/>
              <w:jc w:val="both"/>
            </w:pPr>
            <w:r>
              <w:rPr>
                <w:sz w:val="21"/>
              </w:rPr>
              <w:t xml:space="preserve">8.6 </w:t>
            </w:r>
            <w:r>
              <w:rPr>
                <w:sz w:val="21"/>
              </w:rPr>
              <w:t>检查床下配置可拔插式滤线栅</w:t>
            </w:r>
          </w:p>
          <w:p>
            <w:pPr>
              <w:pStyle w:val="null3"/>
              <w:ind w:left="135"/>
              <w:jc w:val="both"/>
            </w:pPr>
            <w:r>
              <w:rPr>
                <w:sz w:val="21"/>
              </w:rPr>
              <w:t xml:space="preserve">8.7 </w:t>
            </w:r>
            <w:r>
              <w:rPr>
                <w:sz w:val="21"/>
              </w:rPr>
              <w:t>支持探测器在检查床下的片盒内在线充电</w:t>
            </w:r>
          </w:p>
          <w:p>
            <w:pPr>
              <w:pStyle w:val="null3"/>
              <w:ind w:left="135"/>
              <w:jc w:val="both"/>
            </w:pPr>
            <w:r>
              <w:rPr>
                <w:sz w:val="21"/>
                <w:b/>
              </w:rPr>
              <w:t>9.</w:t>
            </w:r>
            <w:r>
              <w:rPr>
                <w:sz w:val="21"/>
                <w:b/>
              </w:rPr>
              <w:t>可视化操作功能</w:t>
            </w:r>
          </w:p>
          <w:p>
            <w:pPr>
              <w:pStyle w:val="null3"/>
              <w:ind w:left="135"/>
              <w:jc w:val="both"/>
            </w:pPr>
            <w:r>
              <w:rPr>
                <w:sz w:val="21"/>
              </w:rPr>
              <w:t xml:space="preserve">9.1 </w:t>
            </w:r>
            <w:r>
              <w:rPr>
                <w:sz w:val="21"/>
              </w:rPr>
              <w:t>可视化摆位摄像头，检查过程实时可见患者影像。</w:t>
            </w:r>
          </w:p>
          <w:p>
            <w:pPr>
              <w:pStyle w:val="null3"/>
              <w:ind w:left="135"/>
              <w:jc w:val="both"/>
            </w:pPr>
            <w:r>
              <w:rPr>
                <w:sz w:val="21"/>
              </w:rPr>
              <w:t xml:space="preserve">9.2 </w:t>
            </w:r>
            <w:r>
              <w:rPr>
                <w:sz w:val="21"/>
              </w:rPr>
              <w:t>支持实时显示患者摆位的视频画面，支持虚拟光野显示和调节，支持虚拟</w:t>
            </w:r>
            <w:r>
              <w:rPr>
                <w:sz w:val="21"/>
              </w:rPr>
              <w:t>AEC</w:t>
            </w:r>
            <w:r>
              <w:rPr>
                <w:sz w:val="21"/>
              </w:rPr>
              <w:t>区域显示，支持虚拟探测器成像范围显示</w:t>
            </w:r>
          </w:p>
          <w:p>
            <w:pPr>
              <w:pStyle w:val="null3"/>
              <w:ind w:left="135"/>
              <w:jc w:val="both"/>
            </w:pPr>
            <w:r>
              <w:rPr>
                <w:sz w:val="21"/>
              </w:rPr>
              <w:t xml:space="preserve">9.3 </w:t>
            </w:r>
            <w:r>
              <w:rPr>
                <w:sz w:val="21"/>
              </w:rPr>
              <w:t>支持智能胸片光野识别，可通过摄像头自动识别患者胸片的拍摄光野大小并自动调节</w:t>
            </w:r>
          </w:p>
          <w:p>
            <w:pPr>
              <w:pStyle w:val="null3"/>
              <w:ind w:left="135"/>
              <w:jc w:val="both"/>
            </w:pPr>
            <w:r>
              <w:rPr>
                <w:sz w:val="21"/>
              </w:rPr>
              <w:t xml:space="preserve">9.4 </w:t>
            </w:r>
            <w:r>
              <w:rPr>
                <w:sz w:val="21"/>
              </w:rPr>
              <w:t>支持智能拼接范围设置，可通过摄像头自动识别长骨拼接协议对应的患者拍摄范围并自动设置</w:t>
            </w:r>
          </w:p>
          <w:p>
            <w:pPr>
              <w:pStyle w:val="null3"/>
              <w:ind w:left="135"/>
              <w:jc w:val="both"/>
            </w:pPr>
            <w:r>
              <w:rPr>
                <w:sz w:val="21"/>
                <w:b/>
              </w:rPr>
              <w:t>10.</w:t>
            </w:r>
            <w:r>
              <w:rPr>
                <w:sz w:val="21"/>
                <w:b/>
              </w:rPr>
              <w:t>影像采集及处理工作站</w:t>
            </w:r>
          </w:p>
          <w:p>
            <w:pPr>
              <w:pStyle w:val="null3"/>
              <w:ind w:left="135"/>
              <w:jc w:val="both"/>
            </w:pPr>
            <w:r>
              <w:rPr>
                <w:sz w:val="21"/>
              </w:rPr>
              <w:t xml:space="preserve">10.1 </w:t>
            </w:r>
            <w:r>
              <w:rPr>
                <w:sz w:val="21"/>
              </w:rPr>
              <w:t>屏幕尺寸≥</w:t>
            </w:r>
            <w:r>
              <w:rPr>
                <w:sz w:val="21"/>
              </w:rPr>
              <w:t>23</w:t>
            </w:r>
            <w:r>
              <w:rPr>
                <w:sz w:val="21"/>
              </w:rPr>
              <w:t>英寸</w:t>
            </w:r>
          </w:p>
          <w:p>
            <w:pPr>
              <w:pStyle w:val="null3"/>
              <w:ind w:left="135"/>
              <w:jc w:val="both"/>
            </w:pPr>
            <w:r>
              <w:rPr>
                <w:sz w:val="21"/>
              </w:rPr>
              <w:t xml:space="preserve">10.2 </w:t>
            </w:r>
            <w:r>
              <w:rPr>
                <w:sz w:val="21"/>
              </w:rPr>
              <w:t>内存≥</w:t>
            </w:r>
            <w:r>
              <w:rPr>
                <w:sz w:val="21"/>
              </w:rPr>
              <w:t>16GB</w:t>
            </w:r>
          </w:p>
          <w:p>
            <w:pPr>
              <w:pStyle w:val="null3"/>
              <w:ind w:left="135"/>
              <w:jc w:val="both"/>
            </w:pPr>
            <w:r>
              <w:rPr>
                <w:sz w:val="21"/>
              </w:rPr>
              <w:t xml:space="preserve">10.3 </w:t>
            </w:r>
            <w:r>
              <w:rPr>
                <w:sz w:val="21"/>
              </w:rPr>
              <w:t>硬盘≥</w:t>
            </w:r>
            <w:r>
              <w:rPr>
                <w:sz w:val="21"/>
              </w:rPr>
              <w:t>1TB</w:t>
            </w:r>
          </w:p>
          <w:p>
            <w:pPr>
              <w:pStyle w:val="null3"/>
              <w:ind w:left="135"/>
              <w:jc w:val="both"/>
            </w:pPr>
            <w:r>
              <w:rPr>
                <w:sz w:val="21"/>
              </w:rPr>
              <w:t xml:space="preserve">10.4 </w:t>
            </w:r>
            <w:r>
              <w:rPr>
                <w:sz w:val="21"/>
              </w:rPr>
              <w:t>图像基本后处理功能，如图像预览、缩放、窗宽</w:t>
            </w:r>
            <w:r>
              <w:rPr>
                <w:sz w:val="21"/>
              </w:rPr>
              <w:t>/</w:t>
            </w:r>
            <w:r>
              <w:rPr>
                <w:sz w:val="21"/>
              </w:rPr>
              <w:t>窗位调整、标注、反色、翻转、旋转、输入文本、长度测量及校正、裁剪功能、感兴趣区域及角度测量、辐射剂量（</w:t>
            </w:r>
            <w:r>
              <w:rPr>
                <w:sz w:val="21"/>
              </w:rPr>
              <w:t>DAP</w:t>
            </w:r>
            <w:r>
              <w:rPr>
                <w:sz w:val="21"/>
              </w:rPr>
              <w:t>）实时显示功能</w:t>
            </w:r>
          </w:p>
          <w:p>
            <w:pPr>
              <w:pStyle w:val="null3"/>
              <w:ind w:left="135"/>
              <w:jc w:val="both"/>
            </w:pPr>
            <w:r>
              <w:rPr>
                <w:sz w:val="21"/>
              </w:rPr>
              <w:t xml:space="preserve">10.5 DICOM </w:t>
            </w:r>
            <w:r>
              <w:rPr>
                <w:sz w:val="21"/>
              </w:rPr>
              <w:t>功能及数据库管理：系统支持标准的</w:t>
            </w:r>
            <w:r>
              <w:rPr>
                <w:sz w:val="21"/>
              </w:rPr>
              <w:t xml:space="preserve">DICOM3.0 </w:t>
            </w:r>
            <w:r>
              <w:rPr>
                <w:sz w:val="21"/>
              </w:rPr>
              <w:t>功能，可将数据传到其他的医学影像工作站</w:t>
            </w:r>
            <w:r>
              <w:rPr>
                <w:sz w:val="21"/>
              </w:rPr>
              <w:t>;</w:t>
            </w:r>
            <w:r>
              <w:rPr>
                <w:sz w:val="21"/>
              </w:rPr>
              <w:t>多种激光胶片打印功能</w:t>
            </w:r>
            <w:r>
              <w:rPr>
                <w:sz w:val="21"/>
              </w:rPr>
              <w:t>;</w:t>
            </w:r>
            <w:r>
              <w:rPr>
                <w:sz w:val="21"/>
              </w:rPr>
              <w:t>系统支持数据刻录功能</w:t>
            </w:r>
          </w:p>
          <w:p>
            <w:pPr>
              <w:pStyle w:val="null3"/>
              <w:ind w:left="135"/>
              <w:jc w:val="both"/>
            </w:pPr>
            <w:r>
              <w:rPr>
                <w:sz w:val="21"/>
              </w:rPr>
              <w:t xml:space="preserve">10.6 </w:t>
            </w:r>
            <w:r>
              <w:rPr>
                <w:sz w:val="21"/>
              </w:rPr>
              <w:t>可以存储、检索、查询病历，还可以对病例进行删除、清理、浏览等</w:t>
            </w:r>
          </w:p>
          <w:p>
            <w:pPr>
              <w:pStyle w:val="null3"/>
              <w:ind w:left="135"/>
              <w:jc w:val="both"/>
            </w:pPr>
            <w:r>
              <w:rPr>
                <w:sz w:val="21"/>
                <w:b/>
              </w:rPr>
              <w:t>11.</w:t>
            </w:r>
            <w:r>
              <w:rPr>
                <w:sz w:val="21"/>
                <w:b/>
              </w:rPr>
              <w:t>智能长骨拼接功能</w:t>
            </w:r>
          </w:p>
          <w:p>
            <w:pPr>
              <w:pStyle w:val="null3"/>
              <w:ind w:left="135"/>
              <w:jc w:val="both"/>
            </w:pPr>
            <w:r>
              <w:rPr>
                <w:sz w:val="21"/>
              </w:rPr>
              <w:t>▲</w:t>
            </w:r>
            <w:r>
              <w:rPr>
                <w:sz w:val="21"/>
              </w:rPr>
              <w:t xml:space="preserve">11.1 </w:t>
            </w:r>
            <w:r>
              <w:rPr>
                <w:sz w:val="21"/>
              </w:rPr>
              <w:t>具备设备整机原厂长骨拼接功能</w:t>
            </w:r>
          </w:p>
          <w:p>
            <w:pPr>
              <w:pStyle w:val="null3"/>
              <w:ind w:left="135"/>
              <w:jc w:val="both"/>
            </w:pPr>
            <w:r>
              <w:rPr>
                <w:sz w:val="21"/>
              </w:rPr>
              <w:t xml:space="preserve">11.2 </w:t>
            </w:r>
            <w:r>
              <w:rPr>
                <w:sz w:val="21"/>
              </w:rPr>
              <w:t>立位专用拼接支架</w:t>
            </w:r>
          </w:p>
          <w:p>
            <w:pPr>
              <w:pStyle w:val="null3"/>
              <w:ind w:left="135"/>
              <w:jc w:val="both"/>
            </w:pPr>
            <w:r>
              <w:rPr>
                <w:sz w:val="21"/>
              </w:rPr>
              <w:t>▲</w:t>
            </w:r>
            <w:r>
              <w:rPr>
                <w:sz w:val="21"/>
              </w:rPr>
              <w:t xml:space="preserve">11.3 </w:t>
            </w:r>
            <w:r>
              <w:rPr>
                <w:sz w:val="21"/>
              </w:rPr>
              <w:t>立位最大拼接范围≥</w:t>
            </w:r>
            <w:r>
              <w:rPr>
                <w:sz w:val="21"/>
              </w:rPr>
              <w:t>145cm</w:t>
            </w:r>
          </w:p>
          <w:p>
            <w:pPr>
              <w:pStyle w:val="null3"/>
              <w:ind w:left="135"/>
              <w:jc w:val="both"/>
            </w:pPr>
            <w:r>
              <w:rPr>
                <w:sz w:val="21"/>
              </w:rPr>
              <w:t>▲</w:t>
            </w:r>
            <w:r>
              <w:rPr>
                <w:sz w:val="21"/>
              </w:rPr>
              <w:t xml:space="preserve">11.4 </w:t>
            </w:r>
            <w:r>
              <w:rPr>
                <w:sz w:val="21"/>
              </w:rPr>
              <w:t>拼接最大曝光次数≥</w:t>
            </w:r>
            <w:r>
              <w:rPr>
                <w:sz w:val="21"/>
              </w:rPr>
              <w:t>4</w:t>
            </w:r>
            <w:r>
              <w:rPr>
                <w:sz w:val="21"/>
              </w:rPr>
              <w:t>次</w:t>
            </w:r>
          </w:p>
          <w:p>
            <w:pPr>
              <w:pStyle w:val="null3"/>
              <w:ind w:left="135"/>
              <w:jc w:val="both"/>
            </w:pPr>
            <w:r>
              <w:rPr>
                <w:sz w:val="21"/>
                <w:b/>
              </w:rPr>
              <w:t>12.</w:t>
            </w:r>
            <w:r>
              <w:rPr>
                <w:sz w:val="21"/>
                <w:b/>
              </w:rPr>
              <w:t>智能质控系统</w:t>
            </w:r>
          </w:p>
          <w:p>
            <w:pPr>
              <w:pStyle w:val="null3"/>
              <w:ind w:left="135"/>
              <w:jc w:val="both"/>
            </w:pPr>
            <w:r>
              <w:rPr>
                <w:sz w:val="21"/>
              </w:rPr>
              <w:t xml:space="preserve">12.1 </w:t>
            </w:r>
            <w:r>
              <w:rPr>
                <w:sz w:val="21"/>
              </w:rPr>
              <w:t>具备智能</w:t>
            </w:r>
            <w:r>
              <w:rPr>
                <w:sz w:val="21"/>
              </w:rPr>
              <w:t>AI</w:t>
            </w:r>
            <w:r>
              <w:rPr>
                <w:sz w:val="21"/>
              </w:rPr>
              <w:t>质控分析软件包，能对肺野不全、中线偏移、肩胛骨未打开、非医源性异物进行智能识别和提示（需提供软件界面截图等证明文件）</w:t>
            </w:r>
          </w:p>
          <w:p>
            <w:pPr>
              <w:pStyle w:val="null3"/>
              <w:ind w:left="135"/>
              <w:jc w:val="both"/>
            </w:pPr>
            <w:r>
              <w:rPr>
                <w:sz w:val="21"/>
              </w:rPr>
              <w:t>12.2 AI</w:t>
            </w:r>
            <w:r>
              <w:rPr>
                <w:sz w:val="21"/>
              </w:rPr>
              <w:t>智能质控模块能自动根据图像特征进行判读，对图像进行质控分析，并及时提示操作人员及时干预处理。</w:t>
            </w:r>
          </w:p>
          <w:p>
            <w:pPr>
              <w:pStyle w:val="null3"/>
              <w:ind w:left="135"/>
              <w:jc w:val="both"/>
            </w:pPr>
            <w:r>
              <w:rPr>
                <w:sz w:val="21"/>
              </w:rPr>
              <w:t xml:space="preserve">12.3 </w:t>
            </w:r>
            <w:r>
              <w:rPr>
                <w:sz w:val="21"/>
              </w:rPr>
              <w:t>可对整体拍片质量进行系统分析，提供回顾式质控管理工具，自动输出质控报告</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四、单台配置清单（如有所需的配套软件则采购时一并随设备附上）</w:t>
            </w:r>
          </w:p>
        </w:tc>
      </w:tr>
      <w:tr>
        <w:tc>
          <w:tcPr>
            <w:tcW w:type="dxa" w:w="8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sz w:val="21"/>
              </w:rPr>
              <w:t>1.</w:t>
            </w:r>
            <w:r>
              <w:rPr>
                <w:sz w:val="21"/>
              </w:rPr>
              <w:t>高压发生器</w:t>
            </w:r>
            <w:r>
              <w:rPr>
                <w:sz w:val="21"/>
              </w:rPr>
              <w:t xml:space="preserve"> 1</w:t>
            </w:r>
            <w:r>
              <w:rPr>
                <w:sz w:val="21"/>
              </w:rPr>
              <w:t>套</w:t>
            </w:r>
          </w:p>
          <w:p>
            <w:pPr>
              <w:pStyle w:val="null3"/>
              <w:ind w:left="420"/>
              <w:jc w:val="both"/>
            </w:pPr>
            <w:r>
              <w:rPr>
                <w:sz w:val="21"/>
              </w:rPr>
              <w:t>2.X</w:t>
            </w:r>
            <w:r>
              <w:rPr>
                <w:sz w:val="21"/>
              </w:rPr>
              <w:t>线球管</w:t>
            </w:r>
            <w:r>
              <w:rPr>
                <w:sz w:val="21"/>
              </w:rPr>
              <w:t xml:space="preserve"> 1</w:t>
            </w:r>
            <w:r>
              <w:rPr>
                <w:sz w:val="21"/>
              </w:rPr>
              <w:t>套</w:t>
            </w:r>
          </w:p>
          <w:p>
            <w:pPr>
              <w:pStyle w:val="null3"/>
              <w:ind w:left="420"/>
              <w:jc w:val="both"/>
            </w:pPr>
            <w:r>
              <w:rPr>
                <w:sz w:val="21"/>
              </w:rPr>
              <w:t>3.</w:t>
            </w:r>
            <w:r>
              <w:rPr>
                <w:sz w:val="21"/>
              </w:rPr>
              <w:t>无线平板探测器</w:t>
            </w:r>
            <w:r>
              <w:rPr>
                <w:sz w:val="21"/>
              </w:rPr>
              <w:t xml:space="preserve"> 2</w:t>
            </w:r>
            <w:r>
              <w:rPr>
                <w:sz w:val="21"/>
              </w:rPr>
              <w:t>块</w:t>
            </w:r>
          </w:p>
          <w:p>
            <w:pPr>
              <w:pStyle w:val="null3"/>
              <w:ind w:left="420"/>
              <w:jc w:val="both"/>
            </w:pPr>
            <w:r>
              <w:rPr>
                <w:sz w:val="21"/>
              </w:rPr>
              <w:t>4.</w:t>
            </w:r>
            <w:r>
              <w:rPr>
                <w:sz w:val="21"/>
              </w:rPr>
              <w:t>悬吊式球管支架</w:t>
            </w:r>
            <w:r>
              <w:rPr>
                <w:sz w:val="21"/>
              </w:rPr>
              <w:t xml:space="preserve"> 1</w:t>
            </w:r>
            <w:r>
              <w:rPr>
                <w:sz w:val="21"/>
              </w:rPr>
              <w:t>套</w:t>
            </w:r>
          </w:p>
          <w:p>
            <w:pPr>
              <w:pStyle w:val="null3"/>
              <w:ind w:left="420"/>
              <w:jc w:val="both"/>
            </w:pPr>
            <w:r>
              <w:rPr>
                <w:sz w:val="21"/>
              </w:rPr>
              <w:t>5.</w:t>
            </w:r>
            <w:r>
              <w:rPr>
                <w:sz w:val="21"/>
              </w:rPr>
              <w:t>近台触摸屏</w:t>
            </w:r>
            <w:r>
              <w:rPr>
                <w:sz w:val="21"/>
              </w:rPr>
              <w:t xml:space="preserve"> 1</w:t>
            </w:r>
            <w:r>
              <w:rPr>
                <w:sz w:val="21"/>
              </w:rPr>
              <w:t>套</w:t>
            </w:r>
          </w:p>
          <w:p>
            <w:pPr>
              <w:pStyle w:val="null3"/>
              <w:ind w:left="420"/>
              <w:jc w:val="both"/>
            </w:pPr>
            <w:r>
              <w:rPr>
                <w:sz w:val="21"/>
              </w:rPr>
              <w:t>6.</w:t>
            </w:r>
            <w:r>
              <w:rPr>
                <w:sz w:val="21"/>
              </w:rPr>
              <w:t>无线远程遥控器</w:t>
            </w:r>
            <w:r>
              <w:rPr>
                <w:sz w:val="21"/>
              </w:rPr>
              <w:t xml:space="preserve"> 1</w:t>
            </w:r>
            <w:r>
              <w:rPr>
                <w:sz w:val="21"/>
              </w:rPr>
              <w:t>套</w:t>
            </w:r>
          </w:p>
          <w:p>
            <w:pPr>
              <w:pStyle w:val="null3"/>
              <w:ind w:left="420"/>
              <w:jc w:val="both"/>
            </w:pPr>
            <w:r>
              <w:rPr>
                <w:sz w:val="21"/>
              </w:rPr>
              <w:t>7.</w:t>
            </w:r>
            <w:r>
              <w:rPr>
                <w:sz w:val="21"/>
              </w:rPr>
              <w:t>立式胸片架</w:t>
            </w:r>
            <w:r>
              <w:rPr>
                <w:sz w:val="21"/>
              </w:rPr>
              <w:t xml:space="preserve"> 1</w:t>
            </w:r>
            <w:r>
              <w:rPr>
                <w:sz w:val="21"/>
              </w:rPr>
              <w:t>套</w:t>
            </w:r>
          </w:p>
          <w:p>
            <w:pPr>
              <w:pStyle w:val="null3"/>
              <w:ind w:left="420"/>
              <w:jc w:val="both"/>
            </w:pPr>
            <w:r>
              <w:rPr>
                <w:sz w:val="21"/>
              </w:rPr>
              <w:t>8.</w:t>
            </w:r>
            <w:r>
              <w:rPr>
                <w:sz w:val="21"/>
              </w:rPr>
              <w:t>检查床</w:t>
            </w:r>
            <w:r>
              <w:rPr>
                <w:sz w:val="21"/>
              </w:rPr>
              <w:t xml:space="preserve"> 1</w:t>
            </w:r>
            <w:r>
              <w:rPr>
                <w:sz w:val="21"/>
              </w:rPr>
              <w:t>套</w:t>
            </w:r>
          </w:p>
          <w:p>
            <w:pPr>
              <w:pStyle w:val="null3"/>
              <w:ind w:left="420"/>
              <w:jc w:val="both"/>
            </w:pPr>
            <w:r>
              <w:rPr>
                <w:sz w:val="21"/>
              </w:rPr>
              <w:t>9.</w:t>
            </w:r>
            <w:r>
              <w:rPr>
                <w:sz w:val="21"/>
              </w:rPr>
              <w:t>可视化操作功能</w:t>
            </w:r>
            <w:r>
              <w:rPr>
                <w:sz w:val="21"/>
              </w:rPr>
              <w:t xml:space="preserve"> 1</w:t>
            </w:r>
            <w:r>
              <w:rPr>
                <w:sz w:val="21"/>
              </w:rPr>
              <w:t>套</w:t>
            </w:r>
          </w:p>
          <w:p>
            <w:pPr>
              <w:pStyle w:val="null3"/>
              <w:ind w:left="420"/>
              <w:jc w:val="both"/>
            </w:pPr>
            <w:r>
              <w:rPr>
                <w:sz w:val="21"/>
              </w:rPr>
              <w:t>10.</w:t>
            </w:r>
            <w:r>
              <w:rPr>
                <w:sz w:val="21"/>
              </w:rPr>
              <w:t>影像采集及处理工作站</w:t>
            </w:r>
            <w:r>
              <w:rPr>
                <w:sz w:val="21"/>
              </w:rPr>
              <w:t xml:space="preserve"> 1</w:t>
            </w:r>
            <w:r>
              <w:rPr>
                <w:sz w:val="21"/>
              </w:rPr>
              <w:t>套</w:t>
            </w:r>
          </w:p>
          <w:p>
            <w:pPr>
              <w:pStyle w:val="null3"/>
              <w:ind w:left="420"/>
              <w:jc w:val="both"/>
            </w:pPr>
            <w:r>
              <w:rPr>
                <w:sz w:val="21"/>
              </w:rPr>
              <w:t>11.</w:t>
            </w:r>
            <w:r>
              <w:rPr>
                <w:sz w:val="21"/>
              </w:rPr>
              <w:t>智能长骨拼接功能</w:t>
            </w:r>
            <w:r>
              <w:rPr>
                <w:sz w:val="21"/>
              </w:rPr>
              <w:t xml:space="preserve"> 1</w:t>
            </w:r>
            <w:r>
              <w:rPr>
                <w:sz w:val="21"/>
              </w:rPr>
              <w:t>套</w:t>
            </w:r>
          </w:p>
          <w:p>
            <w:pPr>
              <w:pStyle w:val="null3"/>
              <w:ind w:left="420"/>
              <w:jc w:val="both"/>
            </w:pPr>
            <w:r>
              <w:rPr>
                <w:sz w:val="21"/>
              </w:rPr>
              <w:t>12.</w:t>
            </w:r>
            <w:r>
              <w:rPr>
                <w:sz w:val="21"/>
              </w:rPr>
              <w:t>智能质控系统</w:t>
            </w:r>
            <w:r>
              <w:rPr>
                <w:sz w:val="21"/>
              </w:rPr>
              <w:t xml:space="preserve"> 1</w:t>
            </w:r>
            <w:r>
              <w:rPr>
                <w:sz w:val="21"/>
              </w:rPr>
              <w:t>套</w:t>
            </w:r>
          </w:p>
        </w:tc>
      </w:tr>
    </w:tbl>
    <w:p>
      <w:pPr>
        <w:pStyle w:val="null3"/>
        <w:jc w:val="both"/>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采购包1（数字化X射线摄影系统（双板DR））</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合同签订后待使用单位通知30天内交货。</w:t>
            </w:r>
          </w:p>
        </w:tc>
      </w:tr>
      <w:tr>
        <w:tc>
          <w:tcPr>
            <w:tcW w:type="dxa" w:w="4153"/>
          </w:tcPr>
          <w:p>
            <w:pPr>
              <w:pStyle w:val="null3"/>
            </w:pPr>
            <w:r>
              <w:rPr/>
              <w:t>标的提供的地点</w:t>
            </w:r>
          </w:p>
        </w:tc>
        <w:tc>
          <w:tcPr>
            <w:tcW w:type="dxa" w:w="4153"/>
          </w:tcPr>
          <w:p>
            <w:pPr>
              <w:pStyle w:val="null3"/>
            </w:pPr>
            <w:r>
              <w:rPr/>
              <w:t>1.广东医科大学附属医院 2.汕头大学医学院第二附属医院</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 收款方、出具发票方、合同乙方均必须一致。如有变更，必须以书面方式通知对方并加盖财务专用章。 支付方式采用银行转账支付。支付程序按法定流程处理。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按国家、地方及行业有关的规定、规范、采购文件约定要求。验收时如发现所交付的设备有短装、次品、损坏或其它不符合本合同规定之情形者，由最终使用方和中标人双方签署现场记录或备忘录。此现场记录或备忘录可用作补充、缺失和更换损坏部件的有效证据。由此产生的有关费用由中标人承担。 （2）设备验收时，中标人应有制造商技术人员现场协助最终使用方进行验收，验收报告作为项目验收必备文档之一。 （3）设备完成安装调试并稳定运行后，中标人向最终使用方提出验收申请，中标人及设备的厂家或厂家授权的售后服务商协助最终使用方完成验收工作。若项目实施情况不满足验收标准，中标人应在采购人通知后7日内完成整改，整改合格后再向最终使用方提出验收申请。中标人整改次数不得超过2次，否则视为中标人严重违约，采购人有权单方解除合同。从中标人提供的设备未通过最终使用方验收之日起，中标人应每日按合同总额的0.3‰向采购人支付违约金，直至设备验收合格。</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数字化X射线摄影系统（双板DR）</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2,700,000.00</w:t>
            </w:r>
          </w:p>
        </w:tc>
        <w:tc>
          <w:tcPr>
            <w:tcW w:type="dxa" w:w="831"/>
          </w:tcPr>
          <w:p>
            <w:pPr>
              <w:pStyle w:val="null3"/>
              <w:jc w:val="right"/>
            </w:pPr>
            <w:r>
              <w:rPr/>
              <w:t>5,400,000.00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数字化X射线摄影系统（双板DR）</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数字化X射线摄影系统（双板DR）)：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采购包1（数字化X射线摄影系统（双板DR））：</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采购包1（数字化X射线摄影系统（双板DR））：</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采购包1（数字化X射线摄影系统（双板DR））：</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采购包1(数字化X射线摄影系统（双板DR）):</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用户需求书中带▲号的重要条款的响应情况 (30.0分)</w:t>
            </w:r>
          </w:p>
        </w:tc>
        <w:tc>
          <w:tcPr>
            <w:tcW w:type="dxa" w:w="5076"/>
          </w:tcPr>
          <w:p>
            <w:pPr>
              <w:pStyle w:val="null3"/>
              <w:jc w:val="left"/>
            </w:pPr>
            <w:r>
              <w:rPr/>
              <w:t>投标人所投产品全部满足用户需求书中“功能及技术参数要求”带“▲”的重要条款（共10项），每有一项满足或优于要求得3分，共30.0分。 注：如果采购需求有具体要求的，按照要求提供。如无要求，须提供能证明满足相应技术参数要求的相关证明资料（如医疗器械注册证、或第三方出具的检验报告、或制造商盖章的技术资料、或投标人盖章的产品彩页或技术白皮书或产品说明书、或投标人盖章的能证明满足招标文件对应参数要求的其他证明材料作为佐证材料）。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用户需求书中不带“▲”、“★”号的一般条款的响应情况 (18.0分)</w:t>
            </w:r>
          </w:p>
        </w:tc>
        <w:tc>
          <w:tcPr>
            <w:tcW w:type="dxa" w:w="5076"/>
          </w:tcPr>
          <w:p>
            <w:pPr>
              <w:pStyle w:val="null3"/>
              <w:jc w:val="left"/>
            </w:pPr>
            <w:r>
              <w:rPr/>
              <w:t>投标人所投产品全部满足用户需求书“功能及技术参数要求”中不带“▲”、“★”的一般条款（共60项），每有一项满足或优于要求得0.3分，共18分。 注：1.技术参数按《技术和服务要求响应表》进行填写。 2.采购需求书对于技术参数有要求提供证明材料的，还须按要求提供证明材料，否则对应项不得分。</w:t>
            </w:r>
          </w:p>
        </w:tc>
      </w:tr>
      <w:tr>
        <w:tc>
          <w:tcPr>
            <w:tcW w:type="dxa" w:w="922"/>
            <w:gridSpan w:val="2"/>
            <w:vMerge/>
          </w:tcPr>
          <w:p/>
        </w:tc>
        <w:tc>
          <w:tcPr>
            <w:tcW w:type="dxa" w:w="2307"/>
          </w:tcPr>
          <w:p>
            <w:pPr>
              <w:pStyle w:val="null3"/>
              <w:jc w:val="left"/>
            </w:pPr>
            <w:r>
              <w:rPr/>
              <w:t>供货服务方案 (7.0分)</w:t>
            </w:r>
          </w:p>
        </w:tc>
        <w:tc>
          <w:tcPr>
            <w:tcW w:type="dxa" w:w="5076"/>
          </w:tcPr>
          <w:p>
            <w:pPr>
              <w:pStyle w:val="null3"/>
              <w:jc w:val="left"/>
            </w:pPr>
            <w:r>
              <w:rPr/>
              <w:t>对应采购需求书“供货服务要求”部分，针对本项目服务特点制定符合实际的服务响应方案（包括交货要求、进度计划）： （1）完全满足且优于项目需求的得7分； （2）完全满足项目要求的得4分； （3）不完全满足项目要求的得1分； （4）无方案的不得分。</w:t>
            </w:r>
          </w:p>
        </w:tc>
      </w:tr>
      <w:tr>
        <w:tc>
          <w:tcPr>
            <w:tcW w:type="dxa" w:w="922"/>
            <w:gridSpan w:val="2"/>
            <w:vMerge/>
          </w:tcPr>
          <w:p/>
        </w:tc>
        <w:tc>
          <w:tcPr>
            <w:tcW w:type="dxa" w:w="2307"/>
          </w:tcPr>
          <w:p>
            <w:pPr>
              <w:pStyle w:val="null3"/>
              <w:jc w:val="left"/>
            </w:pPr>
            <w:r>
              <w:rPr/>
              <w:t>安装、调试、培训方案 (5.0分)</w:t>
            </w:r>
          </w:p>
        </w:tc>
        <w:tc>
          <w:tcPr>
            <w:tcW w:type="dxa" w:w="5076"/>
          </w:tcPr>
          <w:p>
            <w:pPr>
              <w:pStyle w:val="null3"/>
              <w:jc w:val="left"/>
            </w:pPr>
            <w:r>
              <w:rPr/>
              <w:t>对应采购需求书“安装调试要求”“培训要求”部分，针对本项目服务特点制定符合实际的服务响应方案： （1）完全满足且优于项目要求的得5分； （2）完全满足项目要求的得3分； （3）不完全满足项目要求的得1分； （4）无方案的不得分。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投标人供货的能力 (3.0分)</w:t>
            </w:r>
          </w:p>
        </w:tc>
        <w:tc>
          <w:tcPr>
            <w:tcW w:type="dxa" w:w="5076"/>
          </w:tcPr>
          <w:p>
            <w:pPr>
              <w:pStyle w:val="null3"/>
              <w:jc w:val="left"/>
            </w:pPr>
            <w:r>
              <w:rPr/>
              <w:t>投标人2022年1月1日以来具有所投同类产品（（数字化X射线摄影系统（双板DR））供货的业绩，每个得1分，最高得3分。注：提供以投标人名义签订的合同复印件作为评价证明资料。时间以合同签订时间为准。</w:t>
            </w:r>
          </w:p>
        </w:tc>
      </w:tr>
      <w:tr>
        <w:tc>
          <w:tcPr>
            <w:tcW w:type="dxa" w:w="922"/>
            <w:gridSpan w:val="2"/>
            <w:vMerge/>
          </w:tcPr>
          <w:p/>
        </w:tc>
        <w:tc>
          <w:tcPr>
            <w:tcW w:type="dxa" w:w="2307"/>
          </w:tcPr>
          <w:p>
            <w:pPr>
              <w:pStyle w:val="null3"/>
              <w:jc w:val="left"/>
            </w:pPr>
            <w:r>
              <w:rPr/>
              <w:t>售后服务方案 (4.0分)</w:t>
            </w:r>
          </w:p>
        </w:tc>
        <w:tc>
          <w:tcPr>
            <w:tcW w:type="dxa" w:w="5076"/>
          </w:tcPr>
          <w:p>
            <w:pPr>
              <w:pStyle w:val="null3"/>
              <w:jc w:val="left"/>
            </w:pPr>
            <w:r>
              <w:rPr/>
              <w:t>对应采购需求书“售后服务要求”部分，针对本项目服务特点制定符合实际的服务响应方案： （1）完全满足且优于项目要求的得4分； （2）完全满足项目要求的得3分； （3）不完全满足项目要求的得1分； （4）无方案的不得分。</w:t>
            </w:r>
          </w:p>
        </w:tc>
      </w:tr>
      <w:tr>
        <w:tc>
          <w:tcPr>
            <w:tcW w:type="dxa" w:w="922"/>
            <w:gridSpan w:val="2"/>
            <w:vMerge/>
          </w:tcPr>
          <w:p/>
        </w:tc>
        <w:tc>
          <w:tcPr>
            <w:tcW w:type="dxa" w:w="2307"/>
          </w:tcPr>
          <w:p>
            <w:pPr>
              <w:pStyle w:val="null3"/>
              <w:jc w:val="left"/>
            </w:pPr>
            <w:r>
              <w:rPr/>
              <w:t>投标供应商的质量管理体系 (3.0分)</w:t>
            </w:r>
          </w:p>
        </w:tc>
        <w:tc>
          <w:tcPr>
            <w:tcW w:type="dxa" w:w="5076"/>
          </w:tcPr>
          <w:p>
            <w:pPr>
              <w:pStyle w:val="null3"/>
              <w:jc w:val="left"/>
            </w:pPr>
            <w:r>
              <w:rPr/>
              <w:t>投标人获得质量管理体系认证得3分。（认证范围与医疗设备或医疗器械相关） 注：提供证书复印件，并须同时提供在“全国认证认可信息公共服务平台”对体系证书的信息查询截图作为评审依据，已暂停、失效或撤消或不提供的不得分；新设立企业成立时间不足3个月导致无法获得上述证书的，对应项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合同文本</w:t>
      </w:r>
    </w:p>
    <w:p>
      <w:pPr>
        <w:pStyle w:val="null3"/>
        <w:spacing w:after="165"/>
        <w:jc w:val="both"/>
      </w:pPr>
      <w:r>
        <w:rPr>
          <w:sz w:val="28"/>
          <w:b/>
        </w:rPr>
        <w:t>项目名称：</w:t>
      </w:r>
    </w:p>
    <w:p>
      <w:pPr>
        <w:pStyle w:val="null3"/>
        <w:spacing w:after="165"/>
        <w:ind w:left="735"/>
        <w:jc w:val="both"/>
      </w:pPr>
      <w:r>
        <w:rPr>
          <w:sz w:val="28"/>
          <w:b/>
        </w:rPr>
        <w:t>项目编号：</w:t>
      </w:r>
    </w:p>
    <w:p>
      <w:pPr>
        <w:pStyle w:val="null3"/>
        <w:spacing w:after="165"/>
        <w:ind w:left="735"/>
        <w:jc w:val="both"/>
      </w:pPr>
      <w:r>
        <w:rPr>
          <w:sz w:val="28"/>
          <w:b/>
        </w:rPr>
        <w:t>签约地点：</w:t>
      </w:r>
    </w:p>
    <w:p>
      <w:pPr>
        <w:pStyle w:val="null3"/>
        <w:spacing w:after="165"/>
        <w:jc w:val="both"/>
      </w:pPr>
      <w:r>
        <w:rPr>
          <w:sz w:val="24"/>
        </w:rPr>
        <w:t>甲</w:t>
      </w:r>
      <w:r>
        <w:rPr>
          <w:sz w:val="20"/>
        </w:rPr>
        <w:t xml:space="preserve">     </w:t>
      </w:r>
      <w:r>
        <w:rPr>
          <w:sz w:val="24"/>
        </w:rPr>
        <w:t>方：</w:t>
      </w:r>
    </w:p>
    <w:p>
      <w:pPr>
        <w:pStyle w:val="null3"/>
        <w:spacing w:after="165"/>
        <w:ind w:firstLine="480"/>
        <w:jc w:val="both"/>
      </w:pPr>
      <w:r>
        <w:rPr>
          <w:sz w:val="24"/>
        </w:rPr>
        <w:t>法定代表人：</w:t>
      </w:r>
    </w:p>
    <w:p>
      <w:pPr>
        <w:pStyle w:val="null3"/>
        <w:spacing w:after="165"/>
        <w:ind w:firstLine="480"/>
        <w:jc w:val="both"/>
      </w:pPr>
      <w:r>
        <w:rPr>
          <w:sz w:val="24"/>
        </w:rPr>
        <w:t>地</w:t>
      </w:r>
      <w:r>
        <w:rPr>
          <w:sz w:val="20"/>
        </w:rPr>
        <w:t xml:space="preserve">     </w:t>
      </w:r>
      <w:r>
        <w:rPr>
          <w:sz w:val="24"/>
        </w:rPr>
        <w:t>址：</w:t>
      </w:r>
    </w:p>
    <w:p>
      <w:pPr>
        <w:pStyle w:val="null3"/>
        <w:spacing w:after="165"/>
        <w:ind w:firstLine="480"/>
        <w:jc w:val="both"/>
      </w:pPr>
      <w:r>
        <w:rPr>
          <w:sz w:val="24"/>
        </w:rPr>
        <w:t>电</w:t>
      </w:r>
      <w:r>
        <w:rPr>
          <w:sz w:val="20"/>
        </w:rPr>
        <w:t xml:space="preserve">     </w:t>
      </w:r>
      <w:r>
        <w:rPr>
          <w:sz w:val="24"/>
        </w:rPr>
        <w:t>话：</w:t>
      </w:r>
    </w:p>
    <w:p>
      <w:pPr>
        <w:pStyle w:val="null3"/>
        <w:spacing w:after="165"/>
        <w:ind w:firstLine="360"/>
        <w:jc w:val="both"/>
      </w:pPr>
      <w:r>
        <w:rPr>
          <w:sz w:val="24"/>
        </w:rPr>
        <w:t>乙</w:t>
      </w:r>
      <w:r>
        <w:rPr>
          <w:sz w:val="20"/>
        </w:rPr>
        <w:t xml:space="preserve">     </w:t>
      </w:r>
      <w:r>
        <w:rPr>
          <w:sz w:val="24"/>
        </w:rPr>
        <w:t>方：</w:t>
      </w:r>
    </w:p>
    <w:p>
      <w:pPr>
        <w:pStyle w:val="null3"/>
        <w:spacing w:after="165"/>
        <w:ind w:firstLine="480"/>
        <w:jc w:val="both"/>
      </w:pPr>
      <w:r>
        <w:rPr>
          <w:sz w:val="24"/>
        </w:rPr>
        <w:t>法定代表人：</w:t>
      </w:r>
    </w:p>
    <w:p>
      <w:pPr>
        <w:pStyle w:val="null3"/>
        <w:spacing w:after="165"/>
        <w:ind w:firstLine="480"/>
        <w:jc w:val="both"/>
      </w:pPr>
      <w:r>
        <w:rPr>
          <w:sz w:val="24"/>
        </w:rPr>
        <w:t>地</w:t>
      </w:r>
      <w:r>
        <w:rPr>
          <w:sz w:val="20"/>
        </w:rPr>
        <w:t xml:space="preserve">     </w:t>
      </w:r>
      <w:r>
        <w:rPr>
          <w:sz w:val="24"/>
        </w:rPr>
        <w:t>址：</w:t>
      </w:r>
    </w:p>
    <w:p>
      <w:pPr>
        <w:pStyle w:val="null3"/>
        <w:spacing w:after="165"/>
        <w:ind w:firstLine="480"/>
        <w:jc w:val="both"/>
      </w:pPr>
      <w:r>
        <w:rPr>
          <w:sz w:val="24"/>
        </w:rPr>
        <w:t>电</w:t>
      </w:r>
      <w:r>
        <w:rPr>
          <w:sz w:val="20"/>
        </w:rPr>
        <w:t xml:space="preserve">     </w:t>
      </w:r>
      <w:r>
        <w:rPr>
          <w:sz w:val="24"/>
        </w:rPr>
        <w:t>话：</w:t>
      </w:r>
    </w:p>
    <w:p>
      <w:pPr>
        <w:pStyle w:val="null3"/>
        <w:jc w:val="both"/>
      </w:pPr>
      <w:r>
        <w:rPr>
          <w:sz w:val="24"/>
        </w:rPr>
        <w:t>甲乙双方经友好协商，结合（以下简称货物、设备）采购项目的具体情况，就有关事项达成如下合同，双方共同遵照执行。</w:t>
      </w:r>
    </w:p>
    <w:p>
      <w:pPr>
        <w:pStyle w:val="null3"/>
        <w:jc w:val="both"/>
      </w:pPr>
      <w:r>
        <w:rPr>
          <w:sz w:val="24"/>
          <w:b/>
        </w:rPr>
        <w:t>一、合同标的</w:t>
      </w:r>
    </w:p>
    <w:p>
      <w:pPr>
        <w:pStyle w:val="null3"/>
        <w:spacing w:after="165"/>
        <w:ind w:firstLine="480"/>
        <w:jc w:val="both"/>
      </w:pPr>
      <w:r>
        <w:rPr>
          <w:sz w:val="24"/>
        </w:rPr>
        <w:t>货物名称、型号、规格、数量、注册证号（备案凭证号）等</w:t>
      </w:r>
    </w:p>
    <w:tbl>
      <w:tblPr>
        <w:tblW w:w="0" w:type="auto"/>
        <w:tblBorders>
          <w:top w:val="none" w:color="000000" w:sz="4"/>
          <w:left w:val="none" w:color="000000" w:sz="4"/>
          <w:bottom w:val="none" w:color="000000" w:sz="4"/>
          <w:right w:val="none" w:color="000000" w:sz="4"/>
          <w:insideH w:val="none"/>
          <w:insideV w:val="none"/>
        </w:tblBorders>
      </w:tblPr>
      <w:tblGrid>
        <w:gridCol w:w="454"/>
        <w:gridCol w:w="651"/>
        <w:gridCol w:w="1452"/>
        <w:gridCol w:w="1029"/>
        <w:gridCol w:w="878"/>
        <w:gridCol w:w="696"/>
        <w:gridCol w:w="1195"/>
        <w:gridCol w:w="893"/>
        <w:gridCol w:w="530"/>
        <w:gridCol w:w="530"/>
      </w:tblGrid>
      <w:tr>
        <w:tc>
          <w:tcPr>
            <w:tcW w:type="dxa" w:w="454"/>
            <w:tcBorders>
              <w:top w:val="double" w:color="000000" w:sz="8"/>
              <w:left w:val="double" w:color="000000" w:sz="8"/>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序号</w:t>
            </w:r>
          </w:p>
        </w:tc>
        <w:tc>
          <w:tcPr>
            <w:tcW w:type="dxa" w:w="651"/>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货物名称</w:t>
            </w:r>
          </w:p>
        </w:tc>
        <w:tc>
          <w:tcPr>
            <w:tcW w:type="dxa" w:w="1452"/>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品牌、</w:t>
            </w:r>
          </w:p>
          <w:p>
            <w:pPr>
              <w:pStyle w:val="null3"/>
              <w:spacing w:after="165"/>
              <w:jc w:val="center"/>
            </w:pPr>
            <w:r>
              <w:rPr>
                <w:sz w:val="24"/>
                <w:b/>
              </w:rPr>
              <w:t>型号规格</w:t>
            </w:r>
          </w:p>
        </w:tc>
        <w:tc>
          <w:tcPr>
            <w:tcW w:type="dxa" w:w="1029"/>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注册证号（备案凭证号）</w:t>
            </w:r>
          </w:p>
        </w:tc>
        <w:tc>
          <w:tcPr>
            <w:tcW w:type="dxa" w:w="878"/>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单价</w:t>
            </w:r>
          </w:p>
          <w:p>
            <w:pPr>
              <w:pStyle w:val="null3"/>
              <w:spacing w:after="165"/>
              <w:jc w:val="center"/>
            </w:pPr>
            <w:r>
              <w:rPr>
                <w:sz w:val="24"/>
                <w:b/>
              </w:rPr>
              <w:t>/</w:t>
            </w:r>
            <w:r>
              <w:rPr>
                <w:sz w:val="24"/>
                <w:b/>
              </w:rPr>
              <w:t>元</w:t>
            </w:r>
          </w:p>
        </w:tc>
        <w:tc>
          <w:tcPr>
            <w:tcW w:type="dxa" w:w="696"/>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数量、单位</w:t>
            </w:r>
          </w:p>
        </w:tc>
        <w:tc>
          <w:tcPr>
            <w:tcW w:type="dxa" w:w="1195"/>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总价</w:t>
            </w:r>
          </w:p>
          <w:p>
            <w:pPr>
              <w:pStyle w:val="null3"/>
              <w:spacing w:after="165"/>
              <w:jc w:val="center"/>
            </w:pPr>
            <w:r>
              <w:rPr>
                <w:sz w:val="24"/>
                <w:b/>
              </w:rPr>
              <w:t>/</w:t>
            </w:r>
            <w:r>
              <w:rPr>
                <w:sz w:val="24"/>
                <w:b/>
              </w:rPr>
              <w:t>元</w:t>
            </w:r>
          </w:p>
        </w:tc>
        <w:tc>
          <w:tcPr>
            <w:tcW w:type="dxa" w:w="893"/>
            <w:tcBorders>
              <w:top w:val="double" w:color="000000" w:sz="8"/>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b/>
              </w:rPr>
              <w:t>生产企业名称</w:t>
            </w:r>
          </w:p>
        </w:tc>
        <w:tc>
          <w:tcPr>
            <w:tcW w:type="dxa" w:w="530"/>
            <w:tcBorders>
              <w:top w:val="double" w:color="000000" w:sz="8"/>
              <w:left w:val="none" w:color="000000" w:sz="4"/>
              <w:bottom w:val="single" w:color="000000" w:sz="4"/>
              <w:right w:val="double" w:color="000000" w:sz="8"/>
            </w:tcBorders>
            <w:tcMar>
              <w:top w:type="dxa" w:w="0"/>
              <w:left w:type="dxa" w:w="105"/>
              <w:bottom w:type="dxa" w:w="0"/>
              <w:right w:type="dxa" w:w="105"/>
            </w:tcMar>
            <w:vAlign w:val="top"/>
          </w:tcPr>
          <w:p>
            <w:pPr>
              <w:pStyle w:val="null3"/>
              <w:spacing w:after="165"/>
              <w:jc w:val="center"/>
            </w:pPr>
            <w:r>
              <w:rPr>
                <w:sz w:val="24"/>
                <w:b/>
              </w:rPr>
              <w:t>产地</w:t>
            </w:r>
          </w:p>
        </w:tc>
        <w:tc>
          <w:tcPr>
            <w:tcW w:type="dxa" w:w="530"/>
            <w:tcBorders>
              <w:top w:val="double" w:color="000000" w:sz="8"/>
              <w:left w:val="none" w:color="000000" w:sz="4"/>
              <w:bottom w:val="single" w:color="000000" w:sz="4"/>
              <w:right w:val="double" w:color="000000" w:sz="8"/>
            </w:tcBorders>
            <w:tcMar>
              <w:top w:type="dxa" w:w="0"/>
              <w:left w:type="dxa" w:w="105"/>
              <w:bottom w:type="dxa" w:w="0"/>
              <w:right w:type="dxa" w:w="105"/>
            </w:tcMar>
            <w:vAlign w:val="top"/>
          </w:tcPr>
          <w:p>
            <w:pPr>
              <w:pStyle w:val="null3"/>
              <w:spacing w:after="165"/>
              <w:jc w:val="center"/>
            </w:pPr>
            <w:r>
              <w:rPr>
                <w:sz w:val="24"/>
                <w:b/>
              </w:rPr>
              <w:t>备注</w:t>
            </w:r>
          </w:p>
        </w:tc>
      </w:tr>
      <w:tr>
        <w:tc>
          <w:tcPr>
            <w:tcW w:type="dxa" w:w="454"/>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r>
      <w:tr>
        <w:tc>
          <w:tcPr>
            <w:tcW w:type="dxa" w:w="454"/>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r>
      <w:tr>
        <w:tc>
          <w:tcPr>
            <w:tcW w:type="dxa" w:w="454"/>
            <w:tcBorders>
              <w:top w:val="none" w:color="000000" w:sz="4"/>
              <w:left w:val="doub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c>
          <w:tcPr>
            <w:tcW w:type="dxa" w:w="530"/>
            <w:tcBorders>
              <w:top w:val="none" w:color="000000" w:sz="4"/>
              <w:left w:val="none" w:color="000000" w:sz="4"/>
              <w:bottom w:val="single" w:color="000000" w:sz="4"/>
              <w:right w:val="double" w:color="000000" w:sz="8"/>
            </w:tcBorders>
            <w:tcMar>
              <w:top w:type="dxa" w:w="0"/>
              <w:left w:type="dxa" w:w="105"/>
              <w:bottom w:type="dxa" w:w="0"/>
              <w:right w:type="dxa" w:w="105"/>
            </w:tcMar>
            <w:vAlign w:val="top"/>
          </w:tcPr>
          <w:p/>
        </w:tc>
      </w:tr>
      <w:tr>
        <w:tc>
          <w:tcPr>
            <w:tcW w:type="dxa" w:w="5160"/>
            <w:gridSpan w:val="6"/>
            <w:tcBorders>
              <w:top w:val="none" w:color="000000" w:sz="4"/>
              <w:left w:val="double" w:color="000000" w:sz="8"/>
              <w:bottom w:val="double" w:color="000000" w:sz="8"/>
              <w:right w:val="single" w:color="000000" w:sz="4"/>
            </w:tcBorders>
            <w:tcMar>
              <w:top w:type="dxa" w:w="0"/>
              <w:left w:type="dxa" w:w="105"/>
              <w:bottom w:type="dxa" w:w="0"/>
              <w:right w:type="dxa" w:w="105"/>
            </w:tcMar>
            <w:vAlign w:val="top"/>
          </w:tcPr>
          <w:p>
            <w:pPr>
              <w:pStyle w:val="null3"/>
              <w:jc w:val="both"/>
            </w:pPr>
            <w:r>
              <w:rPr>
                <w:sz w:val="24"/>
                <w:b/>
              </w:rPr>
              <w:t>金额合计（大写）：人民币整</w:t>
            </w:r>
          </w:p>
        </w:tc>
        <w:tc>
          <w:tcPr>
            <w:tcW w:type="dxa" w:w="3148"/>
            <w:gridSpan w:val="4"/>
            <w:tcBorders>
              <w:top w:val="none" w:color="000000" w:sz="4"/>
              <w:left w:val="none" w:color="000000" w:sz="4"/>
              <w:bottom w:val="double" w:color="000000" w:sz="8"/>
              <w:right w:val="double" w:color="000000" w:sz="8"/>
            </w:tcBorders>
            <w:tcMar>
              <w:top w:type="dxa" w:w="0"/>
              <w:left w:type="dxa" w:w="105"/>
              <w:bottom w:type="dxa" w:w="0"/>
              <w:right w:type="dxa" w:w="105"/>
            </w:tcMar>
            <w:vAlign w:val="top"/>
          </w:tcPr>
          <w:p>
            <w:pPr>
              <w:pStyle w:val="null3"/>
              <w:spacing w:after="165"/>
              <w:jc w:val="both"/>
            </w:pPr>
            <w:r>
              <w:rPr>
                <w:sz w:val="24"/>
                <w:b/>
              </w:rPr>
              <w:t>小写：￥</w:t>
            </w:r>
            <w:r>
              <w:rPr>
                <w:sz w:val="24"/>
                <w:b/>
                <w:u w:val="single"/>
              </w:rPr>
              <w:t xml:space="preserve">  .00</w:t>
            </w:r>
          </w:p>
        </w:tc>
      </w:tr>
    </w:tbl>
    <w:p>
      <w:pPr>
        <w:pStyle w:val="null3"/>
        <w:jc w:val="both"/>
      </w:pPr>
      <w:r>
        <w:rPr>
          <w:sz w:val="24"/>
        </w:rPr>
        <w:t>说明：</w:t>
      </w:r>
    </w:p>
    <w:p>
      <w:pPr>
        <w:pStyle w:val="null3"/>
        <w:spacing w:after="165"/>
        <w:ind w:firstLine="480"/>
        <w:jc w:val="both"/>
      </w:pPr>
      <w:r>
        <w:rPr>
          <w:sz w:val="24"/>
        </w:rPr>
        <w:t>（</w:t>
      </w:r>
      <w:r>
        <w:rPr>
          <w:sz w:val="24"/>
        </w:rPr>
        <w:t>1</w:t>
      </w:r>
      <w:r>
        <w:rPr>
          <w:sz w:val="24"/>
        </w:rPr>
        <w:t>）供货设备详细配置清单：详见合同附件一。</w:t>
      </w:r>
    </w:p>
    <w:p>
      <w:pPr>
        <w:pStyle w:val="null3"/>
        <w:spacing w:after="165"/>
        <w:ind w:firstLine="480"/>
        <w:jc w:val="both"/>
      </w:pPr>
      <w:r>
        <w:rPr>
          <w:sz w:val="24"/>
        </w:rPr>
        <w:t>（</w:t>
      </w:r>
      <w:r>
        <w:rPr>
          <w:sz w:val="24"/>
        </w:rPr>
        <w:t>2</w:t>
      </w:r>
      <w:r>
        <w:rPr>
          <w:sz w:val="24"/>
        </w:rPr>
        <w:t>）乙方保证所提供的设备序列号、包装箱号应与出厂批号一致。进口产品需提供中文标识的产品合格证明文件，国产设备需提供出厂合格证。</w:t>
      </w:r>
    </w:p>
    <w:p>
      <w:pPr>
        <w:pStyle w:val="null3"/>
        <w:spacing w:after="165"/>
        <w:ind w:firstLine="480"/>
        <w:jc w:val="both"/>
      </w:pPr>
      <w:r>
        <w:rPr>
          <w:sz w:val="24"/>
        </w:rPr>
        <w:t>（</w:t>
      </w:r>
      <w:r>
        <w:rPr>
          <w:sz w:val="24"/>
        </w:rPr>
        <w:t>3</w:t>
      </w:r>
      <w:r>
        <w:rPr>
          <w:sz w:val="24"/>
        </w:rPr>
        <w:t>）乙方所提供设备的包装必须是制造商原厂包装，其包装均应有良好的防湿、防锈、防潮、防雨、防腐及防碰撞的措施，确保设备能够经受多次搬运、装卸及运输。凡由于包装不良造成的损失和由此产生的费用均由乙方承担。</w:t>
      </w:r>
    </w:p>
    <w:p>
      <w:pPr>
        <w:pStyle w:val="null3"/>
        <w:spacing w:after="165"/>
        <w:ind w:firstLine="480"/>
        <w:jc w:val="both"/>
      </w:pPr>
      <w:r>
        <w:rPr>
          <w:sz w:val="24"/>
        </w:rPr>
        <w:t>（</w:t>
      </w:r>
      <w:r>
        <w:rPr>
          <w:sz w:val="24"/>
        </w:rPr>
        <w:t>4</w:t>
      </w:r>
      <w:r>
        <w:rPr>
          <w:sz w:val="24"/>
        </w:rPr>
        <w:t>）合同标的的收货人和最终使用方为：</w:t>
      </w:r>
      <w:r>
        <w:rPr>
          <w:sz w:val="24"/>
        </w:rPr>
        <w:t>1</w:t>
      </w:r>
      <w:r>
        <w:rPr>
          <w:sz w:val="24"/>
        </w:rPr>
        <w:t>、广东医科大学附属医院；</w:t>
      </w:r>
      <w:r>
        <w:rPr>
          <w:sz w:val="24"/>
        </w:rPr>
        <w:t>2</w:t>
      </w:r>
      <w:r>
        <w:rPr>
          <w:sz w:val="24"/>
        </w:rPr>
        <w:t>、汕头大学医学院第二附属医院。合同标的物由最终使用方协助甲方进行验收。</w:t>
      </w:r>
    </w:p>
    <w:p>
      <w:pPr>
        <w:pStyle w:val="null3"/>
        <w:jc w:val="both"/>
      </w:pPr>
      <w:r>
        <w:rPr>
          <w:sz w:val="24"/>
          <w:b/>
        </w:rPr>
        <w:t>二</w:t>
      </w:r>
      <w:r>
        <w:rPr>
          <w:sz w:val="24"/>
          <w:b/>
        </w:rPr>
        <w:t>、</w:t>
      </w:r>
      <w:r>
        <w:rPr>
          <w:sz w:val="24"/>
          <w:b/>
        </w:rPr>
        <w:t>价款及支付方式</w:t>
      </w:r>
    </w:p>
    <w:p>
      <w:pPr>
        <w:pStyle w:val="null3"/>
        <w:spacing w:after="165"/>
        <w:ind w:firstLine="480"/>
        <w:jc w:val="both"/>
      </w:pPr>
      <w:r>
        <w:rPr>
          <w:sz w:val="24"/>
        </w:rPr>
        <w:t>2.1</w:t>
      </w:r>
      <w:r>
        <w:rPr>
          <w:sz w:val="24"/>
        </w:rPr>
        <w:t>本合同总价款（含税）人民币：（大写）元整（小写：￥</w:t>
      </w:r>
      <w:r>
        <w:rPr>
          <w:sz w:val="24"/>
        </w:rPr>
        <w:t xml:space="preserve"> .00</w:t>
      </w:r>
      <w:r>
        <w:rPr>
          <w:sz w:val="24"/>
        </w:rPr>
        <w:t>），本合同总价为固定不变价，不因物价、工资、其他税费、汇率等之涨跌变动而调整，乙方亦不得以任何理由要求加价。本合同总价包括设备费、包装费、运输装卸费、人工、差旅、验收、技术服务、培训、保险、备件、相关税费及质保期内的维护保养等一切费用。除双方另有明确的书面约定外，甲方无需为实现本合同项下之权益再向乙方或任何第三方支付其他任何款项。</w:t>
      </w:r>
    </w:p>
    <w:p>
      <w:pPr>
        <w:pStyle w:val="null3"/>
        <w:spacing w:after="165"/>
        <w:ind w:firstLine="480"/>
        <w:jc w:val="both"/>
      </w:pPr>
      <w:r>
        <w:rPr>
          <w:sz w:val="24"/>
        </w:rPr>
        <w:t>2.2</w:t>
      </w:r>
      <w:r>
        <w:rPr>
          <w:sz w:val="24"/>
        </w:rPr>
        <w:t>本项目中标价款总额分</w:t>
      </w:r>
      <w:r>
        <w:rPr>
          <w:sz w:val="24"/>
        </w:rPr>
        <w:t>2</w:t>
      </w:r>
      <w:r>
        <w:rPr>
          <w:sz w:val="24"/>
        </w:rPr>
        <w:t>期付款。付款时间如下：</w:t>
      </w:r>
    </w:p>
    <w:p>
      <w:pPr>
        <w:pStyle w:val="null3"/>
        <w:spacing w:after="165"/>
        <w:ind w:firstLine="480"/>
        <w:jc w:val="both"/>
      </w:pPr>
      <w:r>
        <w:rPr>
          <w:sz w:val="24"/>
        </w:rPr>
        <w:t>第</w:t>
      </w:r>
      <w:r>
        <w:rPr>
          <w:sz w:val="24"/>
        </w:rPr>
        <w:t>1</w:t>
      </w:r>
      <w:r>
        <w:rPr>
          <w:sz w:val="24"/>
        </w:rPr>
        <w:t>期：本项目签订合同生效后，甲方在收到乙方提供的税务部门认可的有效发票之日起</w:t>
      </w:r>
      <w:r>
        <w:rPr>
          <w:sz w:val="20"/>
        </w:rPr>
        <w:t xml:space="preserve">  </w:t>
      </w:r>
      <w:r>
        <w:rPr>
          <w:sz w:val="24"/>
        </w:rPr>
        <w:t>个工作日内，向乙方支付中标价款总额的</w:t>
      </w:r>
      <w:r>
        <w:rPr>
          <w:sz w:val="20"/>
        </w:rPr>
        <w:t xml:space="preserve">  </w:t>
      </w:r>
      <w:r>
        <w:rPr>
          <w:sz w:val="24"/>
        </w:rPr>
        <w:t>；</w:t>
      </w:r>
    </w:p>
    <w:p>
      <w:pPr>
        <w:pStyle w:val="null3"/>
        <w:spacing w:after="165"/>
        <w:ind w:firstLine="480"/>
        <w:jc w:val="both"/>
      </w:pPr>
      <w:r>
        <w:rPr>
          <w:sz w:val="24"/>
        </w:rPr>
        <w:t>第</w:t>
      </w:r>
      <w:r>
        <w:rPr>
          <w:sz w:val="24"/>
        </w:rPr>
        <w:t>2</w:t>
      </w:r>
      <w:r>
        <w:rPr>
          <w:sz w:val="24"/>
        </w:rPr>
        <w:t>期：本项目通过验收和提交所有约定成果后，甲方在收到乙方提供的税务部门认可的有效发票之日起</w:t>
      </w:r>
      <w:r>
        <w:rPr>
          <w:sz w:val="20"/>
        </w:rPr>
        <w:t xml:space="preserve">  </w:t>
      </w:r>
      <w:r>
        <w:rPr>
          <w:sz w:val="24"/>
        </w:rPr>
        <w:t>个工作日内向乙方支付中标价款总额的</w:t>
      </w:r>
      <w:r>
        <w:rPr>
          <w:sz w:val="24"/>
        </w:rPr>
        <w:t>。</w:t>
      </w:r>
    </w:p>
    <w:p>
      <w:pPr>
        <w:pStyle w:val="null3"/>
        <w:spacing w:after="165"/>
        <w:ind w:firstLine="480"/>
        <w:jc w:val="both"/>
      </w:pPr>
      <w:r>
        <w:rPr>
          <w:sz w:val="24"/>
        </w:rPr>
        <w:t>2.3</w:t>
      </w:r>
      <w:r>
        <w:rPr>
          <w:sz w:val="24"/>
        </w:rPr>
        <w:t>其他约定：</w:t>
      </w:r>
    </w:p>
    <w:p>
      <w:pPr>
        <w:pStyle w:val="null3"/>
        <w:spacing w:after="165"/>
        <w:ind w:firstLine="480"/>
        <w:jc w:val="both"/>
      </w:pPr>
      <w:r>
        <w:rPr>
          <w:sz w:val="24"/>
        </w:rPr>
        <w:t>1.</w:t>
      </w:r>
      <w:r>
        <w:rPr>
          <w:sz w:val="24"/>
        </w:rPr>
        <w:t>因本项目资金来源为财政资金，乙方出具的发票须满足甲方资金来源管理要求。</w:t>
      </w:r>
    </w:p>
    <w:p>
      <w:pPr>
        <w:pStyle w:val="null3"/>
        <w:spacing w:after="165"/>
        <w:ind w:firstLine="480"/>
        <w:jc w:val="both"/>
      </w:pPr>
      <w:r>
        <w:rPr>
          <w:sz w:val="24"/>
        </w:rPr>
        <w:t>2.</w:t>
      </w:r>
      <w:r>
        <w:rPr>
          <w:sz w:val="24"/>
        </w:rPr>
        <w:t>供应商交付的技术服务、成果未能按期完成或验收不合格，致使本项目财政年度资金回收而无法支付本项目款项时，所造成的直接经济损失和预期损失由乙方承担。</w:t>
      </w:r>
    </w:p>
    <w:p>
      <w:pPr>
        <w:pStyle w:val="null3"/>
        <w:spacing w:after="165"/>
        <w:ind w:firstLine="480"/>
        <w:jc w:val="both"/>
      </w:pPr>
      <w:r>
        <w:rPr>
          <w:sz w:val="24"/>
        </w:rPr>
        <w:t>甲方银行账户信息：</w:t>
      </w:r>
    </w:p>
    <w:p>
      <w:pPr>
        <w:pStyle w:val="null3"/>
        <w:spacing w:after="165"/>
        <w:ind w:firstLine="480"/>
        <w:jc w:val="both"/>
      </w:pPr>
      <w:r>
        <w:rPr>
          <w:sz w:val="24"/>
        </w:rPr>
        <w:t>单位名称：</w:t>
      </w:r>
    </w:p>
    <w:p>
      <w:pPr>
        <w:pStyle w:val="null3"/>
        <w:spacing w:after="165"/>
        <w:ind w:firstLine="480"/>
        <w:jc w:val="both"/>
      </w:pPr>
      <w:r>
        <w:rPr>
          <w:sz w:val="24"/>
        </w:rPr>
        <w:t>开户银行：</w:t>
      </w:r>
    </w:p>
    <w:p>
      <w:pPr>
        <w:pStyle w:val="null3"/>
        <w:spacing w:after="165"/>
        <w:ind w:firstLine="480"/>
        <w:jc w:val="both"/>
      </w:pPr>
      <w:r>
        <w:rPr>
          <w:sz w:val="24"/>
        </w:rPr>
        <w:t>银行账号：</w:t>
      </w:r>
    </w:p>
    <w:p>
      <w:pPr>
        <w:pStyle w:val="null3"/>
        <w:spacing w:after="165"/>
        <w:ind w:firstLine="480"/>
        <w:jc w:val="both"/>
      </w:pPr>
      <w:r>
        <w:rPr>
          <w:sz w:val="24"/>
        </w:rPr>
        <w:t>2.4</w:t>
      </w:r>
      <w:r>
        <w:rPr>
          <w:sz w:val="24"/>
        </w:rPr>
        <w:t>甲方凭乙方开具的合法有效的合格发票履行上述付款义务，乙方无法开具合格全额发票或发票金额低于支付金额，甲方有权延迟付款，由乙方承担相应的法律责任，并不视为甲方违约。</w:t>
      </w:r>
    </w:p>
    <w:p>
      <w:pPr>
        <w:pStyle w:val="null3"/>
        <w:spacing w:after="165"/>
        <w:ind w:firstLine="480"/>
        <w:jc w:val="both"/>
      </w:pPr>
      <w:r>
        <w:rPr>
          <w:sz w:val="24"/>
        </w:rPr>
        <w:t>2.5</w:t>
      </w:r>
      <w:r>
        <w:rPr>
          <w:sz w:val="24"/>
        </w:rPr>
        <w:t>乙方同意：甲方根据本合同规定支付合同价款前，有权先行抵扣乙方应于相应各期内承担的违约金、赔偿金、维修费及其他费用（以甲方确认为准），再支付抵扣后的剩余款项（如有）。</w:t>
      </w:r>
    </w:p>
    <w:p>
      <w:pPr>
        <w:pStyle w:val="null3"/>
        <w:spacing w:after="165"/>
        <w:ind w:firstLine="480"/>
        <w:jc w:val="both"/>
      </w:pPr>
      <w:r>
        <w:rPr>
          <w:sz w:val="24"/>
        </w:rPr>
        <w:t>2.6</w:t>
      </w:r>
      <w:r>
        <w:rPr>
          <w:sz w:val="24"/>
        </w:rPr>
        <w:t>甲方可将本合同项下的货款、乙方的履约保证金支付至乙方以下银行账户，乙方应对该收款账户的真实性、合法性和一致性负责：</w:t>
      </w:r>
    </w:p>
    <w:p>
      <w:pPr>
        <w:pStyle w:val="null3"/>
        <w:spacing w:after="165"/>
        <w:ind w:firstLine="480"/>
        <w:jc w:val="both"/>
      </w:pPr>
      <w:r>
        <w:rPr>
          <w:sz w:val="24"/>
        </w:rPr>
        <w:t>开户银行：</w:t>
      </w:r>
    </w:p>
    <w:p>
      <w:pPr>
        <w:pStyle w:val="null3"/>
        <w:spacing w:after="165"/>
        <w:ind w:firstLine="480"/>
        <w:jc w:val="both"/>
      </w:pPr>
      <w:r>
        <w:rPr>
          <w:sz w:val="24"/>
        </w:rPr>
        <w:t>账户名称：</w:t>
      </w:r>
    </w:p>
    <w:p>
      <w:pPr>
        <w:pStyle w:val="null3"/>
        <w:spacing w:after="165"/>
        <w:ind w:firstLine="480"/>
        <w:jc w:val="both"/>
      </w:pPr>
      <w:r>
        <w:rPr>
          <w:sz w:val="24"/>
        </w:rPr>
        <w:t>银行账号：</w:t>
      </w:r>
    </w:p>
    <w:p>
      <w:pPr>
        <w:pStyle w:val="null3"/>
        <w:spacing w:after="165"/>
        <w:ind w:firstLine="480"/>
        <w:jc w:val="both"/>
      </w:pPr>
      <w:r>
        <w:rPr>
          <w:sz w:val="24"/>
        </w:rPr>
        <w:t>乙方如需变更该收款账户的，必须提前</w:t>
      </w:r>
      <w:r>
        <w:rPr>
          <w:sz w:val="24"/>
        </w:rPr>
        <w:t>5</w:t>
      </w:r>
      <w:r>
        <w:rPr>
          <w:sz w:val="24"/>
        </w:rPr>
        <w:t>个工作日书面通知甲方，否则由此引发的一切责任均由乙方承担。</w:t>
      </w:r>
    </w:p>
    <w:p>
      <w:pPr>
        <w:pStyle w:val="null3"/>
        <w:ind w:firstLine="420"/>
        <w:jc w:val="both"/>
      </w:pPr>
      <w:r>
        <w:rPr>
          <w:sz w:val="24"/>
          <w:b/>
        </w:rPr>
        <w:t>三、质量要求及保修</w:t>
      </w:r>
    </w:p>
    <w:p>
      <w:pPr>
        <w:pStyle w:val="null3"/>
        <w:jc w:val="both"/>
      </w:pPr>
      <w:r>
        <w:rPr>
          <w:sz w:val="24"/>
        </w:rPr>
        <w:t>3.1</w:t>
      </w:r>
      <w:r>
        <w:rPr>
          <w:sz w:val="24"/>
        </w:rPr>
        <w:t>乙方保证合同货物是全新的</w:t>
      </w:r>
      <w:r>
        <w:rPr>
          <w:sz w:val="24"/>
        </w:rPr>
        <w:t>(</w:t>
      </w:r>
      <w:r>
        <w:rPr>
          <w:sz w:val="24"/>
        </w:rPr>
        <w:t>出厂日期距离合同签订之日或本项目开标之日不得超过</w:t>
      </w:r>
      <w:r>
        <w:rPr>
          <w:sz w:val="24"/>
          <w:u w:val="single"/>
        </w:rPr>
        <w:t>壹</w:t>
      </w:r>
      <w:r>
        <w:rPr>
          <w:sz w:val="24"/>
        </w:rPr>
        <w:t>年</w:t>
      </w:r>
      <w:r>
        <w:rPr>
          <w:sz w:val="24"/>
        </w:rPr>
        <w:t>)</w:t>
      </w:r>
      <w:r>
        <w:rPr>
          <w:sz w:val="24"/>
        </w:rPr>
        <w:t>、未曾使用过的，且进货渠道合法。合同货物必须具备出厂合格证或出厂检测报告（进口货物还需要提供进口货物报关单、入境货物检验检疫证明），其质量、规格及技术特征符合合同附件的要求（在本条款下，如甲方对乙方交付的货物存在异议，乙方须提供相关的证明文件，如货物生产商出具书面出厂证明等，用以有效解释、证明甲方所质疑的事项）。</w:t>
      </w:r>
    </w:p>
    <w:p>
      <w:pPr>
        <w:pStyle w:val="null3"/>
        <w:jc w:val="both"/>
      </w:pPr>
      <w:r>
        <w:rPr>
          <w:sz w:val="24"/>
        </w:rPr>
        <w:t>3.2</w:t>
      </w:r>
      <w:r>
        <w:rPr>
          <w:sz w:val="24"/>
        </w:rPr>
        <w:t>合同标的的质保期为个月（详见投标文件），自验收合格并交付最终使用方使用之日起算（若国家</w:t>
      </w:r>
      <w:r>
        <w:rPr>
          <w:sz w:val="24"/>
        </w:rPr>
        <w:t>/</w:t>
      </w:r>
      <w:r>
        <w:rPr>
          <w:sz w:val="24"/>
        </w:rPr>
        <w:t>生产厂家对本项目所涉及货物的质量保证期的规定高于本项目的要求，应按国家</w:t>
      </w:r>
      <w:r>
        <w:rPr>
          <w:sz w:val="24"/>
        </w:rPr>
        <w:t>/</w:t>
      </w:r>
      <w:r>
        <w:rPr>
          <w:sz w:val="24"/>
        </w:rPr>
        <w:t>生产厂家的规定之高者执行）</w:t>
      </w:r>
      <w:r>
        <w:rPr>
          <w:sz w:val="24"/>
        </w:rPr>
        <w:t>。质保期期内非因最终使用方的人为原因而出现产品质量及安装问题，由乙方负责免费包修、包换或包退，并承担因此而产生的一切费用。下列情况乙方不负责免费维护服务：</w:t>
      </w:r>
    </w:p>
    <w:p>
      <w:pPr>
        <w:pStyle w:val="null3"/>
        <w:ind w:firstLine="240"/>
        <w:jc w:val="both"/>
      </w:pPr>
      <w:r>
        <w:rPr>
          <w:sz w:val="24"/>
        </w:rPr>
        <w:t xml:space="preserve">3.2.1 </w:t>
      </w:r>
      <w:r>
        <w:rPr>
          <w:sz w:val="24"/>
        </w:rPr>
        <w:t>最终使用方不按照乙方提供的正确使用方法而引致合同标的故障损坏；</w:t>
      </w:r>
    </w:p>
    <w:p>
      <w:pPr>
        <w:pStyle w:val="null3"/>
        <w:ind w:firstLine="240"/>
        <w:jc w:val="both"/>
      </w:pPr>
      <w:r>
        <w:rPr>
          <w:sz w:val="24"/>
        </w:rPr>
        <w:t xml:space="preserve">3.2.2 </w:t>
      </w:r>
      <w:r>
        <w:rPr>
          <w:sz w:val="24"/>
        </w:rPr>
        <w:t>最终使用方擅自修改系统或改装合同标的；</w:t>
      </w:r>
    </w:p>
    <w:p>
      <w:pPr>
        <w:pStyle w:val="null3"/>
        <w:ind w:firstLine="240"/>
        <w:jc w:val="both"/>
      </w:pPr>
      <w:r>
        <w:rPr>
          <w:sz w:val="24"/>
        </w:rPr>
        <w:t>3.2.3</w:t>
      </w:r>
      <w:r>
        <w:rPr>
          <w:sz w:val="24"/>
        </w:rPr>
        <w:t>非乙方过错的人为因素或天灾等外来因素造成的损坏。</w:t>
      </w:r>
    </w:p>
    <w:p>
      <w:pPr>
        <w:pStyle w:val="null3"/>
        <w:jc w:val="both"/>
      </w:pPr>
      <w:r>
        <w:rPr>
          <w:sz w:val="24"/>
        </w:rPr>
        <w:t>3.3</w:t>
      </w:r>
      <w:r>
        <w:rPr>
          <w:sz w:val="24"/>
        </w:rPr>
        <w:t>因产品的质量问题而发生争议，乙方同意由甲方提交广东省有资质的质检部门进行质量鉴定。产品符合质量标准的，鉴定费用由甲方承担；产品不符合质量标准的，鉴定费用由乙方承担。</w:t>
      </w:r>
    </w:p>
    <w:p>
      <w:pPr>
        <w:pStyle w:val="null3"/>
        <w:jc w:val="both"/>
      </w:pPr>
      <w:r>
        <w:rPr>
          <w:sz w:val="24"/>
        </w:rPr>
        <w:t>3.4</w:t>
      </w:r>
      <w:r>
        <w:rPr>
          <w:sz w:val="24"/>
        </w:rPr>
        <w:t>乙方无偿培训最终使用方使用人员、维护及维修人员，主要内容为合同标的的基本结构、性能、主要部件</w:t>
      </w:r>
      <w:r>
        <w:rPr>
          <w:sz w:val="24"/>
        </w:rPr>
        <w:t>/</w:t>
      </w:r>
      <w:r>
        <w:rPr>
          <w:sz w:val="24"/>
        </w:rPr>
        <w:t>模块的构造及维护，日常使用与管理，常见故障的排除，紧急情况的处理等，培训地点主要在产品安装现场或按最终使用方安排。</w:t>
      </w:r>
    </w:p>
    <w:p>
      <w:pPr>
        <w:pStyle w:val="null3"/>
        <w:jc w:val="both"/>
      </w:pPr>
      <w:r>
        <w:rPr>
          <w:sz w:val="24"/>
        </w:rPr>
        <w:t>3.5</w:t>
      </w:r>
      <w:r>
        <w:rPr>
          <w:sz w:val="24"/>
        </w:rPr>
        <w:t>采购设备质保（保修）期内，如所购进口设备（产品）或进口核心配件或必须进口的耗材供应以及设备的维修使用等因国家贸易、关税政策等进出口政策无法获取，导致设备（产品）无法使用期间，乙方应无条件给使用方提供可替代同档次国产设备、配件或相关耗材（或按使用方合理要求提供）供使用方使用，直至已合法提供上述进口产品止，更换替代设备、配件更耗材期间不计入质保（保修）期，相应质保（保修期）顺延。</w:t>
      </w:r>
    </w:p>
    <w:p>
      <w:pPr>
        <w:pStyle w:val="null3"/>
        <w:spacing w:after="165"/>
        <w:jc w:val="both"/>
      </w:pPr>
      <w:r>
        <w:rPr>
          <w:sz w:val="24"/>
          <w:b/>
        </w:rPr>
        <w:t>四、合同标的包装、交货、安装及验收</w:t>
      </w:r>
    </w:p>
    <w:p>
      <w:pPr>
        <w:pStyle w:val="null3"/>
        <w:ind w:firstLine="480"/>
        <w:jc w:val="both"/>
      </w:pPr>
      <w:r>
        <w:rPr>
          <w:sz w:val="24"/>
        </w:rPr>
        <w:t>4.1</w:t>
      </w:r>
      <w:r>
        <w:rPr>
          <w:sz w:val="24"/>
        </w:rPr>
        <w:t>合同标的的包装</w:t>
      </w:r>
    </w:p>
    <w:p>
      <w:pPr>
        <w:pStyle w:val="null3"/>
        <w:ind w:firstLine="480"/>
        <w:jc w:val="both"/>
      </w:pPr>
      <w:r>
        <w:rPr>
          <w:sz w:val="24"/>
        </w:rPr>
        <w:t>合同标的的包装均应有良好的防湿、防锈、防潮、防雨、防腐及防碰撞的措施。凡由于包装不良造成的损失和由此产生的费用均由乙方承担。</w:t>
      </w:r>
    </w:p>
    <w:p>
      <w:pPr>
        <w:pStyle w:val="null3"/>
        <w:ind w:firstLine="480"/>
        <w:jc w:val="both"/>
      </w:pPr>
      <w:r>
        <w:rPr>
          <w:sz w:val="24"/>
        </w:rPr>
        <w:t>4.2</w:t>
      </w:r>
      <w:r>
        <w:rPr>
          <w:sz w:val="24"/>
        </w:rPr>
        <w:t>合同标的的交货</w:t>
      </w:r>
    </w:p>
    <w:p>
      <w:pPr>
        <w:pStyle w:val="null3"/>
        <w:ind w:firstLine="480"/>
        <w:jc w:val="both"/>
      </w:pPr>
      <w:r>
        <w:rPr>
          <w:sz w:val="24"/>
        </w:rPr>
        <w:t>4.2.1</w:t>
      </w:r>
      <w:r>
        <w:rPr>
          <w:sz w:val="24"/>
        </w:rPr>
        <w:t>乙方交货时间：合同签订后待医院通知后天内。</w:t>
      </w:r>
    </w:p>
    <w:p>
      <w:pPr>
        <w:pStyle w:val="null3"/>
        <w:ind w:firstLine="480"/>
        <w:jc w:val="both"/>
      </w:pPr>
      <w:r>
        <w:rPr>
          <w:sz w:val="24"/>
        </w:rPr>
        <w:t>4.2.2</w:t>
      </w:r>
      <w:r>
        <w:rPr>
          <w:sz w:val="24"/>
        </w:rPr>
        <w:t>乙方交货地点：</w:t>
      </w:r>
    </w:p>
    <w:p>
      <w:pPr>
        <w:pStyle w:val="null3"/>
        <w:ind w:firstLine="480"/>
        <w:jc w:val="both"/>
      </w:pPr>
      <w:r>
        <w:rPr>
          <w:sz w:val="24"/>
        </w:rPr>
        <w:t>①</w:t>
      </w:r>
      <w:r>
        <w:rPr>
          <w:sz w:val="24"/>
        </w:rPr>
        <w:t>1</w:t>
      </w:r>
      <w:r>
        <w:rPr>
          <w:sz w:val="24"/>
        </w:rPr>
        <w:t>套合同标的物运输、卸车并安装至位于</w:t>
      </w:r>
      <w:r>
        <w:rPr>
          <w:sz w:val="24"/>
        </w:rPr>
        <w:t>广东省湛江市霞山区人民大道南</w:t>
      </w:r>
      <w:r>
        <w:rPr>
          <w:sz w:val="24"/>
        </w:rPr>
        <w:t>57</w:t>
      </w:r>
      <w:r>
        <w:rPr>
          <w:sz w:val="24"/>
        </w:rPr>
        <w:t>号的广东医科大学附属医院的指定地点。</w:t>
      </w:r>
    </w:p>
    <w:p>
      <w:pPr>
        <w:pStyle w:val="null3"/>
        <w:ind w:firstLine="480"/>
        <w:jc w:val="both"/>
      </w:pPr>
      <w:r>
        <w:rPr>
          <w:sz w:val="24"/>
        </w:rPr>
        <w:t>②</w:t>
      </w:r>
      <w:r>
        <w:rPr>
          <w:sz w:val="24"/>
        </w:rPr>
        <w:t>1</w:t>
      </w:r>
      <w:r>
        <w:rPr>
          <w:sz w:val="24"/>
        </w:rPr>
        <w:t>套合同标的物运输、卸车并安装至位于广东省汕头市东厦北路</w:t>
      </w:r>
      <w:r>
        <w:rPr>
          <w:sz w:val="24"/>
        </w:rPr>
        <w:t>的汕头大学医学院第二附属医院的指定地点。</w:t>
      </w:r>
    </w:p>
    <w:p>
      <w:pPr>
        <w:pStyle w:val="null3"/>
        <w:ind w:firstLine="480"/>
        <w:jc w:val="both"/>
      </w:pPr>
      <w:r>
        <w:rPr>
          <w:sz w:val="24"/>
        </w:rPr>
        <w:t>4.3</w:t>
      </w:r>
      <w:r>
        <w:rPr>
          <w:sz w:val="24"/>
        </w:rPr>
        <w:t>合同标的的安装</w:t>
      </w:r>
    </w:p>
    <w:p>
      <w:pPr>
        <w:pStyle w:val="null3"/>
        <w:ind w:firstLine="480"/>
        <w:jc w:val="both"/>
      </w:pPr>
      <w:r>
        <w:rPr>
          <w:sz w:val="24"/>
        </w:rPr>
        <w:t>4.3.1</w:t>
      </w:r>
      <w:r>
        <w:rPr>
          <w:sz w:val="24"/>
        </w:rPr>
        <w:t>乙方负责合同项下的安装，一切费用由乙方负责。</w:t>
      </w:r>
    </w:p>
    <w:p>
      <w:pPr>
        <w:pStyle w:val="null3"/>
        <w:ind w:firstLine="480"/>
        <w:jc w:val="both"/>
      </w:pPr>
      <w:r>
        <w:rPr>
          <w:sz w:val="24"/>
        </w:rPr>
        <w:t>4.3.2</w:t>
      </w:r>
      <w:r>
        <w:rPr>
          <w:sz w:val="24"/>
        </w:rPr>
        <w:t>乙方安装时须对各安装场地内的其他设备、设施有良好保护措施。</w:t>
      </w:r>
    </w:p>
    <w:p>
      <w:pPr>
        <w:pStyle w:val="null3"/>
        <w:ind w:firstLine="480"/>
        <w:jc w:val="both"/>
      </w:pPr>
      <w:r>
        <w:rPr>
          <w:sz w:val="24"/>
        </w:rPr>
        <w:t>4.4</w:t>
      </w:r>
      <w:r>
        <w:rPr>
          <w:sz w:val="24"/>
        </w:rPr>
        <w:t>验收</w:t>
      </w:r>
    </w:p>
    <w:p>
      <w:pPr>
        <w:pStyle w:val="null3"/>
        <w:ind w:firstLine="480"/>
        <w:jc w:val="both"/>
      </w:pPr>
      <w:r>
        <w:rPr>
          <w:sz w:val="24"/>
        </w:rPr>
        <w:t>4.4.1</w:t>
      </w:r>
      <w:r>
        <w:rPr>
          <w:sz w:val="24"/>
        </w:rPr>
        <w:t>、合同货物、软件及配套设备安装完成且最终使用方试用</w:t>
      </w:r>
      <w:r>
        <w:rPr>
          <w:sz w:val="24"/>
          <w:u w:val="single"/>
        </w:rPr>
        <w:t xml:space="preserve">30 </w:t>
      </w:r>
      <w:r>
        <w:rPr>
          <w:sz w:val="24"/>
        </w:rPr>
        <w:t>个工作日内验收，验收应在最终使用方和乙方双方共同参加下进行。最终使用方在试用期间如发现货物存在货不对版、质量、性能不达标的情况，视为验收不合格。</w:t>
      </w:r>
    </w:p>
    <w:p>
      <w:pPr>
        <w:pStyle w:val="null3"/>
        <w:ind w:firstLine="480"/>
        <w:jc w:val="both"/>
      </w:pPr>
      <w:r>
        <w:rPr>
          <w:sz w:val="24"/>
        </w:rPr>
        <w:t>4.4.2</w:t>
      </w:r>
      <w:r>
        <w:rPr>
          <w:sz w:val="24"/>
        </w:rPr>
        <w:t>验收标准：按本合同及招标采购文件等的有关规定，以及验国家、地方及行业有关的规定、规范进行（以标准孰高的为准）。甲方所购货物经最终使用方确认并出具验收合格证明，视为验收合格。</w:t>
      </w:r>
    </w:p>
    <w:p>
      <w:pPr>
        <w:pStyle w:val="null3"/>
        <w:ind w:firstLine="480"/>
        <w:jc w:val="both"/>
      </w:pPr>
      <w:r>
        <w:rPr>
          <w:sz w:val="24"/>
        </w:rPr>
        <w:t xml:space="preserve">4.4.3 </w:t>
      </w:r>
      <w:r>
        <w:rPr>
          <w:sz w:val="24"/>
        </w:rPr>
        <w:t>最终使用方在验收中如发现货物不符合合同的约定，有权拒收、退回货物，并签发拒绝收货通知书。如果最终使用方同意更换的，乙方应于收到最终使用方拒绝收货通知书之日起按国产货物</w:t>
      </w:r>
      <w:r>
        <w:rPr>
          <w:sz w:val="24"/>
        </w:rPr>
        <w:t>7</w:t>
      </w:r>
      <w:r>
        <w:rPr>
          <w:sz w:val="24"/>
        </w:rPr>
        <w:t>个工作日内、进口货物</w:t>
      </w:r>
      <w:r>
        <w:rPr>
          <w:sz w:val="24"/>
        </w:rPr>
        <w:t>15</w:t>
      </w:r>
      <w:r>
        <w:rPr>
          <w:sz w:val="24"/>
        </w:rPr>
        <w:t>个工作日内的期限重新提供符合合同约定的货物，否则，视为乙方逾期交货，按合同第</w:t>
      </w:r>
      <w:r>
        <w:rPr>
          <w:sz w:val="24"/>
        </w:rPr>
        <w:t>7.2</w:t>
      </w:r>
      <w:r>
        <w:rPr>
          <w:sz w:val="24"/>
        </w:rPr>
        <w:t>条执行。</w:t>
      </w:r>
    </w:p>
    <w:p>
      <w:pPr>
        <w:pStyle w:val="null3"/>
        <w:ind w:firstLine="480"/>
        <w:jc w:val="both"/>
      </w:pPr>
      <w:r>
        <w:rPr>
          <w:sz w:val="24"/>
        </w:rPr>
        <w:t>4.4.4</w:t>
      </w:r>
      <w:r>
        <w:rPr>
          <w:sz w:val="24"/>
        </w:rPr>
        <w:t>验收时如发现所交付的设备有短装、次品、损坏或其它不符合本合同规定之情形者，最终使用方应作出详尽的现场记录，或由最终使用方和乙方双方签署备忘录。此现场记录或备忘录可用作补充、缺失和更换损坏部件的有效证据。由此产生的有关费用由乙方承担。</w:t>
      </w:r>
    </w:p>
    <w:p>
      <w:pPr>
        <w:pStyle w:val="null3"/>
        <w:ind w:firstLine="480"/>
        <w:jc w:val="both"/>
      </w:pPr>
      <w:r>
        <w:rPr>
          <w:sz w:val="24"/>
        </w:rPr>
        <w:t xml:space="preserve">4.4.5 </w:t>
      </w:r>
      <w:r>
        <w:rPr>
          <w:sz w:val="24"/>
        </w:rPr>
        <w:t>如果合同标的在运输和安装过程中因事故造成货物短缺、损坏，乙方应及时安排换装，以保证合同货物的安装能按合同约定的期限成功完成。换货的相关费用由乙方承担。</w:t>
      </w:r>
    </w:p>
    <w:p>
      <w:pPr>
        <w:pStyle w:val="null3"/>
        <w:ind w:firstLine="480"/>
        <w:jc w:val="both"/>
      </w:pPr>
      <w:r>
        <w:rPr>
          <w:sz w:val="24"/>
        </w:rPr>
        <w:t>4.5</w:t>
      </w:r>
      <w:r>
        <w:rPr>
          <w:sz w:val="24"/>
        </w:rPr>
        <w:t>乙方保证合同项下提供的货物不侵犯任何第三方的专利、商标或版权。否则，乙方须承担对第三方的专利或版权的侵权责任并承担甲方因此而发生的所有费用。</w:t>
      </w:r>
    </w:p>
    <w:p>
      <w:pPr>
        <w:pStyle w:val="null3"/>
        <w:ind w:firstLine="480"/>
        <w:jc w:val="both"/>
      </w:pPr>
      <w:r>
        <w:rPr>
          <w:sz w:val="24"/>
        </w:rPr>
        <w:t>4.6</w:t>
      </w:r>
      <w:r>
        <w:rPr>
          <w:sz w:val="24"/>
        </w:rPr>
        <w:t>乙方应就交付的货物，保证甲方免受任何第三方主张任何权利（第三方主张的权利包括但不仅限于：对合同标的物主张所有权或知识产权等）。</w:t>
      </w:r>
    </w:p>
    <w:p>
      <w:pPr>
        <w:pStyle w:val="null3"/>
        <w:ind w:firstLine="480"/>
        <w:jc w:val="both"/>
      </w:pPr>
      <w:r>
        <w:rPr>
          <w:sz w:val="24"/>
        </w:rPr>
        <w:t>4.6.1</w:t>
      </w:r>
      <w:r>
        <w:rPr>
          <w:sz w:val="24"/>
        </w:rPr>
        <w:t>若有第三方对合同标的物主张上述权利的侵权损害赔偿请求，甲方有权解除合同，并追究乙方违约责任。</w:t>
      </w:r>
    </w:p>
    <w:p>
      <w:pPr>
        <w:pStyle w:val="null3"/>
        <w:ind w:firstLine="480"/>
        <w:jc w:val="both"/>
      </w:pPr>
      <w:r>
        <w:rPr>
          <w:sz w:val="24"/>
        </w:rPr>
        <w:t>4.6.2</w:t>
      </w:r>
      <w:r>
        <w:rPr>
          <w:sz w:val="24"/>
        </w:rPr>
        <w:t>在合同履行过程中，甲方有确切证据证明第三方可能就合同标的物主张上述权利的，甲方有权中止</w:t>
      </w:r>
      <w:r>
        <w:rPr>
          <w:sz w:val="24"/>
        </w:rPr>
        <w:t>/</w:t>
      </w:r>
      <w:r>
        <w:rPr>
          <w:sz w:val="24"/>
        </w:rPr>
        <w:t>终止支付相应的价款，如甲方已支付部分价款，则有权要求乙方返还已收取的价款；但乙方提供适当担保的除外。</w:t>
      </w:r>
    </w:p>
    <w:p>
      <w:pPr>
        <w:pStyle w:val="null3"/>
        <w:ind w:firstLine="480"/>
        <w:jc w:val="both"/>
      </w:pPr>
      <w:r>
        <w:rPr>
          <w:sz w:val="24"/>
        </w:rPr>
        <w:t>4.6.3</w:t>
      </w:r>
      <w:r>
        <w:rPr>
          <w:sz w:val="24"/>
        </w:rPr>
        <w:t>因第三方就合同标的物对甲方主张权利而发生的纠纷，乙方应承担相应的法律责任和诉讼费用、律师费用、其他为解除纠纷而发生的费用以及由此给甲方造成的一切经济损失。</w:t>
      </w:r>
    </w:p>
    <w:p>
      <w:pPr>
        <w:pStyle w:val="null3"/>
        <w:ind w:firstLine="480"/>
        <w:jc w:val="both"/>
      </w:pPr>
      <w:r>
        <w:rPr>
          <w:sz w:val="24"/>
        </w:rPr>
        <w:t>5.7</w:t>
      </w:r>
      <w:r>
        <w:rPr>
          <w:sz w:val="24"/>
        </w:rPr>
        <w:t>风险承担</w:t>
      </w:r>
    </w:p>
    <w:p>
      <w:pPr>
        <w:pStyle w:val="null3"/>
        <w:ind w:firstLine="480"/>
        <w:jc w:val="both"/>
      </w:pPr>
      <w:r>
        <w:rPr>
          <w:sz w:val="24"/>
        </w:rPr>
        <w:t>5.7.1</w:t>
      </w:r>
      <w:r>
        <w:rPr>
          <w:sz w:val="24"/>
        </w:rPr>
        <w:t>货物毁损、灭失的风险，在货物经甲方验收合格以前由乙方承担，在货物经甲方验收合格以后由甲方承担。</w:t>
      </w:r>
    </w:p>
    <w:p>
      <w:pPr>
        <w:pStyle w:val="null3"/>
        <w:ind w:firstLine="480"/>
        <w:jc w:val="both"/>
      </w:pPr>
      <w:r>
        <w:rPr>
          <w:sz w:val="24"/>
        </w:rPr>
        <w:t>5.7.2</w:t>
      </w:r>
      <w:r>
        <w:rPr>
          <w:sz w:val="24"/>
        </w:rPr>
        <w:t>甲方因货物质量不符合约定的质量要求而拒绝接受货物或解除合同的，货物毁损、灭失的风险由乙方承担。</w:t>
      </w:r>
    </w:p>
    <w:p>
      <w:pPr>
        <w:pStyle w:val="null3"/>
        <w:ind w:firstLine="480"/>
        <w:jc w:val="both"/>
      </w:pPr>
      <w:r>
        <w:rPr>
          <w:sz w:val="24"/>
        </w:rPr>
        <w:t>5.7.3</w:t>
      </w:r>
      <w:r>
        <w:rPr>
          <w:sz w:val="24"/>
        </w:rPr>
        <w:t>货物毁损、灭失的风险由甲方承担的，不影响因乙方履行其他合同义务不符合约定的，甲方要求其承担违约责任的权利。</w:t>
      </w:r>
    </w:p>
    <w:p>
      <w:pPr>
        <w:pStyle w:val="null3"/>
        <w:ind w:firstLine="480"/>
        <w:jc w:val="both"/>
      </w:pPr>
      <w:r>
        <w:rPr>
          <w:sz w:val="24"/>
        </w:rPr>
        <w:t>5.7.4</w:t>
      </w:r>
      <w:r>
        <w:rPr>
          <w:sz w:val="24"/>
        </w:rPr>
        <w:t>由乙方承担货物毁损、灭失风险的，如货物毁损或灭失的，乙方应按国产货物</w:t>
      </w:r>
      <w:r>
        <w:rPr>
          <w:sz w:val="24"/>
        </w:rPr>
        <w:t>7</w:t>
      </w:r>
      <w:r>
        <w:rPr>
          <w:sz w:val="24"/>
        </w:rPr>
        <w:t>个工作日内、进口货物</w:t>
      </w:r>
      <w:r>
        <w:rPr>
          <w:sz w:val="24"/>
        </w:rPr>
        <w:t>15</w:t>
      </w:r>
      <w:r>
        <w:rPr>
          <w:sz w:val="24"/>
        </w:rPr>
        <w:t>个工作日内的期限重新提供符合合同规定的货物，否则，视为乙方逾期交货。</w:t>
      </w:r>
    </w:p>
    <w:p>
      <w:pPr>
        <w:pStyle w:val="null3"/>
        <w:ind w:firstLine="480"/>
        <w:jc w:val="both"/>
      </w:pPr>
      <w:r>
        <w:rPr>
          <w:sz w:val="24"/>
        </w:rPr>
        <w:t>5.7.5</w:t>
      </w:r>
      <w:r>
        <w:rPr>
          <w:sz w:val="24"/>
        </w:rPr>
        <w:t>由甲方承担货物毁损、灭失风险的，则甲方不能免除给付货款的义务。</w:t>
      </w:r>
    </w:p>
    <w:p>
      <w:pPr>
        <w:pStyle w:val="null3"/>
        <w:ind w:firstLine="480"/>
        <w:jc w:val="both"/>
      </w:pPr>
      <w:r>
        <w:rPr>
          <w:sz w:val="24"/>
          <w:b/>
        </w:rPr>
        <w:t>五、技术资料</w:t>
      </w:r>
    </w:p>
    <w:p>
      <w:pPr>
        <w:pStyle w:val="null3"/>
        <w:ind w:firstLine="482"/>
        <w:jc w:val="both"/>
      </w:pPr>
      <w:r>
        <w:rPr>
          <w:sz w:val="24"/>
        </w:rPr>
        <w:t>5.1</w:t>
      </w:r>
      <w:r>
        <w:rPr>
          <w:sz w:val="24"/>
        </w:rPr>
        <w:t>乙方在验收时须向最终使用方提供与本合同项下货物相符且完整的技术资料，技术资料包括但不限于：</w:t>
      </w:r>
      <w:r>
        <w:rPr>
          <w:sz w:val="24"/>
        </w:rPr>
        <w:t>①</w:t>
      </w:r>
      <w:r>
        <w:rPr>
          <w:sz w:val="24"/>
        </w:rPr>
        <w:t>贰套中文使用说明书；</w:t>
      </w:r>
      <w:r>
        <w:rPr>
          <w:sz w:val="24"/>
        </w:rPr>
        <w:t>②</w:t>
      </w:r>
      <w:r>
        <w:rPr>
          <w:sz w:val="24"/>
        </w:rPr>
        <w:t>出厂合格证或出厂检测报告；</w:t>
      </w:r>
      <w:r>
        <w:rPr>
          <w:sz w:val="24"/>
        </w:rPr>
        <w:t>③</w:t>
      </w:r>
      <w:r>
        <w:rPr>
          <w:sz w:val="24"/>
        </w:rPr>
        <w:t>安装调试报告；</w:t>
      </w:r>
      <w:r>
        <w:rPr>
          <w:sz w:val="24"/>
        </w:rPr>
        <w:t>④</w:t>
      </w:r>
      <w:r>
        <w:rPr>
          <w:sz w:val="24"/>
        </w:rPr>
        <w:t>人员培训报告；</w:t>
      </w:r>
      <w:r>
        <w:rPr>
          <w:sz w:val="24"/>
        </w:rPr>
        <w:t>⑤</w:t>
      </w:r>
      <w:r>
        <w:rPr>
          <w:sz w:val="24"/>
        </w:rPr>
        <w:t>进口货物还需要提供进口货物报关单、入境货物检验检疫证明等。</w:t>
      </w:r>
    </w:p>
    <w:p>
      <w:pPr>
        <w:pStyle w:val="null3"/>
        <w:ind w:firstLine="480"/>
        <w:jc w:val="both"/>
      </w:pPr>
      <w:r>
        <w:rPr>
          <w:sz w:val="24"/>
        </w:rPr>
        <w:t>5.2</w:t>
      </w:r>
      <w:r>
        <w:rPr>
          <w:sz w:val="24"/>
        </w:rPr>
        <w:t>如果乙方提供的技术资料不齐全，最终使用方有权拒绝验收货物，如乙方在甲方限定期限内仍不能补充提供上述技术资料的，甲方有权退货且要求乙方支付本合同总金额</w:t>
      </w:r>
      <w:r>
        <w:rPr>
          <w:sz w:val="24"/>
        </w:rPr>
        <w:t xml:space="preserve"> 20% </w:t>
      </w:r>
      <w:r>
        <w:rPr>
          <w:sz w:val="24"/>
        </w:rPr>
        <w:t>的违约金，因退货产生的一切损失由乙方承担，乙方拒不将货物取走的，甲方有权自行处置，由此产生的损失乙方自行承担。</w:t>
      </w:r>
    </w:p>
    <w:p>
      <w:pPr>
        <w:pStyle w:val="null3"/>
        <w:ind w:firstLine="482"/>
        <w:jc w:val="both"/>
      </w:pPr>
      <w:r>
        <w:rPr>
          <w:sz w:val="24"/>
          <w:b/>
        </w:rPr>
        <w:t>六、售后服务</w:t>
      </w:r>
      <w:r>
        <w:rPr>
          <w:sz w:val="24"/>
          <w:b/>
        </w:rPr>
        <w:t>(</w:t>
      </w:r>
      <w:r>
        <w:rPr>
          <w:sz w:val="24"/>
          <w:b/>
        </w:rPr>
        <w:t>含备品、备件、耗材等要求</w:t>
      </w:r>
      <w:r>
        <w:rPr>
          <w:sz w:val="24"/>
          <w:b/>
        </w:rPr>
        <w:t>)</w:t>
      </w:r>
    </w:p>
    <w:p>
      <w:pPr>
        <w:pStyle w:val="null3"/>
        <w:jc w:val="both"/>
      </w:pPr>
      <w:r>
        <w:rPr>
          <w:sz w:val="24"/>
        </w:rPr>
        <w:t xml:space="preserve">6.1  </w:t>
      </w:r>
      <w:r>
        <w:rPr>
          <w:sz w:val="24"/>
        </w:rPr>
        <w:t>质保期内，每年至少两次现场维护（包括整机清洗、保养、调整等），费用包含在合同总价中，不再另行支付。</w:t>
      </w:r>
    </w:p>
    <w:p>
      <w:pPr>
        <w:pStyle w:val="null3"/>
        <w:jc w:val="both"/>
      </w:pPr>
      <w:r>
        <w:rPr>
          <w:sz w:val="24"/>
        </w:rPr>
        <w:t xml:space="preserve">6.2  </w:t>
      </w:r>
      <w:r>
        <w:rPr>
          <w:sz w:val="24"/>
        </w:rPr>
        <w:t>质保期内，货物故障报修响应时间为：最终使用方报修通知后小时（详见投标文件）内派员到现场维修，乙方对所派人员作出的维保记录予以确认，如设备损坏，乙方小时内（详见投标文件）提供相应的备用机。</w:t>
      </w:r>
    </w:p>
    <w:p>
      <w:pPr>
        <w:pStyle w:val="null3"/>
        <w:jc w:val="both"/>
      </w:pPr>
      <w:r>
        <w:rPr>
          <w:sz w:val="24"/>
          <w:b/>
        </w:rPr>
        <w:t>七、违约责任</w:t>
      </w:r>
    </w:p>
    <w:p>
      <w:pPr>
        <w:pStyle w:val="null3"/>
        <w:spacing w:after="165"/>
        <w:ind w:firstLine="480"/>
        <w:jc w:val="both"/>
      </w:pPr>
      <w:r>
        <w:rPr>
          <w:sz w:val="24"/>
        </w:rPr>
        <w:t>7.1</w:t>
      </w:r>
      <w:r>
        <w:rPr>
          <w:sz w:val="24"/>
        </w:rPr>
        <w:t>乙方所供的设备的品牌、型号、规格、数量、质量等与合同规定不符的，甲方有权拒绝收货，乙方应在甲方规定的时间内更换为符合合同约定的设备，且交货期限不予顺延。逾期未更换为符合合同约定设备的，乙方须按该设备价款的</w:t>
      </w:r>
      <w:r>
        <w:rPr>
          <w:sz w:val="24"/>
          <w:u w:val="single"/>
        </w:rPr>
        <w:t xml:space="preserve"> 10</w:t>
      </w:r>
      <w:r>
        <w:rPr>
          <w:sz w:val="24"/>
        </w:rPr>
        <w:t>%</w:t>
      </w:r>
      <w:r>
        <w:rPr>
          <w:sz w:val="24"/>
        </w:rPr>
        <w:t>支付违约金，同时甲方有权单方面解除本合同。</w:t>
      </w:r>
    </w:p>
    <w:p>
      <w:pPr>
        <w:pStyle w:val="null3"/>
        <w:spacing w:after="165"/>
        <w:ind w:firstLine="480"/>
        <w:jc w:val="both"/>
      </w:pPr>
      <w:r>
        <w:rPr>
          <w:sz w:val="24"/>
        </w:rPr>
        <w:t>7.2</w:t>
      </w:r>
      <w:r>
        <w:rPr>
          <w:sz w:val="24"/>
        </w:rPr>
        <w:t>乙方未按</w:t>
      </w:r>
      <w:r>
        <w:rPr>
          <w:sz w:val="24"/>
        </w:rPr>
        <w:t>4.2</w:t>
      </w:r>
      <w:r>
        <w:rPr>
          <w:sz w:val="24"/>
        </w:rPr>
        <w:t>条规定的交货期限交货的，每迟延一天，乙方应向甲方支付合同总价款</w:t>
      </w:r>
      <w:r>
        <w:rPr>
          <w:sz w:val="24"/>
          <w:u w:val="single"/>
        </w:rPr>
        <w:t xml:space="preserve"> 3</w:t>
      </w:r>
      <w:r>
        <w:rPr>
          <w:sz w:val="24"/>
        </w:rPr>
        <w:t>‰的违约金。若乙方延迟交货达</w:t>
      </w:r>
      <w:r>
        <w:rPr>
          <w:sz w:val="24"/>
          <w:u w:val="single"/>
        </w:rPr>
        <w:t xml:space="preserve"> 30</w:t>
      </w:r>
      <w:r>
        <w:rPr>
          <w:sz w:val="24"/>
        </w:rPr>
        <w:t>天或以上的，甲方有权单方面解除本合同，乙方按合同总价款的</w:t>
      </w:r>
      <w:r>
        <w:rPr>
          <w:sz w:val="24"/>
          <w:u w:val="single"/>
        </w:rPr>
        <w:t xml:space="preserve"> 10</w:t>
      </w:r>
      <w:r>
        <w:rPr>
          <w:sz w:val="24"/>
        </w:rPr>
        <w:t>%</w:t>
      </w:r>
      <w:r>
        <w:rPr>
          <w:sz w:val="24"/>
        </w:rPr>
        <w:t>支付违约金，并赔偿甲方因此遭受的全部损失。</w:t>
      </w:r>
    </w:p>
    <w:p>
      <w:pPr>
        <w:pStyle w:val="null3"/>
        <w:spacing w:after="165"/>
        <w:ind w:firstLine="480"/>
        <w:jc w:val="both"/>
      </w:pPr>
      <w:r>
        <w:rPr>
          <w:sz w:val="24"/>
        </w:rPr>
        <w:t>7.3</w:t>
      </w:r>
      <w:r>
        <w:rPr>
          <w:sz w:val="24"/>
        </w:rPr>
        <w:t>合同签订后</w:t>
      </w:r>
      <w:r>
        <w:rPr>
          <w:sz w:val="24"/>
        </w:rPr>
        <w:t>,</w:t>
      </w:r>
      <w:r>
        <w:rPr>
          <w:sz w:val="24"/>
        </w:rPr>
        <w:t>乙方明示或以行动表示拒绝履行合同的，甲方有权单方面解除本合同，乙方应在甲方发出解除合同通知后</w:t>
      </w:r>
      <w:r>
        <w:rPr>
          <w:sz w:val="24"/>
          <w:u w:val="single"/>
        </w:rPr>
        <w:t xml:space="preserve"> 10</w:t>
      </w:r>
      <w:r>
        <w:rPr>
          <w:sz w:val="24"/>
        </w:rPr>
        <w:t>天内向甲方支付合同总价</w:t>
      </w:r>
      <w:r>
        <w:rPr>
          <w:sz w:val="24"/>
          <w:u w:val="single"/>
        </w:rPr>
        <w:t xml:space="preserve"> 10</w:t>
      </w:r>
      <w:r>
        <w:rPr>
          <w:sz w:val="24"/>
        </w:rPr>
        <w:t>%</w:t>
      </w:r>
      <w:r>
        <w:rPr>
          <w:sz w:val="24"/>
        </w:rPr>
        <w:t>的违约金，并赔偿甲方由此遭受的全部损失。</w:t>
      </w:r>
    </w:p>
    <w:p>
      <w:pPr>
        <w:pStyle w:val="null3"/>
        <w:spacing w:after="165"/>
        <w:jc w:val="both"/>
      </w:pPr>
      <w:r>
        <w:rPr>
          <w:sz w:val="24"/>
          <w:b/>
        </w:rPr>
        <w:t>八、通知及送达</w:t>
      </w:r>
    </w:p>
    <w:p>
      <w:pPr>
        <w:pStyle w:val="null3"/>
        <w:spacing w:after="165"/>
        <w:ind w:firstLine="480"/>
        <w:jc w:val="both"/>
      </w:pPr>
      <w:r>
        <w:rPr>
          <w:sz w:val="24"/>
        </w:rPr>
        <w:t>8.1</w:t>
      </w:r>
      <w:r>
        <w:rPr>
          <w:sz w:val="24"/>
        </w:rPr>
        <w:t>除非甲乙双方另有约定，否则各方的联系地址、电话均以本合同首部列明的为准，如有变更，应提前</w:t>
      </w:r>
      <w:r>
        <w:rPr>
          <w:sz w:val="24"/>
          <w:u w:val="single"/>
        </w:rPr>
        <w:t xml:space="preserve"> 5</w:t>
      </w:r>
      <w:r>
        <w:rPr>
          <w:sz w:val="24"/>
        </w:rPr>
        <w:t>天以书面的形式通知对方，否则由此引起的后果及责任由变更方承担。</w:t>
      </w:r>
    </w:p>
    <w:p>
      <w:pPr>
        <w:pStyle w:val="null3"/>
        <w:spacing w:after="165"/>
        <w:ind w:firstLine="480"/>
        <w:jc w:val="both"/>
      </w:pPr>
      <w:r>
        <w:rPr>
          <w:sz w:val="24"/>
        </w:rPr>
        <w:t>8.2</w:t>
      </w:r>
      <w:r>
        <w:rPr>
          <w:sz w:val="24"/>
        </w:rPr>
        <w:t>任何与本合同有关的通知、文件等均须以书面的方式进行。采用邮寄方式送交的，邮政单位或速递公司按惯常方式将邮件送至对方地址之日即视为送达。若因地址不详、查无此人、拒收或其他原因导致邮件被退回而无法送达的，退回之日视为送达之日。</w:t>
      </w:r>
    </w:p>
    <w:p>
      <w:pPr>
        <w:pStyle w:val="null3"/>
        <w:spacing w:after="165"/>
        <w:ind w:firstLine="480"/>
        <w:jc w:val="both"/>
      </w:pPr>
      <w:r>
        <w:rPr>
          <w:sz w:val="24"/>
        </w:rPr>
        <w:t>8.3</w:t>
      </w:r>
      <w:r>
        <w:rPr>
          <w:sz w:val="24"/>
        </w:rPr>
        <w:t>双方确认，记载于本合同中的通讯地址、电子邮件、联系电话等均真实有效，为双方通知、送达地址。双方约定本合同地址同时作为司法送达地址，对双方均具有约束力。</w:t>
      </w:r>
    </w:p>
    <w:p>
      <w:pPr>
        <w:pStyle w:val="null3"/>
        <w:spacing w:after="165"/>
        <w:jc w:val="both"/>
      </w:pPr>
      <w:r>
        <w:rPr>
          <w:sz w:val="24"/>
          <w:b/>
        </w:rPr>
        <w:t>九、不可抗力</w:t>
      </w:r>
    </w:p>
    <w:p>
      <w:pPr>
        <w:pStyle w:val="null3"/>
        <w:spacing w:after="165"/>
        <w:ind w:firstLine="480"/>
        <w:jc w:val="both"/>
      </w:pPr>
      <w:r>
        <w:rPr>
          <w:sz w:val="24"/>
        </w:rPr>
        <w:t>不可抗力指不能预见、不能避免并不能克服的客观情况，包括但不限于地震、台风、泥石流、山洪等自然灾害，以及战争、动乱等。任何一方因不可抗力或紧急情况而不能履行本合同的，应尽力采取一切措施，防止损失扩大，并尽快通知另一方，否则应对损失扩大部分承担赔偿责任。</w:t>
      </w:r>
    </w:p>
    <w:p>
      <w:pPr>
        <w:pStyle w:val="null3"/>
        <w:spacing w:after="165"/>
        <w:ind w:firstLine="480"/>
        <w:jc w:val="both"/>
      </w:pPr>
      <w:r>
        <w:rPr>
          <w:sz w:val="24"/>
        </w:rPr>
        <w:t>如因不可抗力事件导致乙方在合同规定的交货期满后</w:t>
      </w:r>
      <w:r>
        <w:rPr>
          <w:sz w:val="24"/>
        </w:rPr>
        <w:t xml:space="preserve">30 </w:t>
      </w:r>
      <w:r>
        <w:rPr>
          <w:sz w:val="24"/>
        </w:rPr>
        <w:t>天内仍不能交货的，甲方有权解除合同，双方互不承担违约责任。</w:t>
      </w:r>
    </w:p>
    <w:p>
      <w:pPr>
        <w:pStyle w:val="null3"/>
        <w:spacing w:after="165"/>
        <w:jc w:val="both"/>
      </w:pPr>
      <w:r>
        <w:rPr>
          <w:sz w:val="24"/>
          <w:b/>
        </w:rPr>
        <w:t>十、合同解除</w:t>
      </w:r>
    </w:p>
    <w:p>
      <w:pPr>
        <w:pStyle w:val="null3"/>
        <w:spacing w:after="165"/>
        <w:ind w:firstLine="480"/>
        <w:jc w:val="both"/>
      </w:pPr>
      <w:r>
        <w:rPr>
          <w:sz w:val="24"/>
        </w:rPr>
        <w:t>10.1</w:t>
      </w:r>
      <w:r>
        <w:rPr>
          <w:sz w:val="24"/>
        </w:rPr>
        <w:t>双方协商一致，可以签订书面协议解除本合同。</w:t>
      </w:r>
    </w:p>
    <w:p>
      <w:pPr>
        <w:pStyle w:val="null3"/>
        <w:spacing w:after="165"/>
        <w:ind w:firstLine="480"/>
        <w:jc w:val="both"/>
      </w:pPr>
      <w:r>
        <w:rPr>
          <w:sz w:val="24"/>
        </w:rPr>
        <w:t>10.2</w:t>
      </w:r>
      <w:r>
        <w:rPr>
          <w:sz w:val="24"/>
        </w:rPr>
        <w:t>如果一方严重违反合同，并在收到对方违约通知书之日起</w:t>
      </w:r>
      <w:r>
        <w:rPr>
          <w:sz w:val="24"/>
        </w:rPr>
        <w:t>30</w:t>
      </w:r>
      <w:r>
        <w:rPr>
          <w:sz w:val="24"/>
        </w:rPr>
        <w:t>天内仍未能改正违约的另一方可立即解除本合同。违约方应当赔偿守约方因此遭受的损失，包括但不限于守约方的直接经济损失、间接经济损失、守约方为追究违约责任所发生的律师费、差旅费、交通费等。</w:t>
      </w:r>
    </w:p>
    <w:p>
      <w:pPr>
        <w:pStyle w:val="null3"/>
        <w:spacing w:after="165"/>
        <w:ind w:firstLine="482"/>
        <w:jc w:val="both"/>
      </w:pPr>
      <w:r>
        <w:rPr>
          <w:sz w:val="24"/>
          <w:b/>
        </w:rPr>
        <w:t>十一、法律诉讼</w:t>
      </w:r>
    </w:p>
    <w:p>
      <w:pPr>
        <w:pStyle w:val="null3"/>
        <w:spacing w:after="165"/>
        <w:ind w:firstLine="482"/>
        <w:jc w:val="both"/>
      </w:pPr>
      <w:r>
        <w:rPr>
          <w:sz w:val="24"/>
        </w:rPr>
        <w:t>签约双方在履约中发生争执和分歧，双方应通过友好协商解决；若经协商不能达成协议时，可通过向法院提起诉讼解决；双方同意诉讼管辖法院为甲方住所地人民法院。诉讼期间，双方应继续执行合同其余部分。</w:t>
      </w:r>
    </w:p>
    <w:p>
      <w:pPr>
        <w:pStyle w:val="null3"/>
        <w:spacing w:after="165"/>
        <w:jc w:val="both"/>
      </w:pPr>
      <w:r>
        <w:rPr>
          <w:sz w:val="24"/>
          <w:b/>
        </w:rPr>
        <w:t>十二、其他</w:t>
      </w:r>
    </w:p>
    <w:p>
      <w:pPr>
        <w:pStyle w:val="null3"/>
        <w:jc w:val="both"/>
      </w:pPr>
      <w:r>
        <w:rPr>
          <w:sz w:val="24"/>
        </w:rPr>
        <w:t>12.1</w:t>
      </w:r>
      <w:r>
        <w:rPr>
          <w:sz w:val="24"/>
        </w:rPr>
        <w:t>、合同签订地：</w:t>
      </w:r>
    </w:p>
    <w:p>
      <w:pPr>
        <w:pStyle w:val="null3"/>
        <w:jc w:val="both"/>
      </w:pPr>
      <w:r>
        <w:rPr>
          <w:sz w:val="24"/>
        </w:rPr>
        <w:t>12.2</w:t>
      </w:r>
      <w:r>
        <w:rPr>
          <w:sz w:val="24"/>
        </w:rPr>
        <w:t>、本合同一式【</w:t>
      </w:r>
      <w:r>
        <w:rPr>
          <w:sz w:val="24"/>
        </w:rPr>
        <w:t>】份（每份合同必须双面打印并附上页码，并加盖骑缝章），甲方执肆份，乙方执【】份，具有同等法律效力。</w:t>
      </w:r>
    </w:p>
    <w:p>
      <w:pPr>
        <w:pStyle w:val="null3"/>
        <w:jc w:val="both"/>
      </w:pPr>
      <w:r>
        <w:rPr>
          <w:sz w:val="24"/>
        </w:rPr>
        <w:t>12.3</w:t>
      </w:r>
      <w:r>
        <w:rPr>
          <w:sz w:val="24"/>
        </w:rPr>
        <w:t>、合同自双方法定代表人（或授权代表）签字（或签章）并加盖单位公章（或合同专用章）之日起即时生效。</w:t>
      </w:r>
    </w:p>
    <w:p>
      <w:pPr>
        <w:pStyle w:val="null3"/>
        <w:jc w:val="both"/>
      </w:pPr>
      <w:r>
        <w:rPr>
          <w:sz w:val="24"/>
        </w:rPr>
        <w:t>12.4</w:t>
      </w:r>
      <w:r>
        <w:rPr>
          <w:sz w:val="24"/>
        </w:rPr>
        <w:t>、本合同末尽事宜，经双方友好协商可另行签订补充协议。</w:t>
      </w:r>
    </w:p>
    <w:p>
      <w:pPr>
        <w:pStyle w:val="null3"/>
        <w:jc w:val="both"/>
      </w:pPr>
      <w:r>
        <w:rPr>
          <w:sz w:val="24"/>
        </w:rPr>
        <w:t>12.5</w:t>
      </w:r>
      <w:r>
        <w:rPr>
          <w:sz w:val="24"/>
        </w:rPr>
        <w:t>、如一方注册信息（含单位名称、地址、电话、传真号码等）发生变更，应于变更后</w:t>
      </w:r>
      <w:r>
        <w:rPr>
          <w:sz w:val="24"/>
        </w:rPr>
        <w:t>2</w:t>
      </w:r>
      <w:r>
        <w:rPr>
          <w:sz w:val="24"/>
        </w:rPr>
        <w:t>个工作日内书面通知对方，否则违约方应承担相应责任。本合同尾页的通讯信息为双方往来函件以及法院送达的有效地址。</w:t>
      </w:r>
    </w:p>
    <w:p>
      <w:pPr>
        <w:pStyle w:val="null3"/>
        <w:jc w:val="both"/>
      </w:pPr>
      <w:r>
        <w:rPr>
          <w:sz w:val="24"/>
        </w:rPr>
        <w:t>12.6</w:t>
      </w:r>
      <w:r>
        <w:rPr>
          <w:sz w:val="24"/>
        </w:rPr>
        <w:t>、合同附件：</w:t>
      </w:r>
    </w:p>
    <w:p>
      <w:pPr>
        <w:pStyle w:val="null3"/>
        <w:spacing w:after="165"/>
        <w:ind w:firstLine="482"/>
        <w:jc w:val="both"/>
      </w:pPr>
      <w:r>
        <w:rPr>
          <w:sz w:val="24"/>
        </w:rPr>
        <w:t>附件一：</w:t>
      </w:r>
      <w:r>
        <w:rPr>
          <w:sz w:val="24"/>
          <w:u w:val="single"/>
        </w:rPr>
        <w:t>配置清单</w:t>
      </w:r>
    </w:p>
    <w:p>
      <w:pPr>
        <w:pStyle w:val="null3"/>
        <w:spacing w:after="165"/>
        <w:ind w:firstLine="472"/>
        <w:jc w:val="both"/>
      </w:pPr>
      <w:r>
        <w:rPr>
          <w:sz w:val="24"/>
          <w:b/>
        </w:rPr>
        <w:t>本合同经甲乙双方充分协商沟通后自愿订立，双方确认已认真阅读以上全部条款，能够清晰准确理解全部含义，并同意遵守。</w:t>
      </w:r>
    </w:p>
    <w:p>
      <w:pPr>
        <w:pStyle w:val="null3"/>
        <w:spacing w:after="165"/>
        <w:jc w:val="both"/>
      </w:pPr>
      <w:r>
        <w:rPr>
          <w:sz w:val="24"/>
          <w:b/>
        </w:rPr>
        <w:t>【本行以下无正文】</w:t>
      </w:r>
    </w:p>
    <w:p>
      <w:pPr>
        <w:pStyle w:val="null3"/>
        <w:spacing w:after="165"/>
        <w:jc w:val="both"/>
      </w:pPr>
      <w:r>
        <w:rPr>
          <w:sz w:val="22"/>
          <w:b/>
        </w:rPr>
        <w:t>甲方（盖章）：</w:t>
      </w:r>
      <w:r>
        <w:rPr>
          <w:sz w:val="20"/>
          <w:b/>
        </w:rPr>
        <w:t xml:space="preserve">     </w:t>
      </w:r>
      <w:r>
        <w:rPr>
          <w:sz w:val="22"/>
          <w:b/>
        </w:rPr>
        <w:t>乙方（盖章）：</w:t>
      </w:r>
    </w:p>
    <w:p>
      <w:pPr>
        <w:pStyle w:val="null3"/>
        <w:spacing w:after="165"/>
        <w:jc w:val="both"/>
      </w:pPr>
      <w:r>
        <w:rPr>
          <w:sz w:val="22"/>
          <w:b/>
        </w:rPr>
        <w:t>法定代表人或授权代表（签字）：</w:t>
      </w:r>
      <w:r>
        <w:rPr>
          <w:sz w:val="20"/>
          <w:b/>
        </w:rPr>
        <w:t xml:space="preserve">      </w:t>
      </w:r>
      <w:r>
        <w:rPr>
          <w:sz w:val="22"/>
          <w:b/>
        </w:rPr>
        <w:t>法定代表人或授权代表（签字）：</w:t>
      </w:r>
    </w:p>
    <w:p>
      <w:pPr>
        <w:pStyle w:val="null3"/>
        <w:spacing w:after="165"/>
        <w:jc w:val="both"/>
      </w:pPr>
      <w:r>
        <w:rPr>
          <w:sz w:val="22"/>
          <w:b/>
        </w:rPr>
        <w:t>经办人：</w:t>
      </w:r>
      <w:r>
        <w:rPr>
          <w:sz w:val="20"/>
          <w:b/>
        </w:rPr>
        <w:t xml:space="preserve">                           </w:t>
      </w:r>
      <w:r>
        <w:rPr>
          <w:sz w:val="22"/>
          <w:b/>
        </w:rPr>
        <w:t>经办人：</w:t>
      </w:r>
    </w:p>
    <w:p>
      <w:pPr>
        <w:pStyle w:val="null3"/>
        <w:spacing w:after="165"/>
        <w:jc w:val="both"/>
      </w:pPr>
      <w:r>
        <w:rPr>
          <w:sz w:val="24"/>
          <w:b/>
        </w:rPr>
        <w:t>日期：</w:t>
      </w:r>
      <w:r>
        <w:rPr>
          <w:sz w:val="20"/>
          <w:b/>
        </w:rPr>
        <w:t xml:space="preserve">    </w:t>
      </w:r>
      <w:r>
        <w:rPr>
          <w:sz w:val="24"/>
          <w:b/>
        </w:rPr>
        <w:t>年</w:t>
      </w:r>
      <w:r>
        <w:rPr>
          <w:sz w:val="20"/>
          <w:b/>
        </w:rPr>
        <w:t xml:space="preserve">   </w:t>
      </w:r>
      <w:r>
        <w:rPr>
          <w:sz w:val="24"/>
          <w:b/>
        </w:rPr>
        <w:t>月</w:t>
      </w:r>
      <w:r>
        <w:rPr>
          <w:sz w:val="20"/>
          <w:b/>
        </w:rPr>
        <w:t xml:space="preserve">  </w:t>
      </w:r>
      <w:r>
        <w:rPr>
          <w:sz w:val="24"/>
          <w:b/>
        </w:rPr>
        <w:t>日</w:t>
      </w:r>
      <w:r>
        <w:rPr>
          <w:sz w:val="20"/>
          <w:b/>
        </w:rPr>
        <w:t xml:space="preserve">                   </w:t>
      </w:r>
      <w:r>
        <w:rPr>
          <w:sz w:val="24"/>
          <w:b/>
        </w:rPr>
        <w:t>日期：</w:t>
      </w:r>
      <w:r>
        <w:rPr>
          <w:sz w:val="20"/>
          <w:b/>
        </w:rPr>
        <w:t xml:space="preserve">    </w:t>
      </w:r>
      <w:r>
        <w:rPr>
          <w:sz w:val="24"/>
          <w:b/>
        </w:rPr>
        <w:t>年</w:t>
      </w:r>
      <w:r>
        <w:rPr>
          <w:sz w:val="20"/>
          <w:b/>
        </w:rPr>
        <w:t xml:space="preserve">   </w:t>
      </w:r>
      <w:r>
        <w:rPr>
          <w:sz w:val="24"/>
          <w:b/>
        </w:rPr>
        <w:t>月</w:t>
      </w:r>
      <w:r>
        <w:rPr>
          <w:sz w:val="20"/>
          <w:b/>
        </w:rPr>
        <w:t xml:space="preserve">  </w:t>
      </w:r>
      <w:r>
        <w:rPr>
          <w:sz w:val="24"/>
          <w:b/>
        </w:rPr>
        <w:t>日</w:t>
      </w:r>
    </w:p>
    <w:p>
      <w:pPr>
        <w:pStyle w:val="null3"/>
        <w:spacing w:after="165"/>
        <w:jc w:val="center"/>
      </w:pPr>
      <w:r>
        <w:rPr>
          <w:sz w:val="24"/>
          <w:b/>
        </w:rPr>
        <w:t>附件一：</w:t>
      </w:r>
    </w:p>
    <w:p>
      <w:pPr>
        <w:pStyle w:val="null3"/>
        <w:spacing w:after="165"/>
        <w:ind w:firstLine="562"/>
        <w:jc w:val="center"/>
      </w:pPr>
      <w:r>
        <w:rPr>
          <w:sz w:val="28"/>
          <w:b/>
        </w:rPr>
        <w:t>配置清单（每台）</w:t>
      </w:r>
    </w:p>
    <w:tbl>
      <w:tblPr>
        <w:tblW w:w="0" w:type="auto"/>
        <w:tblBorders>
          <w:top w:val="none" w:color="000000" w:sz="4"/>
          <w:left w:val="none" w:color="000000" w:sz="4"/>
          <w:bottom w:val="none" w:color="000000" w:sz="4"/>
          <w:right w:val="none" w:color="000000" w:sz="4"/>
          <w:insideH w:val="none"/>
          <w:insideV w:val="none"/>
        </w:tblBorders>
      </w:tblPr>
      <w:tblGrid>
        <w:gridCol w:w="1249"/>
        <w:gridCol w:w="4003"/>
        <w:gridCol w:w="1565"/>
        <w:gridCol w:w="1490"/>
      </w:tblGrid>
      <w:tr>
        <w:tc>
          <w:tcPr>
            <w:tcW w:type="dxa" w:w="1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8"/>
              </w:rPr>
              <w:t>序号</w:t>
            </w:r>
          </w:p>
        </w:tc>
        <w:tc>
          <w:tcPr>
            <w:tcW w:type="dxa" w:w="40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8"/>
              </w:rPr>
              <w:t>配置名称</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8"/>
              </w:rPr>
              <w:t>数量</w:t>
            </w:r>
          </w:p>
        </w:tc>
        <w:tc>
          <w:tcPr>
            <w:tcW w:type="dxa" w:w="1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8"/>
              </w:rPr>
              <w:t>单位</w:t>
            </w: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4"/>
              </w:rPr>
              <w:t>1</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4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440001-2025-25895</w:t>
      </w:r>
    </w:p>
    <w:p>
      <w:pPr>
        <w:pStyle w:val="null3"/>
        <w:jc w:val="center"/>
        <w:outlineLvl w:val="3"/>
      </w:pPr>
      <w:r>
        <w:rPr>
          <w:sz w:val="24"/>
          <w:b/>
        </w:rPr>
        <w:t>采购项目编号：</w:t>
      </w:r>
      <w:r>
        <w:rPr>
          <w:sz w:val="24"/>
          <w:b/>
        </w:rPr>
        <w:t>GPCGD253174HG186F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广东省重点医院先进医疗设备更新项目（粤东、粤西）——数字化X射线摄影系统（双板DR）</w:t>
      </w:r>
      <w:r>
        <w:rPr>
          <w:u w:val="single"/>
        </w:rPr>
        <w:t>”</w:t>
      </w:r>
      <w:r>
        <w:rPr/>
        <w:t>项目的招标[采购项目编号为：</w:t>
      </w:r>
      <w:r>
        <w:rPr>
          <w:u w:val="single"/>
        </w:rPr>
        <w:t>GPCGD253174HG186F</w:t>
      </w:r>
      <w:r>
        <w:rPr/>
        <w:t>]，我方愿参与投标。</w:t>
      </w:r>
    </w:p>
    <w:p>
      <w:pPr>
        <w:pStyle w:val="null3"/>
        <w:ind w:firstLine="480"/>
      </w:pPr>
      <w:r>
        <w:rPr/>
        <w:t>我方确认收到贵方提供的</w:t>
      </w:r>
      <w:r>
        <w:rPr>
          <w:u w:val="single"/>
        </w:rPr>
        <w:t>“</w:t>
      </w:r>
      <w:r>
        <w:rPr>
          <w:u w:val="single"/>
        </w:rPr>
        <w:t>广东省重点医院先进医疗设备更新项目（粤东、粤西）——数字化X射线摄影系统（双板DR）</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广东省重点医院先进医疗设备更新项目（粤东、粤西）——数字化X射线摄影系统（双板DR）</w:t>
      </w:r>
      <w:r>
        <w:rPr/>
        <w:t>”项目采购[采购项目编号为</w:t>
      </w:r>
      <w:r>
        <w:rPr/>
        <w:t>GPCGD253174HG186F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广东省重点医院先进医疗设备更新项目（粤东、粤西）——数字化X射线摄影系统（双板DR）</w:t>
      </w:r>
      <w:r>
        <w:rPr/>
        <w:t>招标中获中标（采购项目编号：</w:t>
      </w:r>
      <w:r>
        <w:rPr/>
        <w:t>GPCGD253174HG186F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广东省重点医院先进医疗设备更新项目（粤东、粤西）——数字化X射线摄影系统（双板DR）</w:t>
      </w:r>
      <w:r>
        <w:rPr/>
        <w:t>”项目（采购项目编号：</w:t>
      </w:r>
      <w:r>
        <w:rPr/>
        <w:t>GPCGD253174HG186F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