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440001-2025-25703</w:t>
      </w:r>
    </w:p>
    <w:p>
      <w:pPr>
        <w:pStyle w:val="null3"/>
        <w:jc w:val="center"/>
        <w:outlineLvl w:val="3"/>
      </w:pPr>
      <w:r>
        <w:rPr>
          <w:sz w:val="24"/>
          <w:b/>
        </w:rPr>
        <w:t>采购项目编号：</w:t>
      </w:r>
      <w:r>
        <w:rPr>
          <w:sz w:val="24"/>
          <w:b/>
        </w:rPr>
        <w:t>GPCGD253174HG202F</w:t>
      </w:r>
    </w:p>
    <w:p>
      <w:pPr>
        <w:pStyle w:val="null3"/>
        <w:jc w:val="center"/>
        <w:outlineLvl w:val="3"/>
      </w:pPr>
      <w:r>
        <w:rPr>
          <w:sz w:val="24"/>
          <w:b/>
        </w:rPr>
        <w:t>项目名称：</w:t>
      </w:r>
      <w:r>
        <w:rPr>
          <w:sz w:val="24"/>
          <w:b/>
        </w:rPr>
        <w:t>广东省重点医院先进医疗设备更新项目（粤东、粤西）—腹腔镜系统（3D）</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广东省重点医院先进医疗设备更新项目（粤东、粤西）—腹腔镜系统（3D）</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广东省重点医院先进医疗设备更新项目（粤东、粤西）—腹腔镜系统（3D）</w:t>
      </w:r>
    </w:p>
    <w:p>
      <w:pPr>
        <w:pStyle w:val="null3"/>
        <w:ind w:firstLine="480"/>
      </w:pPr>
      <w:r>
        <w:rPr/>
        <w:t>采购计划编号：</w:t>
      </w:r>
      <w:r>
        <w:rPr/>
        <w:t>440001-2025-25703</w:t>
      </w:r>
    </w:p>
    <w:p>
      <w:pPr>
        <w:pStyle w:val="null3"/>
        <w:ind w:firstLine="480"/>
      </w:pPr>
      <w:r>
        <w:rPr/>
        <w:t>采购项目编号：</w:t>
      </w:r>
      <w:r>
        <w:rPr/>
        <w:t>GPCGD253174HG202F</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采购包1(腹腔镜系统（3D）):</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腹腔镜系统（3D）</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 30 日（日历日）内。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采购包1（腹腔镜系统（3D））：</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020-83186835/020-83187191</w:t>
      </w:r>
    </w:p>
    <w:p>
      <w:pPr>
        <w:pStyle w:val="null3"/>
        <w:outlineLvl w:val="3"/>
      </w:pPr>
      <w:r>
        <w:rPr>
          <w:sz w:val="24"/>
          <w:b/>
        </w:rPr>
        <w:t xml:space="preserve"> 3.项目联系方式</w:t>
      </w:r>
    </w:p>
    <w:p>
      <w:pPr>
        <w:pStyle w:val="null3"/>
        <w:ind w:firstLine="480"/>
      </w:pPr>
      <w:r>
        <w:rPr/>
        <w:t xml:space="preserve"> 项目联系人：</w:t>
      </w:r>
      <w:r>
        <w:rPr/>
        <w:t>郑燕</w:t>
      </w:r>
    </w:p>
    <w:p>
      <w:pPr>
        <w:pStyle w:val="null3"/>
        <w:ind w:firstLine="480"/>
      </w:pPr>
      <w:r>
        <w:rPr/>
        <w:t xml:space="preserve"> 电话：</w:t>
      </w:r>
      <w:r>
        <w:rPr/>
        <w:t>020-83186835/020-83187191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货物类项目，中小企业划分标准所属行业为：工业。供应商所投货物如均由中小企业生产且使用该中小企业商号或者注册商标，则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注：中小企业应符合本项目主要标的对应的行业（工业）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1"/>
        </w:rPr>
        <w:t>2024</w:t>
      </w:r>
      <w:r>
        <w:rPr>
          <w:sz w:val="21"/>
        </w:rPr>
        <w:t>〕</w:t>
      </w:r>
      <w:r>
        <w:rPr>
          <w:sz w:val="21"/>
        </w:rPr>
        <w:t>11</w:t>
      </w:r>
      <w:r>
        <w:rPr>
          <w:sz w:val="21"/>
        </w:rPr>
        <w:t>号）的规定，供应商可登录</w:t>
      </w:r>
      <w:r>
        <w:rPr>
          <w:sz w:val="21"/>
        </w:rPr>
        <w:t>https://gdgpo.czt.gd.gov.cn/freecms/site/guangdong/tz/info/2024/15000058.html</w:t>
      </w:r>
      <w:r>
        <w:rPr>
          <w:sz w:val="21"/>
        </w:rPr>
        <w:t>查阅。</w:t>
      </w:r>
    </w:p>
    <w:p>
      <w:pPr>
        <w:pStyle w:val="null3"/>
        <w:ind w:firstLine="420"/>
      </w:pPr>
      <w:r>
        <w:rPr>
          <w:sz w:val="21"/>
        </w:rPr>
        <w:t xml:space="preserve">5.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6</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7</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8.</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 xml:space="preserve">9. </w:t>
      </w:r>
      <w:r>
        <w:rPr>
          <w:sz w:val="21"/>
        </w:rPr>
        <w:t>（</w:t>
      </w:r>
      <w:r>
        <w:rPr>
          <w:sz w:val="21"/>
        </w:rPr>
        <w:t>1</w:t>
      </w:r>
      <w:r>
        <w:rPr>
          <w:sz w:val="21"/>
        </w:rPr>
        <w:t>）如投标人所投设备为三类医疗器械（以医疗器械注册证为准）：</w:t>
      </w:r>
    </w:p>
    <w:p>
      <w:pPr>
        <w:pStyle w:val="null3"/>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pPr>
      <w:r>
        <w:rPr>
          <w:sz w:val="21"/>
        </w:rPr>
        <w:t>（</w:t>
      </w:r>
      <w:r>
        <w:rPr>
          <w:sz w:val="21"/>
        </w:rPr>
        <w:t>2</w:t>
      </w:r>
      <w:r>
        <w:rPr>
          <w:sz w:val="21"/>
        </w:rPr>
        <w:t>）如投标人所投设备为二类医疗器械（以医疗器械注册证为准）：</w:t>
      </w:r>
    </w:p>
    <w:p>
      <w:pPr>
        <w:pStyle w:val="null3"/>
      </w:pP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0"/>
        </w:rPr>
        <w:t>★</w:t>
      </w:r>
      <w:r>
        <w:rPr>
          <w:sz w:val="20"/>
        </w:rPr>
        <w:t>10.</w:t>
      </w:r>
      <w:r>
        <w:rPr>
          <w:sz w:val="20"/>
        </w:rPr>
        <w:t>供应商所投产品应提供监督管理部门颁发的处于有效期内的《中华人民共和国医疗器械注册证》复印件</w:t>
      </w:r>
      <w:r>
        <w:rPr>
          <w:sz w:val="21"/>
        </w:rPr>
        <w:t>。</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医用内窥镜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腹腔镜系统（</w:t>
            </w:r>
            <w:r>
              <w:rPr>
                <w:sz w:val="20"/>
              </w:rPr>
              <w:t>3D)</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台</w:t>
            </w:r>
            <w:r>
              <w:rPr>
                <w:sz w:val="20"/>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150</w:t>
            </w:r>
            <w:r>
              <w:rPr>
                <w:sz w:val="20"/>
              </w:rPr>
              <w:t>（万元）</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注：核心产品不包含材料及配件。</w:t>
      </w:r>
    </w:p>
    <w:p>
      <w:pPr>
        <w:pStyle w:val="null3"/>
      </w:pPr>
      <w:r>
        <w:rPr>
          <w:sz w:val="21"/>
        </w:rPr>
        <w:t>二、主要商务要求</w:t>
      </w:r>
    </w:p>
    <w:p>
      <w:pPr>
        <w:pStyle w:val="null3"/>
        <w:jc w:val="both"/>
      </w:pPr>
      <w:r>
        <w:rPr>
          <w:sz w:val="21"/>
        </w:rPr>
        <w:t>（一）供货要求</w:t>
      </w:r>
    </w:p>
    <w:p>
      <w:pPr>
        <w:pStyle w:val="null3"/>
        <w:jc w:val="both"/>
      </w:pPr>
      <w:r>
        <w:rPr>
          <w:sz w:val="21"/>
        </w:rPr>
        <w:t>1</w:t>
      </w:r>
      <w:r>
        <w:rPr>
          <w:sz w:val="21"/>
        </w:rPr>
        <w:t>、交付时间（期限）：合同签订之日起 30 日（日历日）内。</w:t>
      </w:r>
    </w:p>
    <w:p>
      <w:pPr>
        <w:pStyle w:val="null3"/>
        <w:jc w:val="both"/>
      </w:pPr>
      <w:r>
        <w:rPr>
          <w:sz w:val="21"/>
        </w:rPr>
        <w:t>2</w:t>
      </w:r>
      <w:r>
        <w:rPr>
          <w:sz w:val="21"/>
        </w:rPr>
        <w:t>、交付地点（范围）：汕头大学医学院第一附属医院</w:t>
      </w:r>
    </w:p>
    <w:p>
      <w:pPr>
        <w:pStyle w:val="null3"/>
        <w:jc w:val="both"/>
      </w:pPr>
      <w:r>
        <w:rPr>
          <w:sz w:val="21"/>
        </w:rPr>
        <w:t>3</w:t>
      </w:r>
      <w:r>
        <w:rPr>
          <w:sz w:val="21"/>
        </w:rPr>
        <w:t>、交付内容：（1）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2）所有文档资料：交货时，应完整地提供全套技术及质量资料，包括但不限于设备使用手册、安装及维修手册、系统软件及软件备份、故障代码表、备件及必备的零部件清单、维修密码等，以保证我院能够正确进行操作、检查、维护、维修、测试、调试、等运行过程中的全部内容。</w:t>
      </w:r>
    </w:p>
    <w:p>
      <w:pPr>
        <w:pStyle w:val="null3"/>
        <w:jc w:val="both"/>
      </w:pPr>
      <w:r>
        <w:rPr>
          <w:sz w:val="21"/>
        </w:rPr>
        <w:t>（3）未按要求提供技术资料的，使用单位有权延迟验收及付款，直至补齐全部技术资料。提供技术资料的全部费用已包含在投标总价中。</w:t>
      </w:r>
    </w:p>
    <w:p>
      <w:pPr>
        <w:pStyle w:val="null3"/>
        <w:jc w:val="both"/>
      </w:pPr>
      <w:r>
        <w:rPr>
          <w:sz w:val="21"/>
        </w:rPr>
        <w:t>4</w:t>
      </w:r>
      <w:r>
        <w:rPr>
          <w:sz w:val="21"/>
        </w:rPr>
        <w:t>、包装和运输要求：包装箱应用坚固的材料制造，适用长途运输、防潮、防锈、防震、防粗暴装卸，适于空运和整体吊装，并注明起吊位置，起吊重量及重心位置。</w:t>
      </w:r>
    </w:p>
    <w:p>
      <w:pPr>
        <w:pStyle w:val="null3"/>
        <w:jc w:val="both"/>
      </w:pPr>
      <w:r>
        <w:rPr>
          <w:sz w:val="21"/>
        </w:rPr>
        <w:t>5</w:t>
      </w:r>
      <w:r>
        <w:rPr>
          <w:sz w:val="21"/>
        </w:rPr>
        <w:t>、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已包含在投标总价中。同时承担运输全程的所有风险，直至设备安全送达并经使用单位初步检验合格。</w:t>
      </w:r>
    </w:p>
    <w:p>
      <w:pPr>
        <w:pStyle w:val="null3"/>
        <w:jc w:val="both"/>
      </w:pPr>
      <w:r>
        <w:rPr>
          <w:sz w:val="21"/>
        </w:rPr>
        <w:t>6</w:t>
      </w:r>
      <w:r>
        <w:rPr>
          <w:sz w:val="21"/>
        </w:rPr>
        <w:t>、到货检验：要求国产产品的生产日期为交货前的三个月之内，货物到达指定地点后，使用单位将组织相关人员进行初步检验，核对货物的数量、型号、规格等是否与合同约定一致。如发现货物存在短缺、损坏或与合同不符等情况，使用单位有权拒绝接收，并要求供应商及时更换或补发。</w:t>
      </w:r>
    </w:p>
    <w:p>
      <w:pPr>
        <w:pStyle w:val="null3"/>
        <w:jc w:val="both"/>
      </w:pPr>
      <w:r>
        <w:rPr>
          <w:sz w:val="21"/>
        </w:rPr>
        <w:t>7</w:t>
      </w:r>
      <w:r>
        <w:rPr>
          <w:sz w:val="21"/>
        </w:rPr>
        <w:t>、交付清单：供应商在交付时应提供详细的交付清单，包括货物名称、型号、数量、序列号、生产日期等信息，并由双方代表签字确认。</w:t>
      </w:r>
    </w:p>
    <w:p>
      <w:pPr>
        <w:pStyle w:val="null3"/>
        <w:jc w:val="both"/>
      </w:pPr>
      <w:r>
        <w:rPr>
          <w:sz w:val="21"/>
        </w:rPr>
        <w:t>8</w:t>
      </w:r>
      <w:r>
        <w:rPr>
          <w:sz w:val="21"/>
        </w:rPr>
        <w:t>、安装调试要求：</w:t>
      </w:r>
    </w:p>
    <w:p>
      <w:pPr>
        <w:pStyle w:val="null3"/>
        <w:jc w:val="both"/>
      </w:pPr>
      <w:r>
        <w:rPr>
          <w:sz w:val="21"/>
        </w:rPr>
        <w:t>（1）中标供应商必须按项目进度安排计划，派出专业的技术人员到安装现场负责安装和调试工作。在安装施工期间，严格遵守采购人的有关规定。</w:t>
      </w:r>
    </w:p>
    <w:p>
      <w:pPr>
        <w:pStyle w:val="null3"/>
        <w:jc w:val="both"/>
      </w:pPr>
      <w:r>
        <w:rPr>
          <w:sz w:val="21"/>
        </w:rPr>
        <w:t>（2）中标供应商必须依照项目采购文件的要求和投标文件的承诺，将设备、系统安装并调试至正常运行的最佳状态。</w:t>
      </w:r>
    </w:p>
    <w:p>
      <w:pPr>
        <w:pStyle w:val="null3"/>
        <w:jc w:val="both"/>
      </w:pPr>
      <w:r>
        <w:rPr>
          <w:sz w:val="21"/>
        </w:rPr>
        <w:t>（二）培训、保修期及售后服务要求</w:t>
      </w:r>
    </w:p>
    <w:p>
      <w:pPr>
        <w:pStyle w:val="null3"/>
      </w:pPr>
      <w:r>
        <w:rPr>
          <w:sz w:val="21"/>
          <w:b/>
        </w:rPr>
        <w:t>1.培训要求</w:t>
      </w:r>
    </w:p>
    <w:p>
      <w:pPr>
        <w:pStyle w:val="null3"/>
        <w:jc w:val="both"/>
      </w:pPr>
      <w:r>
        <w:rPr>
          <w:sz w:val="21"/>
        </w:rPr>
        <w:t>（1）中标人负责采购人使用人员的使用操作技术及维护技术的培训，并随时提供开箱验货、安装、调试或维修等服务。</w:t>
      </w:r>
    </w:p>
    <w:p>
      <w:pPr>
        <w:pStyle w:val="null3"/>
        <w:jc w:val="both"/>
      </w:pPr>
      <w:r>
        <w:rPr>
          <w:sz w:val="21"/>
        </w:rPr>
        <w:t>（2）中标人应提供完整的培训计划和方案，列明培训人员数量、达到的水平等，培训内容包括设备的操作、日常维修、简单故障的识别及排除等。培训所需全部费用均由中标人支付。</w:t>
      </w:r>
    </w:p>
    <w:p>
      <w:pPr>
        <w:pStyle w:val="null3"/>
        <w:jc w:val="both"/>
      </w:pPr>
      <w:r>
        <w:rPr>
          <w:sz w:val="21"/>
        </w:rPr>
        <w:t>（3）中标人除按设备售后规定，负责培训设备操作人员，还应当培训1-2名负责此设备维护、维修的工程师。</w:t>
      </w:r>
    </w:p>
    <w:p>
      <w:pPr>
        <w:pStyle w:val="null3"/>
        <w:jc w:val="both"/>
      </w:pPr>
      <w:r>
        <w:rPr>
          <w:sz w:val="21"/>
          <w:b/>
        </w:rPr>
        <w:t>2.</w:t>
      </w:r>
      <w:r>
        <w:rPr>
          <w:sz w:val="21"/>
          <w:b/>
        </w:rPr>
        <w:t>保修期及售后服务要求</w:t>
      </w:r>
    </w:p>
    <w:p>
      <w:pPr>
        <w:pStyle w:val="null3"/>
        <w:jc w:val="both"/>
      </w:pPr>
      <w:r>
        <w:rPr>
          <w:sz w:val="21"/>
        </w:rPr>
        <w:t xml:space="preserve">（1）本合同的保修期（简称“保修期”）为 </w:t>
      </w:r>
      <w:r>
        <w:rPr>
          <w:sz w:val="21"/>
          <w:b/>
        </w:rPr>
        <w:t>5</w:t>
      </w:r>
      <w:r>
        <w:rPr>
          <w:sz w:val="21"/>
        </w:rPr>
        <w:t xml:space="preserve"> 年，自双方代表在货物安装调试验收后的验收书上签字之日起计算。保修期内中标人负责提供设备的三包（包修、包换、包退）服务，可随时上门提供维护、保修、技术支持等服务并登记。</w:t>
      </w:r>
    </w:p>
    <w:p>
      <w:pPr>
        <w:pStyle w:val="null3"/>
        <w:jc w:val="both"/>
      </w:pPr>
      <w:r>
        <w:rPr>
          <w:sz w:val="21"/>
        </w:rPr>
        <w:t>（2）自验收合格之日起一个月内，采购人所购设备各部件发生非人为损坏，中标人应在48小时内给予无条件更换。自验收合格之日起一年内，如同一设备部件一个月内累计2次出现同一问题，中标人必须在48小时内无条件更换该设备部件，不得加收其它任何费用。</w:t>
      </w:r>
    </w:p>
    <w:p>
      <w:pPr>
        <w:pStyle w:val="null3"/>
        <w:jc w:val="both"/>
      </w:pPr>
      <w:r>
        <w:rPr>
          <w:sz w:val="21"/>
        </w:rPr>
        <w:t>（3）保修期内，货物各部件发生非人为故障的，中标人应在48小时内无条件上门更换同种品牌规格型号的新部件，产生的所有费用均由中标人承担；货物发生人为故障的，中标人应上门更换同种品牌规格型号的新部件，只收零配件成本价格，不得加收其它任何费用。</w:t>
      </w:r>
    </w:p>
    <w:p>
      <w:pPr>
        <w:pStyle w:val="null3"/>
        <w:jc w:val="both"/>
      </w:pPr>
      <w:r>
        <w:rPr>
          <w:sz w:val="21"/>
        </w:rPr>
        <w:t>（4）保修期内，中标人无条件提供7×24小时技术支持，无条件提供电话技术指导和咨询服务。</w:t>
      </w:r>
    </w:p>
    <w:p>
      <w:pPr>
        <w:pStyle w:val="null3"/>
        <w:jc w:val="both"/>
      </w:pPr>
      <w:r>
        <w:rPr>
          <w:sz w:val="21"/>
        </w:rPr>
        <w:t>（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Pr>
        <w:pStyle w:val="null3"/>
        <w:jc w:val="both"/>
      </w:pPr>
      <w:r>
        <w:rPr>
          <w:sz w:val="21"/>
        </w:rPr>
        <w:t>（6）保修期内，如设备或零部件因非人为因素出现故障而造成短期停用时，则保修期相应顺延。如停用时间累计超过60天则保修期重新计算。</w:t>
      </w:r>
    </w:p>
    <w:p>
      <w:pPr>
        <w:pStyle w:val="null3"/>
        <w:jc w:val="both"/>
      </w:pPr>
      <w:r>
        <w:rPr>
          <w:sz w:val="21"/>
        </w:rPr>
        <w:t>（7）在保修期内，如货品非因采购人的人为原因而出现的问题由中标人负责保修、包换或包退，并承担修理、调换或退货的实际费用。</w:t>
      </w:r>
    </w:p>
    <w:p>
      <w:pPr>
        <w:pStyle w:val="null3"/>
        <w:jc w:val="both"/>
      </w:pPr>
      <w:r>
        <w:rPr>
          <w:sz w:val="21"/>
        </w:rPr>
        <w:t>（8）中标人负责对其提供的货物整机进行维修和系统维护，不再收取任何费用，但非中标人责任的人为因素、自然因素（如火灾、雷击等）造成的故障除外。</w:t>
      </w:r>
    </w:p>
    <w:p>
      <w:pPr>
        <w:pStyle w:val="null3"/>
        <w:jc w:val="both"/>
      </w:pPr>
      <w:r>
        <w:rPr>
          <w:sz w:val="21"/>
        </w:rPr>
        <w:t>（9）对采购人的服务通知，中标人在接报后 2 小时内响应， 4 小时内到达现场。若到场当天未能修复，中标人须提供同一档次同规格的设备予采购人临时使用并负责所有因设备质量问题而产生的费用，直至故障设备修复。中标人售后服务人员定期回访，每三个月至少进行一次保养维护和登记。</w:t>
      </w:r>
    </w:p>
    <w:p>
      <w:pPr>
        <w:pStyle w:val="null3"/>
        <w:jc w:val="both"/>
      </w:pPr>
      <w:r>
        <w:rPr>
          <w:sz w:val="21"/>
        </w:rPr>
        <w:t xml:space="preserve">（10） 保修期间，同一硬件一个月内连续2次出现同一故障，中标人须无条件更换同一档次货物。                          </w:t>
      </w:r>
    </w:p>
    <w:p>
      <w:pPr>
        <w:pStyle w:val="null3"/>
        <w:jc w:val="both"/>
      </w:pPr>
      <w:r>
        <w:rPr>
          <w:sz w:val="21"/>
        </w:rPr>
        <w:t>（11）提供终身安全性升级服务，费用包含在投标总价之中。</w:t>
      </w:r>
    </w:p>
    <w:p>
      <w:pPr>
        <w:pStyle w:val="null3"/>
        <w:jc w:val="both"/>
      </w:pPr>
      <w:r>
        <w:rPr>
          <w:sz w:val="21"/>
        </w:rPr>
        <w:t>（12）如该设备需要联接相关信息系统，中标人必须协调设备厂家配合信息系统提供方，联接调试好信息系统，并负责支付相关费用。</w:t>
      </w:r>
    </w:p>
    <w:p>
      <w:pPr>
        <w:pStyle w:val="null3"/>
        <w:jc w:val="both"/>
      </w:pPr>
      <w:r>
        <w:rPr>
          <w:sz w:val="21"/>
        </w:rPr>
        <w:t>（13）在设备更换过程中若电缆需要更换，费用已包含在投标总价之中，由中标人一并承担。</w:t>
      </w:r>
    </w:p>
    <w:p>
      <w:pPr>
        <w:pStyle w:val="null3"/>
        <w:jc w:val="both"/>
      </w:pPr>
      <w:r>
        <w:rPr>
          <w:sz w:val="21"/>
        </w:rPr>
        <w:t>（14）设备安装过程中防护设施的修复以及安装室内空间重新装饰，相关人员安排及所需费用全部已包含在投标总价之中，由中标人负责。</w:t>
      </w:r>
    </w:p>
    <w:p>
      <w:pPr>
        <w:pStyle w:val="null3"/>
        <w:jc w:val="both"/>
      </w:pPr>
      <w:r>
        <w:rPr>
          <w:sz w:val="21"/>
        </w:rPr>
        <w:t>（三）验收要求</w:t>
      </w:r>
    </w:p>
    <w:p>
      <w:pPr>
        <w:pStyle w:val="null3"/>
        <w:jc w:val="both"/>
      </w:pPr>
      <w:r>
        <w:rPr>
          <w:sz w:val="21"/>
        </w:rPr>
        <w:t>1</w:t>
      </w:r>
      <w:r>
        <w:rPr>
          <w:sz w:val="21"/>
        </w:rPr>
        <w:t>、 采购人按照采购合同规定的技术、服务、安全标准组织对中标供应商履约情况进行验收，并出具验收书。验收书应当包括每一项技术、服务、安全标准的履约情况。</w:t>
      </w:r>
    </w:p>
    <w:p>
      <w:pPr>
        <w:pStyle w:val="null3"/>
        <w:jc w:val="both"/>
      </w:pPr>
      <w:r>
        <w:rPr>
          <w:sz w:val="21"/>
        </w:rPr>
        <w:t>2</w:t>
      </w:r>
      <w:r>
        <w:rPr>
          <w:sz w:val="21"/>
        </w:rPr>
        <w:t>、 交付验收标准依次序对照适用标准为：①符合中华人民共和国“国家安全质量标准、环保标准或行业标准”；②符合项目采购文件和投标承诺中采购人认可的合理最佳配置、参数及各项要求；③货物来源国官方标准。</w:t>
      </w:r>
    </w:p>
    <w:p>
      <w:pPr>
        <w:pStyle w:val="null3"/>
        <w:jc w:val="both"/>
      </w:pPr>
      <w:r>
        <w:rPr>
          <w:sz w:val="21"/>
        </w:rPr>
        <w:t>3</w:t>
      </w:r>
      <w:r>
        <w:rPr>
          <w:sz w:val="21"/>
        </w:rPr>
        <w:t>、 货物为原厂商未启封全新包装，具有出厂合格证，序列号、包装箱号与出厂批号一致，并可追溯查阅。所有随设备的附件必须齐全。</w:t>
      </w:r>
    </w:p>
    <w:p>
      <w:pPr>
        <w:pStyle w:val="null3"/>
        <w:jc w:val="both"/>
      </w:pPr>
      <w:r>
        <w:rPr>
          <w:sz w:val="21"/>
        </w:rPr>
        <w:t>4</w:t>
      </w:r>
      <w:r>
        <w:rPr>
          <w:sz w:val="21"/>
        </w:rPr>
        <w:t>、 中标供应商将货物的用户手册、保修手册、有关单证资料及备品备件、随机工具等交付给采购人，使用操作及安全须知等重要资料应附有中文说明。</w:t>
      </w:r>
    </w:p>
    <w:p>
      <w:pPr>
        <w:pStyle w:val="null3"/>
        <w:jc w:val="both"/>
      </w:pPr>
      <w:r>
        <w:rPr>
          <w:sz w:val="21"/>
        </w:rPr>
        <w:t>5</w:t>
      </w:r>
      <w:r>
        <w:rPr>
          <w:sz w:val="21"/>
        </w:rPr>
        <w:t>、 货物验收所发生的检验费用由中标供应商负担。</w:t>
      </w:r>
    </w:p>
    <w:p>
      <w:pPr>
        <w:pStyle w:val="null3"/>
        <w:jc w:val="both"/>
      </w:pPr>
      <w:r>
        <w:rPr>
          <w:sz w:val="21"/>
        </w:rPr>
        <w:t>6</w:t>
      </w:r>
      <w:r>
        <w:rPr>
          <w:sz w:val="21"/>
        </w:rPr>
        <w:t>、 设备到货并经中标供应商技术人员安装后，采购人有权委托中国有资格的单位对上述设备进行校准或检验，设备校准或检定所需的费用由中标供应商负担。</w:t>
      </w:r>
    </w:p>
    <w:p>
      <w:pPr>
        <w:pStyle w:val="null3"/>
        <w:jc w:val="both"/>
      </w:pPr>
      <w:r>
        <w:rPr>
          <w:sz w:val="21"/>
        </w:rPr>
        <w:t>7</w:t>
      </w:r>
      <w:r>
        <w:rPr>
          <w:sz w:val="21"/>
        </w:rPr>
        <w:t>、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jc w:val="both"/>
      </w:pPr>
      <w:r>
        <w:rPr>
          <w:sz w:val="21"/>
        </w:rPr>
        <w:t>8</w:t>
      </w:r>
      <w:r>
        <w:rPr>
          <w:sz w:val="21"/>
        </w:rPr>
        <w:t>、 当出现不合格产品时，中标供应商要无条件更换合格产品。除采购人认可，否则不接受任何形式的降格处理。</w:t>
      </w:r>
    </w:p>
    <w:p>
      <w:pPr>
        <w:pStyle w:val="null3"/>
      </w:pPr>
      <w:r>
        <w:rPr>
          <w:sz w:val="21"/>
        </w:rPr>
        <w:t>（四）付款方式</w:t>
      </w:r>
    </w:p>
    <w:p>
      <w:pPr>
        <w:pStyle w:val="null3"/>
        <w:ind w:firstLine="420"/>
        <w:jc w:val="both"/>
      </w:pPr>
      <w:r>
        <w:rPr>
          <w:sz w:val="21"/>
        </w:rPr>
        <w:t>合同生效后，自收到完税发票之日起</w:t>
      </w:r>
      <w:r>
        <w:rPr>
          <w:sz w:val="21"/>
        </w:rPr>
        <w:t>10个工作</w:t>
      </w:r>
      <w:r>
        <w:rPr>
          <w:sz w:val="21"/>
        </w:rPr>
        <w:t>日内，支付合同款</w:t>
      </w:r>
      <w:r>
        <w:rPr>
          <w:sz w:val="21"/>
        </w:rPr>
        <w:t>50%</w:t>
      </w:r>
      <w:r>
        <w:rPr>
          <w:sz w:val="21"/>
        </w:rPr>
        <w:t>，项目验收合格，双方签署验收报告后，自收到完税发票之日起</w:t>
      </w:r>
      <w:r>
        <w:rPr>
          <w:sz w:val="21"/>
        </w:rPr>
        <w:t>10个工作</w:t>
      </w:r>
      <w:r>
        <w:rPr>
          <w:sz w:val="21"/>
        </w:rPr>
        <w:t>日内，支付合同款</w:t>
      </w:r>
      <w:r>
        <w:rPr>
          <w:sz w:val="21"/>
        </w:rPr>
        <w:t>50%</w:t>
      </w:r>
      <w:r>
        <w:rPr>
          <w:sz w:val="21"/>
        </w:rPr>
        <w:t>。</w:t>
      </w:r>
    </w:p>
    <w:p>
      <w:pPr>
        <w:pStyle w:val="null3"/>
        <w:ind w:firstLine="420"/>
        <w:jc w:val="both"/>
      </w:pPr>
      <w:r>
        <w:rPr>
          <w:sz w:val="21"/>
        </w:rPr>
        <w:t>收款方、出具发票方、合同乙方均必须一致。如有变更，必须以书面方式通知对方并加盖财务专用章。</w:t>
      </w:r>
    </w:p>
    <w:p>
      <w:pPr>
        <w:pStyle w:val="null3"/>
        <w:jc w:val="both"/>
      </w:pPr>
      <w:r>
        <w:rPr>
          <w:sz w:val="21"/>
        </w:rPr>
        <w:t>支付方式采用银行转账支付。支付程序按法定流程处理。</w:t>
      </w:r>
    </w:p>
    <w:p>
      <w:pPr>
        <w:pStyle w:val="null3"/>
        <w:jc w:val="both"/>
      </w:pPr>
      <w:r>
        <w:rPr>
          <w:sz w:val="21"/>
        </w:rPr>
        <w:t>三、技术要求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w:t>
            </w:r>
            <w:r>
              <w:rPr>
                <w:sz w:val="21"/>
              </w:rPr>
              <w:t>、4K3D摄像主机</w:t>
            </w:r>
          </w:p>
          <w:p>
            <w:pPr>
              <w:pStyle w:val="null3"/>
              <w:ind w:left="420"/>
              <w:jc w:val="both"/>
            </w:pPr>
            <w:r>
              <w:rPr>
                <w:sz w:val="21"/>
              </w:rPr>
              <w:t>▲1.1 具备4K图像处理性能，能够输出3840*2160和4096*2160影像。</w:t>
            </w:r>
          </w:p>
          <w:p>
            <w:pPr>
              <w:pStyle w:val="null3"/>
              <w:ind w:left="420"/>
              <w:jc w:val="both"/>
            </w:pPr>
            <w:r>
              <w:rPr>
                <w:sz w:val="21"/>
              </w:rPr>
              <w:t>▲1.2 具有光谱染色功能，有针对性地对黏膜层血管网进行深度透视。</w:t>
            </w:r>
          </w:p>
          <w:p>
            <w:pPr>
              <w:pStyle w:val="null3"/>
              <w:ind w:left="420"/>
              <w:jc w:val="both"/>
            </w:pPr>
            <w:r>
              <w:rPr>
                <w:sz w:val="21"/>
              </w:rPr>
              <w:t xml:space="preserve">1.3 </w:t>
            </w:r>
            <w:r>
              <w:rPr>
                <w:sz w:val="21"/>
              </w:rPr>
              <w:t>具有细节增强、颜色增强、亮度均匀、去雾优化、HDR等多种智能图像算法。</w:t>
            </w:r>
          </w:p>
          <w:p>
            <w:pPr>
              <w:pStyle w:val="null3"/>
              <w:ind w:left="420"/>
              <w:jc w:val="both"/>
            </w:pPr>
            <w:r>
              <w:rPr>
                <w:sz w:val="21"/>
              </w:rPr>
              <w:t xml:space="preserve">1.4 </w:t>
            </w:r>
            <w:r>
              <w:rPr>
                <w:sz w:val="21"/>
              </w:rPr>
              <w:t>触摸屏尺寸≥7.5英寸。</w:t>
            </w:r>
          </w:p>
          <w:p>
            <w:pPr>
              <w:pStyle w:val="null3"/>
              <w:ind w:left="420"/>
              <w:jc w:val="both"/>
            </w:pPr>
            <w:r>
              <w:rPr>
                <w:sz w:val="21"/>
              </w:rPr>
              <w:t xml:space="preserve">1.5 </w:t>
            </w:r>
            <w:r>
              <w:rPr>
                <w:sz w:val="21"/>
              </w:rPr>
              <w:t>主机自带内置4K刻录功能，具备USB3.0接口。</w:t>
            </w:r>
          </w:p>
          <w:p>
            <w:pPr>
              <w:pStyle w:val="null3"/>
              <w:ind w:left="420"/>
              <w:jc w:val="both"/>
            </w:pPr>
            <w:r>
              <w:rPr>
                <w:sz w:val="21"/>
              </w:rPr>
              <w:t xml:space="preserve">1.6 </w:t>
            </w:r>
            <w:r>
              <w:rPr>
                <w:sz w:val="21"/>
              </w:rPr>
              <w:t>信号输出方式应包括≥1路12G-SDI和≥2路HDMI.</w:t>
            </w:r>
          </w:p>
          <w:p>
            <w:pPr>
              <w:pStyle w:val="null3"/>
              <w:ind w:left="420"/>
              <w:jc w:val="both"/>
            </w:pPr>
            <w:r>
              <w:rPr>
                <w:sz w:val="21"/>
              </w:rPr>
              <w:t xml:space="preserve">1.7 </w:t>
            </w:r>
            <w:r>
              <w:rPr>
                <w:sz w:val="21"/>
              </w:rPr>
              <w:t>具有去网格功能。</w:t>
            </w:r>
          </w:p>
          <w:p>
            <w:pPr>
              <w:pStyle w:val="null3"/>
              <w:ind w:left="420"/>
              <w:jc w:val="both"/>
            </w:pPr>
            <w:r>
              <w:rPr>
                <w:sz w:val="21"/>
              </w:rPr>
              <w:t xml:space="preserve">1.8 </w:t>
            </w:r>
            <w:r>
              <w:rPr>
                <w:sz w:val="21"/>
              </w:rPr>
              <w:t>可处理3D和2D画面信号，分辨率均支持≥3840×2160，逐行扫描；</w:t>
            </w:r>
          </w:p>
          <w:p>
            <w:pPr>
              <w:pStyle w:val="null3"/>
              <w:ind w:left="420"/>
              <w:jc w:val="both"/>
            </w:pPr>
            <w:r>
              <w:rPr>
                <w:sz w:val="21"/>
              </w:rPr>
              <w:t xml:space="preserve">1.9 </w:t>
            </w:r>
            <w:r>
              <w:rPr>
                <w:sz w:val="21"/>
              </w:rPr>
              <w:t>主机可通过HDMI等接口接入超声等外部显示信号源，可同屏同时显示≥2种动态影像。</w:t>
            </w:r>
          </w:p>
          <w:p>
            <w:pPr>
              <w:pStyle w:val="null3"/>
              <w:ind w:left="420"/>
              <w:jc w:val="both"/>
            </w:pPr>
            <w:r>
              <w:rPr>
                <w:sz w:val="21"/>
              </w:rPr>
              <w:t xml:space="preserve">1.10 </w:t>
            </w:r>
            <w:r>
              <w:rPr>
                <w:sz w:val="21"/>
              </w:rPr>
              <w:t>主机防电击类型为I类设备，防电击程度达到CF级。</w:t>
            </w:r>
          </w:p>
          <w:p>
            <w:pPr>
              <w:pStyle w:val="null3"/>
              <w:ind w:left="420"/>
              <w:jc w:val="both"/>
            </w:pPr>
            <w:r>
              <w:rPr>
                <w:sz w:val="21"/>
              </w:rPr>
              <w:t>▲1.11 主机兼容4K白光摄像头、4K荧光摄像头、4K3D电子一体镜。</w:t>
            </w:r>
          </w:p>
          <w:p>
            <w:pPr>
              <w:pStyle w:val="null3"/>
              <w:ind w:left="420"/>
              <w:jc w:val="both"/>
            </w:pPr>
            <w:r>
              <w:rPr>
                <w:sz w:val="21"/>
              </w:rPr>
              <w:t xml:space="preserve">1.12  </w:t>
            </w:r>
            <w:r>
              <w:rPr>
                <w:sz w:val="21"/>
              </w:rPr>
              <w:t>主机使用期限≥10年（需提供产品说明书或设备标签说明）</w:t>
            </w:r>
          </w:p>
          <w:p>
            <w:pPr>
              <w:pStyle w:val="null3"/>
              <w:ind w:left="420"/>
              <w:jc w:val="both"/>
            </w:pPr>
            <w:r>
              <w:rPr>
                <w:sz w:val="21"/>
              </w:rPr>
              <w:t>2</w:t>
            </w:r>
            <w:r>
              <w:rPr>
                <w:sz w:val="21"/>
              </w:rPr>
              <w:t>、4K超高清摄像头</w:t>
            </w:r>
          </w:p>
          <w:p>
            <w:pPr>
              <w:pStyle w:val="null3"/>
              <w:ind w:left="420"/>
              <w:jc w:val="both"/>
            </w:pPr>
            <w:r>
              <w:rPr>
                <w:sz w:val="21"/>
              </w:rPr>
              <w:t xml:space="preserve">2.1 </w:t>
            </w:r>
            <w:r>
              <w:rPr>
                <w:sz w:val="21"/>
              </w:rPr>
              <w:t>摄像头主机防电击类型为I类设备，防电击程度达到CF级。</w:t>
            </w:r>
          </w:p>
          <w:p>
            <w:pPr>
              <w:pStyle w:val="null3"/>
              <w:ind w:left="420"/>
              <w:jc w:val="both"/>
            </w:pPr>
            <w:r>
              <w:rPr>
                <w:sz w:val="21"/>
              </w:rPr>
              <w:t xml:space="preserve">2.2 </w:t>
            </w:r>
            <w:r>
              <w:rPr>
                <w:sz w:val="21"/>
              </w:rPr>
              <w:t>重量≤250g。</w:t>
            </w:r>
          </w:p>
          <w:p>
            <w:pPr>
              <w:pStyle w:val="null3"/>
              <w:ind w:left="420"/>
              <w:jc w:val="both"/>
            </w:pPr>
            <w:r>
              <w:rPr>
                <w:sz w:val="21"/>
              </w:rPr>
              <w:t xml:space="preserve">2.3 </w:t>
            </w:r>
            <w:r>
              <w:rPr>
                <w:sz w:val="21"/>
              </w:rPr>
              <w:t>摄像头防护等级：≥IPX7；可耐受环氧乙烷灭菌和低温等离子灭菌方式</w:t>
            </w:r>
          </w:p>
          <w:p>
            <w:pPr>
              <w:pStyle w:val="null3"/>
              <w:ind w:left="420"/>
              <w:jc w:val="both"/>
            </w:pPr>
            <w:r>
              <w:rPr>
                <w:sz w:val="21"/>
              </w:rPr>
              <w:t xml:space="preserve">2.4 </w:t>
            </w:r>
            <w:r>
              <w:rPr>
                <w:sz w:val="21"/>
              </w:rPr>
              <w:t>具备≥4个摄像头按键，≥3个可自定义，能支持≥6个自定义功能；可进行白平衡、拍照、录像、切换图像模式等功能设置（需提供产品说明书证明）；</w:t>
            </w:r>
          </w:p>
          <w:p>
            <w:pPr>
              <w:pStyle w:val="null3"/>
              <w:ind w:left="420"/>
              <w:jc w:val="both"/>
            </w:pPr>
            <w:r>
              <w:rPr>
                <w:sz w:val="21"/>
              </w:rPr>
              <w:t xml:space="preserve">2.5 </w:t>
            </w:r>
            <w:r>
              <w:rPr>
                <w:sz w:val="21"/>
              </w:rPr>
              <w:t>具有一键对焦功能。</w:t>
            </w:r>
          </w:p>
          <w:p>
            <w:pPr>
              <w:pStyle w:val="null3"/>
              <w:ind w:left="420"/>
              <w:jc w:val="both"/>
            </w:pPr>
            <w:r>
              <w:rPr>
                <w:sz w:val="21"/>
              </w:rPr>
              <w:t>3</w:t>
            </w:r>
            <w:r>
              <w:rPr>
                <w:sz w:val="21"/>
              </w:rPr>
              <w:t>、硬性光学胸腹腔内窥镜</w:t>
            </w:r>
          </w:p>
          <w:p>
            <w:pPr>
              <w:pStyle w:val="null3"/>
              <w:ind w:left="420"/>
              <w:jc w:val="both"/>
            </w:pPr>
            <w:r>
              <w:rPr>
                <w:sz w:val="21"/>
              </w:rPr>
              <w:t xml:space="preserve">3.1 </w:t>
            </w:r>
            <w:r>
              <w:rPr>
                <w:sz w:val="21"/>
              </w:rPr>
              <w:t>支持压力蒸汽灭菌、低温等离子灭菌、环氧乙烷灭菌等消毒灭菌方式；</w:t>
            </w:r>
          </w:p>
          <w:p>
            <w:pPr>
              <w:pStyle w:val="null3"/>
              <w:ind w:left="420"/>
              <w:jc w:val="both"/>
            </w:pPr>
            <w:r>
              <w:rPr>
                <w:sz w:val="21"/>
              </w:rPr>
              <w:t xml:space="preserve">3.2 </w:t>
            </w:r>
            <w:r>
              <w:rPr>
                <w:sz w:val="21"/>
              </w:rPr>
              <w:t>与摄像主机为同一品牌。</w:t>
            </w:r>
          </w:p>
          <w:p>
            <w:pPr>
              <w:pStyle w:val="null3"/>
              <w:ind w:left="420"/>
              <w:jc w:val="both"/>
            </w:pPr>
            <w:r>
              <w:rPr>
                <w:sz w:val="21"/>
              </w:rPr>
              <w:t xml:space="preserve">3.3 </w:t>
            </w:r>
            <w:r>
              <w:rPr>
                <w:sz w:val="21"/>
              </w:rPr>
              <w:t>标配直径10mm镜头，30度视野方向，视野角度≥80°，标准型≥320mm（需提供医疗器械注册证附页的产品技术要求证明）</w:t>
            </w:r>
          </w:p>
          <w:p>
            <w:pPr>
              <w:pStyle w:val="null3"/>
              <w:ind w:left="420"/>
              <w:jc w:val="both"/>
            </w:pPr>
            <w:r>
              <w:rPr>
                <w:sz w:val="21"/>
              </w:rPr>
              <w:t>▲3.4 可选细镜头，外径5mm，允差±0.5mm,30度视野方向，视野角度≥85°，标准型≥300mm，加长型≥450mm（需提供医疗器械注册证附页的产品技术要求证明）；</w:t>
            </w:r>
          </w:p>
          <w:p>
            <w:pPr>
              <w:pStyle w:val="null3"/>
              <w:ind w:left="420"/>
              <w:jc w:val="both"/>
            </w:pPr>
            <w:r>
              <w:rPr>
                <w:sz w:val="21"/>
              </w:rPr>
              <w:t xml:space="preserve">3.5 </w:t>
            </w:r>
            <w:r>
              <w:rPr>
                <w:sz w:val="21"/>
              </w:rPr>
              <w:t>视场中心角分辨率≥7.0C/(°)；</w:t>
            </w:r>
          </w:p>
          <w:p>
            <w:pPr>
              <w:pStyle w:val="null3"/>
              <w:ind w:left="420"/>
              <w:jc w:val="both"/>
            </w:pPr>
            <w:r>
              <w:rPr>
                <w:sz w:val="21"/>
              </w:rPr>
              <w:t>▲3.6 大景深光学视管，有效景深3mm-200mm（需提供医疗器械注册证附页的产品技术要求证明）；</w:t>
            </w:r>
          </w:p>
          <w:p>
            <w:pPr>
              <w:pStyle w:val="null3"/>
              <w:ind w:left="420"/>
              <w:jc w:val="both"/>
            </w:pPr>
            <w:r>
              <w:rPr>
                <w:sz w:val="21"/>
              </w:rPr>
              <w:t>4</w:t>
            </w:r>
            <w:r>
              <w:rPr>
                <w:sz w:val="21"/>
              </w:rPr>
              <w:t>、LED冷光源</w:t>
            </w:r>
          </w:p>
          <w:p>
            <w:pPr>
              <w:pStyle w:val="null3"/>
              <w:ind w:left="420"/>
              <w:jc w:val="both"/>
            </w:pPr>
            <w:r>
              <w:rPr>
                <w:sz w:val="21"/>
              </w:rPr>
              <w:t xml:space="preserve">4.1 </w:t>
            </w:r>
            <w:r>
              <w:rPr>
                <w:sz w:val="21"/>
              </w:rPr>
              <w:t>触摸屏尺寸≥7.5英寸。</w:t>
            </w:r>
          </w:p>
          <w:p>
            <w:pPr>
              <w:pStyle w:val="null3"/>
              <w:ind w:left="420"/>
              <w:jc w:val="both"/>
            </w:pPr>
            <w:r>
              <w:rPr>
                <w:sz w:val="21"/>
              </w:rPr>
              <w:t xml:space="preserve">4.2 </w:t>
            </w:r>
            <w:r>
              <w:rPr>
                <w:sz w:val="21"/>
              </w:rPr>
              <w:t>防电击类型为I类设备，防电击程度达到CF级。</w:t>
            </w:r>
          </w:p>
          <w:p>
            <w:pPr>
              <w:pStyle w:val="null3"/>
              <w:ind w:left="420"/>
              <w:jc w:val="both"/>
            </w:pPr>
            <w:r>
              <w:rPr>
                <w:sz w:val="21"/>
              </w:rPr>
              <w:t xml:space="preserve">4.3 </w:t>
            </w:r>
            <w:r>
              <w:rPr>
                <w:sz w:val="21"/>
              </w:rPr>
              <w:t>白光冷光源的输出总光通量应≥2000lm。</w:t>
            </w:r>
          </w:p>
          <w:p>
            <w:pPr>
              <w:pStyle w:val="null3"/>
              <w:ind w:left="420"/>
              <w:jc w:val="both"/>
            </w:pPr>
            <w:r>
              <w:rPr>
                <w:sz w:val="21"/>
              </w:rPr>
              <w:t>▲4.4 LED灯泡工作寿命≥60000小时。</w:t>
            </w:r>
          </w:p>
          <w:p>
            <w:pPr>
              <w:pStyle w:val="null3"/>
              <w:ind w:left="420"/>
              <w:jc w:val="both"/>
            </w:pPr>
            <w:r>
              <w:rPr>
                <w:sz w:val="21"/>
              </w:rPr>
              <w:t xml:space="preserve">4.5 </w:t>
            </w:r>
            <w:r>
              <w:rPr>
                <w:sz w:val="21"/>
              </w:rPr>
              <w:t>具有主机光源联动功能。</w:t>
            </w:r>
          </w:p>
          <w:p>
            <w:pPr>
              <w:pStyle w:val="null3"/>
              <w:ind w:left="420"/>
              <w:jc w:val="both"/>
            </w:pPr>
            <w:r>
              <w:rPr>
                <w:sz w:val="21"/>
              </w:rPr>
              <w:t xml:space="preserve">4.6 </w:t>
            </w:r>
            <w:r>
              <w:rPr>
                <w:sz w:val="21"/>
              </w:rPr>
              <w:t>具有一键待机功能。</w:t>
            </w:r>
          </w:p>
          <w:p>
            <w:pPr>
              <w:pStyle w:val="null3"/>
              <w:ind w:left="420"/>
              <w:jc w:val="both"/>
            </w:pPr>
            <w:r>
              <w:rPr>
                <w:sz w:val="21"/>
              </w:rPr>
              <w:t xml:space="preserve">4.7 </w:t>
            </w:r>
            <w:r>
              <w:rPr>
                <w:sz w:val="21"/>
              </w:rPr>
              <w:t>冷光源主机使用期限≥10年（需提供产品说明书及设备标签说明）</w:t>
            </w:r>
          </w:p>
          <w:p>
            <w:pPr>
              <w:pStyle w:val="null3"/>
              <w:ind w:left="420"/>
              <w:jc w:val="both"/>
            </w:pPr>
            <w:r>
              <w:rPr>
                <w:sz w:val="21"/>
              </w:rPr>
              <w:t>5</w:t>
            </w:r>
            <w:r>
              <w:rPr>
                <w:sz w:val="21"/>
              </w:rPr>
              <w:t>、50L气腹机</w:t>
            </w:r>
          </w:p>
          <w:p>
            <w:pPr>
              <w:pStyle w:val="null3"/>
              <w:ind w:left="420"/>
              <w:jc w:val="both"/>
            </w:pPr>
            <w:r>
              <w:rPr>
                <w:sz w:val="21"/>
              </w:rPr>
              <w:t>▲5.1 流速≥50升/分钟，流量调节范围0.1-50L/min。</w:t>
            </w:r>
          </w:p>
          <w:p>
            <w:pPr>
              <w:pStyle w:val="null3"/>
              <w:ind w:left="420"/>
              <w:jc w:val="both"/>
            </w:pPr>
            <w:r>
              <w:rPr>
                <w:sz w:val="21"/>
              </w:rPr>
              <w:t xml:space="preserve">5.2 </w:t>
            </w:r>
            <w:r>
              <w:rPr>
                <w:sz w:val="21"/>
              </w:rPr>
              <w:t>压力范围：1mmHg-30mmHg，气压显示准确性±2mmHg；</w:t>
            </w:r>
          </w:p>
          <w:p>
            <w:pPr>
              <w:pStyle w:val="null3"/>
              <w:ind w:left="420"/>
              <w:jc w:val="both"/>
            </w:pPr>
            <w:r>
              <w:rPr>
                <w:sz w:val="21"/>
              </w:rPr>
              <w:t xml:space="preserve">5.3 </w:t>
            </w:r>
            <w:r>
              <w:rPr>
                <w:sz w:val="21"/>
              </w:rPr>
              <w:t>采用触摸屏设计。</w:t>
            </w:r>
          </w:p>
          <w:p>
            <w:pPr>
              <w:pStyle w:val="null3"/>
              <w:ind w:left="420"/>
              <w:jc w:val="both"/>
            </w:pPr>
            <w:r>
              <w:rPr>
                <w:sz w:val="21"/>
              </w:rPr>
              <w:t xml:space="preserve">5.4 </w:t>
            </w:r>
            <w:r>
              <w:rPr>
                <w:sz w:val="21"/>
              </w:rPr>
              <w:t>至少具备少儿模式、成人模式，支持自定义模式。</w:t>
            </w:r>
          </w:p>
          <w:p>
            <w:pPr>
              <w:pStyle w:val="null3"/>
              <w:ind w:left="420"/>
              <w:jc w:val="both"/>
            </w:pPr>
            <w:r>
              <w:rPr>
                <w:sz w:val="21"/>
              </w:rPr>
              <w:t xml:space="preserve">5.5 </w:t>
            </w:r>
            <w:r>
              <w:rPr>
                <w:sz w:val="21"/>
              </w:rPr>
              <w:t>具有排烟功能</w:t>
            </w:r>
          </w:p>
          <w:p>
            <w:pPr>
              <w:pStyle w:val="null3"/>
              <w:ind w:left="420"/>
              <w:jc w:val="both"/>
            </w:pPr>
            <w:r>
              <w:rPr>
                <w:sz w:val="21"/>
              </w:rPr>
              <w:t xml:space="preserve">5.6 </w:t>
            </w:r>
            <w:r>
              <w:rPr>
                <w:sz w:val="21"/>
              </w:rPr>
              <w:t>气腹机末端CO2气体加热功能。</w:t>
            </w:r>
          </w:p>
          <w:p>
            <w:pPr>
              <w:pStyle w:val="null3"/>
              <w:ind w:left="420"/>
              <w:jc w:val="both"/>
            </w:pPr>
            <w:r>
              <w:rPr>
                <w:sz w:val="21"/>
              </w:rPr>
              <w:t xml:space="preserve">5.7  </w:t>
            </w:r>
            <w:r>
              <w:rPr>
                <w:sz w:val="21"/>
              </w:rPr>
              <w:t>防电击类型为I类设备，防电击程度达到CF级。</w:t>
            </w:r>
          </w:p>
          <w:p>
            <w:pPr>
              <w:pStyle w:val="null3"/>
              <w:ind w:left="420"/>
              <w:jc w:val="both"/>
            </w:pPr>
            <w:r>
              <w:rPr>
                <w:sz w:val="21"/>
              </w:rPr>
              <w:t>6</w:t>
            </w:r>
            <w:r>
              <w:rPr>
                <w:sz w:val="21"/>
              </w:rPr>
              <w:t>、4K3D监视器</w:t>
            </w:r>
          </w:p>
          <w:p>
            <w:pPr>
              <w:pStyle w:val="null3"/>
              <w:ind w:left="420"/>
              <w:jc w:val="both"/>
            </w:pPr>
            <w:r>
              <w:rPr>
                <w:sz w:val="21"/>
              </w:rPr>
              <w:t xml:space="preserve">6.1 </w:t>
            </w:r>
            <w:r>
              <w:rPr>
                <w:sz w:val="21"/>
              </w:rPr>
              <w:t>分辨率≥3840*2160，尺寸≥32英寸；</w:t>
            </w:r>
          </w:p>
          <w:p>
            <w:pPr>
              <w:pStyle w:val="null3"/>
              <w:ind w:left="420"/>
              <w:jc w:val="both"/>
            </w:pPr>
            <w:r>
              <w:rPr>
                <w:sz w:val="21"/>
              </w:rPr>
              <w:t xml:space="preserve">6.2 </w:t>
            </w:r>
            <w:r>
              <w:rPr>
                <w:sz w:val="21"/>
              </w:rPr>
              <w:t>支持直接切换3D和2D工作模式</w:t>
            </w:r>
          </w:p>
          <w:p>
            <w:pPr>
              <w:pStyle w:val="null3"/>
              <w:ind w:left="420"/>
              <w:jc w:val="both"/>
            </w:pPr>
            <w:r>
              <w:rPr>
                <w:sz w:val="21"/>
              </w:rPr>
              <w:t xml:space="preserve">6.3 </w:t>
            </w:r>
            <w:r>
              <w:rPr>
                <w:sz w:val="21"/>
              </w:rPr>
              <w:t>支持4K 60Hz显示；</w:t>
            </w:r>
          </w:p>
          <w:p>
            <w:pPr>
              <w:pStyle w:val="null3"/>
              <w:ind w:left="420"/>
              <w:jc w:val="both"/>
            </w:pPr>
            <w:r>
              <w:rPr>
                <w:sz w:val="21"/>
              </w:rPr>
              <w:t xml:space="preserve">6.4 </w:t>
            </w:r>
            <w:r>
              <w:rPr>
                <w:sz w:val="21"/>
              </w:rPr>
              <w:t>具有HDMI或12G-SDI的4K超高清接口</w:t>
            </w:r>
          </w:p>
          <w:p>
            <w:pPr>
              <w:pStyle w:val="null3"/>
              <w:ind w:left="420"/>
              <w:jc w:val="both"/>
            </w:pPr>
            <w:r>
              <w:rPr>
                <w:sz w:val="21"/>
              </w:rPr>
              <w:t xml:space="preserve">6.5 </w:t>
            </w:r>
            <w:r>
              <w:rPr>
                <w:sz w:val="21"/>
              </w:rPr>
              <w:t>具有3G-SDI或DVI的全高清接口</w:t>
            </w:r>
          </w:p>
          <w:p>
            <w:pPr>
              <w:pStyle w:val="null3"/>
              <w:ind w:left="420"/>
              <w:jc w:val="both"/>
            </w:pPr>
            <w:r>
              <w:rPr>
                <w:sz w:val="21"/>
              </w:rPr>
              <w:t xml:space="preserve">6.6 </w:t>
            </w:r>
            <w:r>
              <w:rPr>
                <w:sz w:val="21"/>
              </w:rPr>
              <w:t>可视角度≥176°</w:t>
            </w:r>
          </w:p>
          <w:p>
            <w:pPr>
              <w:pStyle w:val="null3"/>
              <w:ind w:left="420"/>
              <w:jc w:val="both"/>
            </w:pPr>
            <w:r>
              <w:rPr>
                <w:sz w:val="21"/>
              </w:rPr>
              <w:t>7</w:t>
            </w:r>
            <w:r>
              <w:rPr>
                <w:sz w:val="21"/>
              </w:rPr>
              <w:t>、4K3D电子腹腔镜</w:t>
            </w:r>
          </w:p>
          <w:p>
            <w:pPr>
              <w:pStyle w:val="null3"/>
              <w:ind w:left="420"/>
              <w:jc w:val="both"/>
            </w:pPr>
            <w:r>
              <w:rPr>
                <w:sz w:val="21"/>
              </w:rPr>
              <w:t>▲7.1 一体化电子镜，采用双路4K CMOS设计，支持 3840*2160 和4096*2160 像素视频显示。（提供产品说明书或检测报告证明）</w:t>
            </w:r>
          </w:p>
          <w:p>
            <w:pPr>
              <w:pStyle w:val="null3"/>
              <w:ind w:left="420"/>
              <w:jc w:val="both"/>
            </w:pPr>
            <w:r>
              <w:rPr>
                <w:sz w:val="21"/>
              </w:rPr>
              <w:t xml:space="preserve">7.2 </w:t>
            </w:r>
            <w:r>
              <w:rPr>
                <w:sz w:val="21"/>
              </w:rPr>
              <w:t>防电击类型为I类设备，防电击程度达到CF级。</w:t>
            </w:r>
          </w:p>
          <w:p>
            <w:pPr>
              <w:pStyle w:val="null3"/>
              <w:ind w:left="420"/>
              <w:jc w:val="both"/>
            </w:pPr>
            <w:r>
              <w:rPr>
                <w:sz w:val="21"/>
              </w:rPr>
              <w:t xml:space="preserve">7.3 </w:t>
            </w:r>
            <w:r>
              <w:rPr>
                <w:sz w:val="21"/>
              </w:rPr>
              <w:t>具有防除颤保护功能。</w:t>
            </w:r>
          </w:p>
          <w:p>
            <w:pPr>
              <w:pStyle w:val="null3"/>
              <w:ind w:left="420"/>
              <w:jc w:val="both"/>
            </w:pPr>
            <w:r>
              <w:rPr>
                <w:sz w:val="21"/>
              </w:rPr>
              <w:t xml:space="preserve">7.4 </w:t>
            </w:r>
            <w:r>
              <w:rPr>
                <w:sz w:val="21"/>
              </w:rPr>
              <w:t>电子镜前端镜头+握持手柄整体重量≤430g。</w:t>
            </w:r>
          </w:p>
          <w:p>
            <w:pPr>
              <w:pStyle w:val="null3"/>
              <w:ind w:left="420"/>
              <w:jc w:val="both"/>
            </w:pPr>
            <w:r>
              <w:rPr>
                <w:sz w:val="21"/>
              </w:rPr>
              <w:t xml:space="preserve">7.5 </w:t>
            </w:r>
            <w:r>
              <w:rPr>
                <w:sz w:val="21"/>
              </w:rPr>
              <w:t>具有≥3个自定义按键，可设置≥6种快捷功能，可实现白平衡、拍照、录像、一键切换2D/3D模式等功能。</w:t>
            </w:r>
          </w:p>
          <w:p>
            <w:pPr>
              <w:pStyle w:val="null3"/>
              <w:ind w:left="420"/>
              <w:jc w:val="both"/>
            </w:pPr>
            <w:r>
              <w:rPr>
                <w:sz w:val="21"/>
              </w:rPr>
              <w:t xml:space="preserve">7.6  </w:t>
            </w:r>
            <w:r>
              <w:rPr>
                <w:sz w:val="21"/>
              </w:rPr>
              <w:t>直径10mm，30度视向角，工作长度≥320mm。</w:t>
            </w:r>
          </w:p>
          <w:p>
            <w:pPr>
              <w:pStyle w:val="null3"/>
              <w:ind w:left="420"/>
              <w:jc w:val="both"/>
            </w:pPr>
            <w:r>
              <w:rPr>
                <w:sz w:val="21"/>
              </w:rPr>
              <w:t xml:space="preserve">7.7  </w:t>
            </w:r>
            <w:r>
              <w:rPr>
                <w:sz w:val="21"/>
              </w:rPr>
              <w:t>视场角≥80度。</w:t>
            </w:r>
          </w:p>
          <w:p>
            <w:pPr>
              <w:pStyle w:val="null3"/>
              <w:ind w:left="420"/>
              <w:jc w:val="both"/>
            </w:pPr>
            <w:r>
              <w:rPr>
                <w:sz w:val="21"/>
              </w:rPr>
              <w:t xml:space="preserve">7.8 </w:t>
            </w:r>
            <w:r>
              <w:rPr>
                <w:sz w:val="21"/>
              </w:rPr>
              <w:t>电子镜防水防尘等级≥IPX7，整镜支持高温高压、低温等离子、环氧乙烷灭菌方式。（提供产品说明书或检测报告证明）</w:t>
            </w:r>
          </w:p>
          <w:p>
            <w:pPr>
              <w:pStyle w:val="null3"/>
              <w:ind w:left="420"/>
              <w:jc w:val="both"/>
            </w:pPr>
            <w:r>
              <w:rPr>
                <w:sz w:val="21"/>
              </w:rPr>
              <w:t>▲7.9 支持3D/2D旋转手柄图像自动回正功能。（提供产品说明书或检测报告证明）</w:t>
            </w:r>
          </w:p>
          <w:p>
            <w:pPr>
              <w:pStyle w:val="null3"/>
              <w:ind w:left="420"/>
              <w:jc w:val="both"/>
            </w:pPr>
            <w:r>
              <w:rPr>
                <w:sz w:val="21"/>
              </w:rPr>
              <w:t xml:space="preserve">7.10 </w:t>
            </w:r>
            <w:r>
              <w:rPr>
                <w:sz w:val="21"/>
              </w:rPr>
              <w:t>免对焦设计。</w:t>
            </w:r>
          </w:p>
          <w:p>
            <w:pPr>
              <w:pStyle w:val="null3"/>
              <w:ind w:left="420"/>
              <w:jc w:val="both"/>
            </w:pPr>
            <w:r>
              <w:rPr>
                <w:sz w:val="21"/>
              </w:rPr>
              <w:t xml:space="preserve">7.11 </w:t>
            </w:r>
            <w:r>
              <w:rPr>
                <w:sz w:val="21"/>
              </w:rPr>
              <w:t>具有主动防雾功能。</w:t>
            </w:r>
          </w:p>
          <w:p>
            <w:pPr>
              <w:pStyle w:val="null3"/>
              <w:ind w:left="420"/>
              <w:jc w:val="both"/>
            </w:pPr>
            <w:r>
              <w:rPr>
                <w:sz w:val="21"/>
              </w:rPr>
              <w:t>▲7.12 电子镜景深范围3-200mm。（提供产品说明书或检测报告证明）</w:t>
            </w:r>
          </w:p>
          <w:p>
            <w:pPr>
              <w:pStyle w:val="null3"/>
              <w:ind w:left="420"/>
              <w:jc w:val="both"/>
            </w:pPr>
            <w:r>
              <w:rPr>
                <w:sz w:val="21"/>
              </w:rPr>
              <w:t xml:space="preserve">7.13  </w:t>
            </w:r>
            <w:r>
              <w:rPr>
                <w:sz w:val="21"/>
              </w:rPr>
              <w:t>视场中心角分辨力≥8.0C/(°)。</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四、配置清单</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配置清单：</w:t>
            </w:r>
          </w:p>
          <w:p>
            <w:pPr>
              <w:pStyle w:val="null3"/>
              <w:jc w:val="both"/>
            </w:pPr>
            <w:r>
              <w:rPr>
                <w:sz w:val="21"/>
              </w:rPr>
              <w:t>4K3D</w:t>
            </w:r>
            <w:r>
              <w:rPr>
                <w:sz w:val="21"/>
              </w:rPr>
              <w:t>内窥镜摄像主机（含配套软件）    1   台</w:t>
            </w:r>
          </w:p>
          <w:p>
            <w:pPr>
              <w:pStyle w:val="null3"/>
              <w:jc w:val="both"/>
            </w:pPr>
            <w:r>
              <w:rPr>
                <w:sz w:val="21"/>
              </w:rPr>
              <w:t>医用内窥镜冷光源（含配套软件）  1   台</w:t>
            </w:r>
          </w:p>
          <w:p>
            <w:pPr>
              <w:pStyle w:val="null3"/>
              <w:jc w:val="both"/>
            </w:pPr>
            <w:r>
              <w:rPr>
                <w:sz w:val="21"/>
              </w:rPr>
              <w:t>导光束    3  根</w:t>
            </w:r>
          </w:p>
          <w:p>
            <w:pPr>
              <w:pStyle w:val="null3"/>
              <w:jc w:val="both"/>
            </w:pPr>
            <w:r>
              <w:rPr>
                <w:sz w:val="21"/>
              </w:rPr>
              <w:t>4K3D</w:t>
            </w:r>
            <w:r>
              <w:rPr>
                <w:sz w:val="21"/>
              </w:rPr>
              <w:t>医用监视器  2台</w:t>
            </w:r>
          </w:p>
          <w:p>
            <w:pPr>
              <w:pStyle w:val="null3"/>
              <w:jc w:val="both"/>
            </w:pPr>
            <w:r>
              <w:rPr>
                <w:sz w:val="21"/>
              </w:rPr>
              <w:t>4K</w:t>
            </w:r>
            <w:r>
              <w:rPr>
                <w:sz w:val="21"/>
              </w:rPr>
              <w:t>摄像头    1   个</w:t>
            </w:r>
          </w:p>
          <w:p>
            <w:pPr>
              <w:pStyle w:val="null3"/>
              <w:jc w:val="both"/>
            </w:pPr>
            <w:r>
              <w:rPr>
                <w:sz w:val="21"/>
              </w:rPr>
              <w:t>4K</w:t>
            </w:r>
            <w:r>
              <w:rPr>
                <w:sz w:val="21"/>
              </w:rPr>
              <w:t>腹腔镜    3   根</w:t>
            </w:r>
          </w:p>
          <w:p>
            <w:pPr>
              <w:pStyle w:val="null3"/>
              <w:jc w:val="both"/>
            </w:pPr>
            <w:r>
              <w:rPr>
                <w:sz w:val="21"/>
              </w:rPr>
              <w:t>4K3D</w:t>
            </w:r>
            <w:r>
              <w:rPr>
                <w:sz w:val="21"/>
              </w:rPr>
              <w:t>电子镜  2根</w:t>
            </w:r>
          </w:p>
          <w:p>
            <w:pPr>
              <w:pStyle w:val="null3"/>
              <w:jc w:val="both"/>
            </w:pPr>
            <w:r>
              <w:rPr>
                <w:sz w:val="21"/>
              </w:rPr>
              <w:t>气腹机（含配套软件）    1   台</w:t>
            </w:r>
          </w:p>
          <w:p>
            <w:pPr>
              <w:pStyle w:val="null3"/>
              <w:jc w:val="both"/>
            </w:pPr>
            <w:r>
              <w:rPr>
                <w:sz w:val="21"/>
              </w:rPr>
              <w:t>中央供气连接管  1   根</w:t>
            </w:r>
          </w:p>
          <w:p>
            <w:pPr>
              <w:pStyle w:val="null3"/>
              <w:jc w:val="both"/>
            </w:pPr>
            <w:r>
              <w:rPr>
                <w:sz w:val="21"/>
              </w:rPr>
              <w:t>台车    1台</w:t>
            </w:r>
          </w:p>
          <w:p>
            <w:pPr>
              <w:pStyle w:val="null3"/>
              <w:jc w:val="both"/>
            </w:pPr>
            <w:r>
              <w:rPr>
                <w:sz w:val="21"/>
              </w:rPr>
              <w:t>腹腔镜消毒盒      3个</w:t>
            </w:r>
          </w:p>
          <w:p>
            <w:pPr>
              <w:pStyle w:val="null3"/>
              <w:jc w:val="both"/>
            </w:pPr>
            <w:r>
              <w:rPr>
                <w:sz w:val="21"/>
              </w:rPr>
              <w:t>持针器（5mm，合金） 3   支</w:t>
            </w:r>
          </w:p>
          <w:p>
            <w:pPr>
              <w:pStyle w:val="null3"/>
              <w:jc w:val="both"/>
            </w:pPr>
            <w:r>
              <w:rPr>
                <w:sz w:val="21"/>
              </w:rPr>
              <w:t>分离钳（5mm，合金） 3   支</w:t>
            </w:r>
          </w:p>
          <w:p>
            <w:pPr>
              <w:pStyle w:val="null3"/>
              <w:jc w:val="both"/>
            </w:pPr>
            <w:r>
              <w:rPr>
                <w:sz w:val="21"/>
              </w:rPr>
              <w:t>吸引器（5mm，合金） 3   支</w:t>
            </w:r>
          </w:p>
          <w:p>
            <w:pPr>
              <w:pStyle w:val="null3"/>
              <w:jc w:val="both"/>
            </w:pPr>
            <w:r>
              <w:rPr>
                <w:sz w:val="21"/>
              </w:rPr>
              <w:t>3D</w:t>
            </w:r>
            <w:r>
              <w:rPr>
                <w:sz w:val="21"/>
              </w:rPr>
              <w:t>眼镜     10   副</w:t>
            </w:r>
          </w:p>
          <w:p>
            <w:pPr>
              <w:pStyle w:val="null3"/>
              <w:jc w:val="both"/>
            </w:pPr>
            <w:r>
              <w:rPr>
                <w:sz w:val="21"/>
              </w:rPr>
              <w:t>3D</w:t>
            </w:r>
            <w:r>
              <w:rPr>
                <w:sz w:val="21"/>
              </w:rPr>
              <w:t>眼镜（夹片式）    10  副</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五、其他要求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在设备安装所在在配备厂家售后人员至少一名，响应采购人的售后需求。</w:t>
            </w:r>
          </w:p>
        </w:tc>
      </w:tr>
    </w:tbl>
    <w:p>
      <w:pPr>
        <w:pStyle w:val="null3"/>
        <w:ind w:firstLine="420"/>
      </w:pPr>
      <w:r>
        <w:rPr>
          <w:sz w:val="24"/>
          <w:b/>
        </w:rPr>
        <w:t>六、政策适用性说明</w:t>
      </w:r>
      <w:r>
        <w:rPr>
          <w:sz w:val="21"/>
          <w:b/>
          <w:shd w:fill="FFFFFF" w:val="clear"/>
        </w:rPr>
        <w:t>（因云平台投标格式中的“政策适用性说明”无法满足项目实际，请投标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0"/>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755"/>
        <w:gridCol w:w="1223"/>
        <w:gridCol w:w="2522"/>
        <w:gridCol w:w="1782"/>
        <w:gridCol w:w="166"/>
        <w:gridCol w:w="1858"/>
      </w:tblGrid>
      <w:tr>
        <w:tc>
          <w:tcPr>
            <w:tcW w:type="dxa" w:w="755"/>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22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tc>
        <w:tc>
          <w:tcPr>
            <w:tcW w:type="dxa" w:w="252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17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产品认证证书所在响应文件页码</w:t>
            </w:r>
          </w:p>
        </w:tc>
        <w:tc>
          <w:tcPr>
            <w:tcW w:type="dxa" w:w="2024"/>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（一）强制节能产品</w:t>
            </w: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24"/>
            <w:gridSpan w:val="2"/>
            <w:tcBorders>
              <w:top w:val="none" w:color="000000" w:sz="4"/>
              <w:left w:val="none" w:color="000000" w:sz="4"/>
              <w:bottom w:val="non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2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2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（二）优先采购节能产品</w:t>
            </w: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2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48"/>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优先采购节能产品价格合计（不含强制节能产品）</w:t>
            </w:r>
          </w:p>
        </w:tc>
        <w:tc>
          <w:tcPr>
            <w:tcW w:type="dxa" w:w="18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r>
      <w:tr>
        <w:tc>
          <w:tcPr>
            <w:tcW w:type="dxa" w:w="755"/>
            <w:tcBorders>
              <w:top w:val="none" w:color="000000" w:sz="4"/>
              <w:left w:val="none" w:color="000000" w:sz="4"/>
              <w:bottom w:val="none" w:color="000000" w:sz="4"/>
              <w:right w:val="none" w:color="000000" w:sz="4"/>
            </w:tcBorders>
          </w:tcPr>
          <w:p>
            <w:pPr>
              <w:pStyle w:val="null3"/>
            </w:pPr>
            <w:r>
              <w:rPr/>
              <w:t xml:space="preserve"> </w:t>
            </w:r>
          </w:p>
        </w:tc>
        <w:tc>
          <w:tcPr>
            <w:tcW w:type="dxa" w:w="1223"/>
            <w:tcBorders>
              <w:top w:val="none" w:color="000000" w:sz="4"/>
              <w:left w:val="none" w:color="000000" w:sz="4"/>
              <w:bottom w:val="none" w:color="000000" w:sz="4"/>
              <w:right w:val="none" w:color="000000" w:sz="4"/>
            </w:tcBorders>
          </w:tcPr>
          <w:p>
            <w:pPr>
              <w:pStyle w:val="null3"/>
            </w:pPr>
            <w:r>
              <w:rPr/>
              <w:t xml:space="preserve"> </w:t>
            </w:r>
          </w:p>
        </w:tc>
        <w:tc>
          <w:tcPr>
            <w:tcW w:type="dxa" w:w="2522"/>
            <w:tcBorders>
              <w:top w:val="none" w:color="000000" w:sz="4"/>
              <w:left w:val="none" w:color="000000" w:sz="4"/>
              <w:bottom w:val="none" w:color="000000" w:sz="4"/>
              <w:right w:val="none" w:color="000000" w:sz="4"/>
            </w:tcBorders>
          </w:tcPr>
          <w:p>
            <w:pPr>
              <w:pStyle w:val="null3"/>
            </w:pPr>
            <w:r>
              <w:rPr/>
              <w:t xml:space="preserve"> </w:t>
            </w:r>
          </w:p>
        </w:tc>
        <w:tc>
          <w:tcPr>
            <w:tcW w:type="dxa" w:w="1782"/>
            <w:tcBorders>
              <w:top w:val="none" w:color="000000" w:sz="4"/>
              <w:left w:val="none" w:color="000000" w:sz="4"/>
              <w:bottom w:val="none" w:color="000000" w:sz="4"/>
              <w:right w:val="none" w:color="000000" w:sz="4"/>
            </w:tcBorders>
          </w:tcPr>
          <w:p>
            <w:pPr>
              <w:pStyle w:val="null3"/>
            </w:pPr>
            <w:r>
              <w:rPr/>
              <w:t xml:space="preserve"> </w:t>
            </w:r>
          </w:p>
        </w:tc>
        <w:tc>
          <w:tcPr>
            <w:tcW w:type="dxa" w:w="166"/>
            <w:tcBorders>
              <w:top w:val="none" w:color="000000" w:sz="4"/>
              <w:left w:val="none" w:color="000000" w:sz="4"/>
              <w:bottom w:val="none" w:color="000000" w:sz="4"/>
              <w:right w:val="none" w:color="000000" w:sz="4"/>
            </w:tcBorders>
          </w:tcPr>
          <w:p>
            <w:pPr>
              <w:pStyle w:val="null3"/>
            </w:pPr>
            <w:r>
              <w:rPr/>
              <w:t xml:space="preserve"> </w:t>
            </w:r>
          </w:p>
        </w:tc>
        <w:tc>
          <w:tcPr>
            <w:tcW w:type="dxa" w:w="1858"/>
            <w:tcBorders>
              <w:top w:val="none" w:color="000000" w:sz="4"/>
              <w:left w:val="none" w:color="000000" w:sz="4"/>
              <w:bottom w:val="none" w:color="000000" w:sz="4"/>
              <w:right w:val="none" w:color="000000" w:sz="4"/>
            </w:tcBorders>
          </w:tcPr>
          <w:p>
            <w:pPr>
              <w:pStyle w:val="null3"/>
            </w:pPr>
            <w:r>
              <w:rPr/>
              <w:t xml:space="preserve"> </w:t>
            </w: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pPr>
      <w:r>
        <w:rPr>
          <w:sz w:val="21"/>
        </w:rPr>
        <w:t>注：上述节能产品包括节水产品。</w:t>
      </w:r>
    </w:p>
    <w:p>
      <w:pPr>
        <w:pStyle w:val="null3"/>
      </w:pPr>
      <w:r>
        <w:rPr>
          <w:sz w:val="20"/>
        </w:rPr>
        <w:t>2.</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144"/>
        <w:gridCol w:w="2799"/>
        <w:gridCol w:w="1806"/>
        <w:gridCol w:w="1821"/>
      </w:tblGrid>
      <w:tr>
        <w:tc>
          <w:tcPr>
            <w:tcW w:type="dxa" w:w="7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14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tc>
        <w:tc>
          <w:tcPr>
            <w:tcW w:type="dxa" w:w="279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18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产品认证证书所在响应文件页码</w:t>
            </w:r>
          </w:p>
        </w:tc>
        <w:tc>
          <w:tcPr>
            <w:tcW w:type="dxa" w:w="182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1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1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14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环境标志产品价格合计</w:t>
            </w: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left="360"/>
        <w:jc w:val="both"/>
      </w:pPr>
      <w:r>
        <w:rPr>
          <w:sz w:val="21"/>
          <w:shd w:fill="FFFFFF" w:val="clear"/>
        </w:rPr>
        <w:t>备注：</w:t>
      </w:r>
    </w:p>
    <w:p>
      <w:pPr>
        <w:pStyle w:val="null3"/>
        <w:ind w:firstLine="420"/>
        <w:jc w:val="both"/>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jc w:val="both"/>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jc w:val="both"/>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jc w:val="both"/>
      </w:pPr>
      <w:r>
        <w:rPr>
          <w:sz w:val="21"/>
        </w:rPr>
        <w:t>4.</w:t>
      </w:r>
      <w:r>
        <w:rPr>
          <w:sz w:val="21"/>
        </w:rPr>
        <w:t>上述节能产品包括节水产品。</w:t>
      </w:r>
    </w:p>
    <w:p>
      <w:pPr>
        <w:pStyle w:val="null3"/>
      </w:pPr>
      <w:r>
        <w:rPr/>
        <w:t>采购包1（腹腔镜系统（3D））</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 30 日（日历日）内。</w:t>
            </w:r>
          </w:p>
        </w:tc>
      </w:tr>
      <w:tr>
        <w:tc>
          <w:tcPr>
            <w:tcW w:type="dxa" w:w="4153"/>
          </w:tcPr>
          <w:p>
            <w:pPr>
              <w:pStyle w:val="null3"/>
            </w:pPr>
            <w:r>
              <w:rPr/>
              <w:t>标的提供的地点</w:t>
            </w:r>
          </w:p>
        </w:tc>
        <w:tc>
          <w:tcPr>
            <w:tcW w:type="dxa" w:w="4153"/>
          </w:tcPr>
          <w:p>
            <w:pPr>
              <w:pStyle w:val="null3"/>
            </w:pPr>
            <w:r>
              <w:rPr/>
              <w:t>汕头大学医学院第一附属医院。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收款方、出具发票方、合同乙方均必须一致。如有变更，必须以书面方式通知对方并加盖财务专用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3、货物为原厂商未启封全新包装，具有出厂合格证，序列号、包装箱号与出厂批号一致，并可追溯查阅。所有随设备的附件必须齐全。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腹腔镜系统（3D）</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腹腔镜系统（3D）</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其他，异常低价审查。政府采购评审中出现下列情形之一的，评审委员会应当启动异常低价投标（响应）审查程序（详见后附表三异常低价审查表）：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 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采购包1(腹腔镜系统（3D）)：综合评分法,是指投标文件满足招标文件全部实质性要求，且按照评审因素的量化指标评审得分最高的投标人为中标候选人的评标方法。（最低报价不是中标的唯一依据。）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采购包1（腹腔镜系统（3D））：</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采购包1（腹腔镜系统（3D））：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采购包1（腹腔镜系统（3D））：</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未以进口产品参与投标。</w:t>
            </w:r>
          </w:p>
        </w:tc>
        <w:tc>
          <w:tcPr>
            <w:tcW w:type="dxa" w:w="4238"/>
          </w:tcPr>
          <w:p>
            <w:pPr>
              <w:pStyle w:val="null3"/>
            </w:pPr>
            <w:r>
              <w:rPr/>
              <w:t>未以进口产品参与投标。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采购包1(腹腔镜系统（3D）):</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重要技术条款响应情况A (25.0分)</w:t>
            </w:r>
          </w:p>
        </w:tc>
        <w:tc>
          <w:tcPr>
            <w:tcW w:type="dxa" w:w="5076"/>
          </w:tcPr>
          <w:p>
            <w:pPr>
              <w:pStyle w:val="null3"/>
              <w:jc w:val="left"/>
            </w:pPr>
            <w:r>
              <w:rPr/>
              <w:t>1、评标委员会根据投标人对采购需求“功能及技术参数要求”中标注“▲”条款的响应程度进行打分，共10项，每满足1项“▲”条款得2.5分，本项最高得25分。 注：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一般技术条款响应情况B (23.0分)</w:t>
            </w:r>
          </w:p>
        </w:tc>
        <w:tc>
          <w:tcPr>
            <w:tcW w:type="dxa" w:w="5076"/>
          </w:tcPr>
          <w:p>
            <w:pPr>
              <w:pStyle w:val="null3"/>
              <w:jc w:val="left"/>
            </w:pPr>
            <w:r>
              <w:rPr/>
              <w:t>2、评标委员会根据投标人对采购需求“功能及技术参数要求”中未标注“★”、“▲”条款的响应程度进行打分，共46项，每满足1项得0.5分，本项最高得23分。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对应采购需求书“供货要求”部分，针对本项目服务特点制定符合实际的方案，包括但不限于项目到货计划、项目实施计划、项目运输保障、安装调试（如计划步骤、人员安排等）等内容进行评审： （1）完全满足且优于采购需求的得5分； （2）完全满足采购需求的得3分； （3）不能完全满足采购需求的得1分； （4）无方案的不得分。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保修期及售后服务要求”部分，针对本项目服务特点制定符合实际的方案，方案内容包括但不限于售后服务人员的安排、售后服务计划安排、响应时间的及时性、提供备品备件服务等内容进行评审： （1）完全满足且优于采购需求的得4分； （2）完全满足采购需求的得2分； （3）不能完全满足采购需求的得1分； （4）无方案的不得分。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对应采购需求书“培训要求”部分，针对本项目服务特点制定符合实际的方案，投标人根据产品特点及保养事项对招标人所使用设备人员提供设备操作及操作过程中注意事项等内容进行培训： （1）完全满足且优于采购需求的得3分； （2）完全满足采购需求的得2分； （3）不能完全满足采购需求的得1分；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(4.0分)</w:t>
            </w:r>
          </w:p>
        </w:tc>
        <w:tc>
          <w:tcPr>
            <w:tcW w:type="dxa" w:w="5076"/>
          </w:tcPr>
          <w:p>
            <w:pPr>
              <w:pStyle w:val="null3"/>
              <w:jc w:val="left"/>
            </w:pPr>
            <w:r>
              <w:rPr/>
              <w:t>2022年1月1日至今（以合同签订时间为准）投标人同类产品(腹腔镜系统 3D)业绩，每提供一份有效的合同复印件得2分，最高得4分。 注：提供合同关键页复印件，合同关键页须有用户单位名称、项目名称、主要采购内容、双方落款盖章、合同签订日期。</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以上业绩情况有效计分的业绩中获得客户满意度正面评价（优秀、优良、良好、满意或相当于正面评价）且评价文件体现评价单位联系人及联系方式的（如未体现的，供应商须另行提供评价单位的联系人及联系方式），每提供一份得2分，最高得4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vMerge/>
          </w:tcPr>
          <w:p/>
        </w:tc>
        <w:tc>
          <w:tcPr>
            <w:tcW w:type="dxa" w:w="2307"/>
          </w:tcPr>
          <w:p>
            <w:pPr>
              <w:pStyle w:val="null3"/>
              <w:jc w:val="left"/>
            </w:pPr>
            <w:r>
              <w:rPr/>
              <w:t>认证体系情况 (2.0分)</w:t>
            </w:r>
          </w:p>
        </w:tc>
        <w:tc>
          <w:tcPr>
            <w:tcW w:type="dxa" w:w="5076"/>
          </w:tcPr>
          <w:p>
            <w:pPr>
              <w:pStyle w:val="null3"/>
              <w:jc w:val="left"/>
            </w:pPr>
            <w:r>
              <w:rPr/>
              <w:t>投标人具备在有效期内的质量管理体系认证证书（认证范围与医疗设备或医疗器械相关），得2分。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合同文本</w:t>
      </w:r>
    </w:p>
    <w:p>
      <w:pPr>
        <w:pStyle w:val="null3"/>
        <w:spacing w:after="165"/>
        <w:jc w:val="both"/>
      </w:pPr>
      <w:r>
        <w:rPr>
          <w:sz w:val="28"/>
          <w:b/>
        </w:rPr>
        <w:t>项目名称：</w:t>
      </w:r>
    </w:p>
    <w:p>
      <w:pPr>
        <w:pStyle w:val="null3"/>
        <w:spacing w:after="165"/>
        <w:ind w:left="735"/>
        <w:jc w:val="both"/>
      </w:pPr>
      <w:r>
        <w:rPr>
          <w:sz w:val="28"/>
          <w:b/>
        </w:rPr>
        <w:t>项目编号：</w:t>
      </w:r>
    </w:p>
    <w:p>
      <w:pPr>
        <w:pStyle w:val="null3"/>
        <w:spacing w:after="165"/>
        <w:ind w:left="735"/>
        <w:jc w:val="both"/>
      </w:pPr>
      <w:r>
        <w:rPr>
          <w:sz w:val="28"/>
          <w:b/>
        </w:rPr>
        <w:t>签约地点：</w:t>
      </w:r>
    </w:p>
    <w:p>
      <w:pPr>
        <w:pStyle w:val="null3"/>
        <w:spacing w:after="165"/>
        <w:jc w:val="both"/>
      </w:pPr>
      <w:r>
        <w:rPr>
          <w:sz w:val="24"/>
        </w:rPr>
        <w:t>甲     方：</w:t>
      </w:r>
    </w:p>
    <w:p>
      <w:pPr>
        <w:pStyle w:val="null3"/>
        <w:spacing w:after="165"/>
        <w:ind w:firstLine="480"/>
        <w:jc w:val="both"/>
      </w:pPr>
      <w:r>
        <w:rPr>
          <w:sz w:val="24"/>
        </w:rPr>
        <w:t>法定代表人：</w:t>
      </w:r>
    </w:p>
    <w:p>
      <w:pPr>
        <w:pStyle w:val="null3"/>
        <w:spacing w:after="165"/>
        <w:ind w:firstLine="480"/>
        <w:jc w:val="both"/>
      </w:pPr>
      <w:r>
        <w:rPr>
          <w:sz w:val="24"/>
        </w:rPr>
        <w:t>地     址：</w:t>
      </w:r>
    </w:p>
    <w:p>
      <w:pPr>
        <w:pStyle w:val="null3"/>
        <w:spacing w:after="165"/>
        <w:ind w:firstLine="480"/>
        <w:jc w:val="both"/>
      </w:pPr>
      <w:r>
        <w:rPr>
          <w:sz w:val="24"/>
        </w:rPr>
        <w:t>电     话：</w:t>
      </w:r>
    </w:p>
    <w:p>
      <w:pPr>
        <w:pStyle w:val="null3"/>
        <w:spacing w:after="165"/>
        <w:ind w:firstLine="360"/>
        <w:jc w:val="both"/>
      </w:pPr>
      <w:r>
        <w:rPr>
          <w:sz w:val="24"/>
        </w:rPr>
        <w:t>乙     方：</w:t>
      </w:r>
    </w:p>
    <w:p>
      <w:pPr>
        <w:pStyle w:val="null3"/>
        <w:spacing w:after="165"/>
        <w:ind w:firstLine="480"/>
        <w:jc w:val="both"/>
      </w:pPr>
      <w:r>
        <w:rPr>
          <w:sz w:val="24"/>
        </w:rPr>
        <w:t>法定代表人：</w:t>
      </w:r>
    </w:p>
    <w:p>
      <w:pPr>
        <w:pStyle w:val="null3"/>
        <w:spacing w:after="165"/>
        <w:ind w:firstLine="480"/>
        <w:jc w:val="both"/>
      </w:pPr>
      <w:r>
        <w:rPr>
          <w:sz w:val="24"/>
        </w:rPr>
        <w:t>地     址：</w:t>
      </w:r>
    </w:p>
    <w:p>
      <w:pPr>
        <w:pStyle w:val="null3"/>
        <w:spacing w:after="165"/>
        <w:ind w:firstLine="480"/>
        <w:jc w:val="both"/>
      </w:pPr>
      <w:r>
        <w:rPr>
          <w:sz w:val="24"/>
        </w:rPr>
        <w:t>电     话：</w:t>
      </w:r>
    </w:p>
    <w:p>
      <w:pPr>
        <w:pStyle w:val="null3"/>
        <w:spacing w:after="165"/>
        <w:ind w:firstLine="480"/>
        <w:jc w:val="both"/>
      </w:pPr>
      <w:r>
        <w:rPr>
          <w:sz w:val="24"/>
        </w:rPr>
        <w:t>甲乙双方经友好协商，结合（以下简称货物、设备）采购项目的具体情况，就有关事项达成如下合同，双方共同遵照执行。</w:t>
      </w:r>
    </w:p>
    <w:p>
      <w:pPr>
        <w:pStyle w:val="null3"/>
        <w:spacing w:after="165"/>
        <w:ind w:firstLine="482"/>
        <w:jc w:val="both"/>
      </w:pPr>
      <w:r>
        <w:rPr>
          <w:sz w:val="24"/>
          <w:b/>
        </w:rPr>
        <w:t>第一条货物基本信息</w:t>
      </w:r>
    </w:p>
    <w:p>
      <w:pPr>
        <w:pStyle w:val="null3"/>
        <w:spacing w:after="165"/>
        <w:ind w:firstLine="480"/>
        <w:jc w:val="both"/>
      </w:pPr>
      <w:r>
        <w:rPr>
          <w:sz w:val="24"/>
        </w:rPr>
        <w:t>货物名称、型号、规格、数量、注册证号（备案凭证号）等</w:t>
      </w:r>
    </w:p>
    <w:tbl>
      <w:tblPr>
        <w:tblW w:w="0" w:type="auto"/>
        <w:tblBorders>
          <w:top w:val="none" w:color="000000" w:sz="4"/>
          <w:left w:val="none" w:color="000000" w:sz="4"/>
          <w:bottom w:val="none" w:color="000000" w:sz="4"/>
          <w:right w:val="none" w:color="000000" w:sz="4"/>
          <w:insideH w:val="none"/>
          <w:insideV w:val="none"/>
        </w:tblBorders>
      </w:tblPr>
      <w:tblGrid>
        <w:gridCol w:w="454"/>
        <w:gridCol w:w="651"/>
        <w:gridCol w:w="1452"/>
        <w:gridCol w:w="1029"/>
        <w:gridCol w:w="878"/>
        <w:gridCol w:w="696"/>
        <w:gridCol w:w="1195"/>
        <w:gridCol w:w="893"/>
        <w:gridCol w:w="530"/>
        <w:gridCol w:w="530"/>
      </w:tblGrid>
      <w:tr>
        <w:tc>
          <w:tcPr>
            <w:tcW w:type="dxa" w:w="454"/>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序号</w:t>
            </w:r>
          </w:p>
        </w:tc>
        <w:tc>
          <w:tcPr>
            <w:tcW w:type="dxa" w:w="651"/>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货物名称</w:t>
            </w:r>
          </w:p>
        </w:tc>
        <w:tc>
          <w:tcPr>
            <w:tcW w:type="dxa" w:w="1452"/>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品牌、</w:t>
            </w:r>
          </w:p>
          <w:p>
            <w:pPr>
              <w:pStyle w:val="null3"/>
              <w:spacing w:after="165"/>
              <w:jc w:val="center"/>
            </w:pPr>
            <w:r>
              <w:rPr>
                <w:sz w:val="24"/>
                <w:b/>
              </w:rPr>
              <w:t>型号规格</w:t>
            </w:r>
          </w:p>
        </w:tc>
        <w:tc>
          <w:tcPr>
            <w:tcW w:type="dxa" w:w="1029"/>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注册证号（备案凭证号）</w:t>
            </w:r>
          </w:p>
        </w:tc>
        <w:tc>
          <w:tcPr>
            <w:tcW w:type="dxa" w:w="878"/>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单价</w:t>
            </w:r>
          </w:p>
          <w:p>
            <w:pPr>
              <w:pStyle w:val="null3"/>
              <w:spacing w:after="165"/>
              <w:jc w:val="center"/>
            </w:pPr>
            <w:r>
              <w:rPr>
                <w:sz w:val="24"/>
                <w:b/>
              </w:rPr>
              <w:t>/</w:t>
            </w:r>
            <w:r>
              <w:rPr>
                <w:sz w:val="24"/>
                <w:b/>
              </w:rPr>
              <w:t>元</w:t>
            </w:r>
          </w:p>
        </w:tc>
        <w:tc>
          <w:tcPr>
            <w:tcW w:type="dxa" w:w="696"/>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数量、单位</w:t>
            </w:r>
          </w:p>
        </w:tc>
        <w:tc>
          <w:tcPr>
            <w:tcW w:type="dxa" w:w="1195"/>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总价</w:t>
            </w:r>
          </w:p>
          <w:p>
            <w:pPr>
              <w:pStyle w:val="null3"/>
              <w:spacing w:after="165"/>
              <w:jc w:val="center"/>
            </w:pPr>
            <w:r>
              <w:rPr>
                <w:sz w:val="24"/>
                <w:b/>
              </w:rPr>
              <w:t>/</w:t>
            </w:r>
            <w:r>
              <w:rPr>
                <w:sz w:val="24"/>
                <w:b/>
              </w:rPr>
              <w:t>元</w:t>
            </w:r>
          </w:p>
        </w:tc>
        <w:tc>
          <w:tcPr>
            <w:tcW w:type="dxa" w:w="893"/>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生产企业名称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产地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备注</w:t>
            </w: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5160"/>
            <w:gridSpan w:val="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both"/>
            </w:pPr>
            <w:r>
              <w:rPr>
                <w:sz w:val="24"/>
                <w:b/>
              </w:rPr>
              <w:t>金额合计（大写）：人民币整</w:t>
            </w:r>
          </w:p>
        </w:tc>
        <w:tc>
          <w:tcPr>
            <w:tcW w:type="dxa" w:w="3148"/>
            <w:gridSpan w:val="4"/>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spacing w:after="165"/>
              <w:jc w:val="both"/>
            </w:pPr>
            <w:r>
              <w:rPr>
                <w:sz w:val="24"/>
                <w:b/>
              </w:rPr>
              <w:t>小写：￥</w:t>
            </w:r>
            <w:r>
              <w:rPr>
                <w:sz w:val="24"/>
                <w:b/>
                <w:u w:val="single"/>
              </w:rPr>
              <w:t xml:space="preserve">  .00</w:t>
            </w:r>
          </w:p>
        </w:tc>
      </w:tr>
    </w:tbl>
    <w:p>
      <w:pPr>
        <w:pStyle w:val="null3"/>
        <w:spacing w:after="165"/>
        <w:ind w:firstLine="480"/>
        <w:jc w:val="both"/>
      </w:pPr>
      <w:r>
        <w:rPr>
          <w:sz w:val="24"/>
        </w:rPr>
        <w:t>说明：</w:t>
      </w:r>
    </w:p>
    <w:p>
      <w:pPr>
        <w:pStyle w:val="null3"/>
        <w:spacing w:after="165"/>
        <w:ind w:firstLine="480"/>
        <w:jc w:val="both"/>
      </w:pPr>
      <w:r>
        <w:rPr>
          <w:sz w:val="24"/>
        </w:rPr>
        <w:t>（1）供货设备详细配置清单：</w:t>
      </w:r>
      <w:r>
        <w:rPr>
          <w:sz w:val="24"/>
          <w:u w:val="single"/>
        </w:rPr>
        <w:t>详见合同附件一</w:t>
      </w:r>
      <w:r>
        <w:rPr>
          <w:sz w:val="24"/>
        </w:rPr>
        <w:t>。</w:t>
      </w:r>
    </w:p>
    <w:p>
      <w:pPr>
        <w:pStyle w:val="null3"/>
        <w:spacing w:after="165"/>
        <w:ind w:firstLine="480"/>
        <w:jc w:val="both"/>
      </w:pPr>
      <w:r>
        <w:rPr>
          <w:sz w:val="24"/>
        </w:rPr>
        <w:t>（2）乙方保证所提供的设备序列号、包装箱号应与出厂批号一致。进口产品需提供中文标识的产品合格证明文件，国产设备需提供出厂合格证。</w:t>
      </w:r>
    </w:p>
    <w:p>
      <w:pPr>
        <w:pStyle w:val="null3"/>
        <w:spacing w:after="165"/>
        <w:ind w:firstLine="480"/>
        <w:jc w:val="both"/>
      </w:pPr>
      <w:r>
        <w:rPr>
          <w:sz w:val="24"/>
        </w:rPr>
        <w:t>（3）乙方所提供设备的包装必须是制造商原厂包装，其包装均应有良好的防湿、防锈、防潮、防雨、防腐及防碰撞的措施，确保设备能够经受多次搬运、装卸及运输。凡由于包装不良造成的损失和由此产生的费用均由乙方承担。</w:t>
      </w:r>
    </w:p>
    <w:p>
      <w:pPr>
        <w:pStyle w:val="null3"/>
        <w:spacing w:after="165"/>
        <w:ind w:firstLine="482"/>
        <w:jc w:val="both"/>
      </w:pPr>
      <w:r>
        <w:rPr>
          <w:sz w:val="24"/>
          <w:b/>
        </w:rPr>
        <w:t>第二条价款及支付方式</w:t>
      </w:r>
    </w:p>
    <w:p>
      <w:pPr>
        <w:pStyle w:val="null3"/>
        <w:spacing w:after="165"/>
        <w:ind w:firstLine="480"/>
        <w:jc w:val="both"/>
      </w:pPr>
      <w:r>
        <w:rPr>
          <w:sz w:val="24"/>
        </w:rPr>
        <w:t>2.1</w:t>
      </w:r>
      <w:r>
        <w:rPr>
          <w:sz w:val="24"/>
        </w:rPr>
        <w:t>本合同总价款（含税）人民币：（大写）元整（小写：￥</w:t>
      </w:r>
      <w:r>
        <w:rPr>
          <w:sz w:val="24"/>
          <w:u w:val="single"/>
        </w:rPr>
        <w:t xml:space="preserve"> .00</w:t>
      </w:r>
      <w:r>
        <w:rPr>
          <w:sz w:val="24"/>
        </w:rPr>
        <w:t>），本合同总价为固定不变价，不因物价、工资、其他税费、汇率等之涨跌变动而调整，乙方亦不得以任何理由要求加价。本合同总价包括设备费、包装费、运输装卸费、人工、差旅、验收、技术服务、培训、保险、备件、相关税费及质保期内的维护保养等一切费用。除双方另有明确的书面约定外，甲方无需为实现本合同项下之权益再向乙方或任何第三方支付其他任何款项。</w:t>
      </w:r>
    </w:p>
    <w:p>
      <w:pPr>
        <w:pStyle w:val="null3"/>
        <w:spacing w:after="165"/>
        <w:ind w:firstLine="480"/>
        <w:jc w:val="both"/>
      </w:pPr>
      <w:r>
        <w:rPr>
          <w:sz w:val="24"/>
          <w:b/>
        </w:rPr>
        <w:t>2.2</w:t>
      </w:r>
      <w:r>
        <w:rPr>
          <w:sz w:val="24"/>
          <w:b/>
        </w:rPr>
        <w:t>本项目中标价款总额分X期付款。付款时间如下：</w:t>
      </w:r>
    </w:p>
    <w:p>
      <w:pPr>
        <w:pStyle w:val="null3"/>
        <w:spacing w:after="165"/>
        <w:ind w:firstLine="1029"/>
        <w:jc w:val="both"/>
      </w:pPr>
      <w:r>
        <w:rPr>
          <w:sz w:val="24"/>
          <w:b/>
        </w:rPr>
        <w:t>2.3</w:t>
      </w:r>
      <w:r>
        <w:rPr>
          <w:sz w:val="24"/>
          <w:b/>
        </w:rPr>
        <w:t>其他约定：</w:t>
      </w:r>
    </w:p>
    <w:p>
      <w:pPr>
        <w:pStyle w:val="null3"/>
        <w:spacing w:after="165"/>
        <w:ind w:firstLine="480"/>
        <w:jc w:val="both"/>
      </w:pPr>
      <w:r>
        <w:rPr>
          <w:sz w:val="24"/>
          <w:b/>
        </w:rPr>
        <w:t>1.</w:t>
      </w:r>
      <w:r>
        <w:rPr>
          <w:sz w:val="24"/>
          <w:b/>
        </w:rPr>
        <w:t>因本项目资金来源为财政资金，乙方出具的发票须满足甲方资金来源管理要求。</w:t>
      </w:r>
    </w:p>
    <w:p>
      <w:pPr>
        <w:pStyle w:val="null3"/>
        <w:spacing w:after="165"/>
        <w:ind w:firstLine="480"/>
        <w:jc w:val="both"/>
      </w:pPr>
      <w:r>
        <w:rPr>
          <w:sz w:val="24"/>
          <w:b/>
        </w:rPr>
        <w:t>2.</w:t>
      </w:r>
      <w:r>
        <w:rPr>
          <w:sz w:val="24"/>
          <w:b/>
        </w:rPr>
        <w:t>供应商交付的技术服务、成果未能按期完成或验收不合格，致使本项目财政年度资金回收而无法支付本项目款项时，所造成的直接经济损失和预期损失由乙方承担。</w:t>
      </w:r>
    </w:p>
    <w:p>
      <w:pPr>
        <w:pStyle w:val="null3"/>
        <w:spacing w:after="165"/>
        <w:ind w:firstLine="480"/>
        <w:jc w:val="both"/>
      </w:pPr>
      <w:r>
        <w:rPr>
          <w:sz w:val="24"/>
          <w:b/>
        </w:rPr>
        <w:t>甲方银行账户信息：</w:t>
      </w:r>
    </w:p>
    <w:p>
      <w:pPr>
        <w:pStyle w:val="null3"/>
        <w:spacing w:after="165"/>
        <w:ind w:firstLine="480"/>
        <w:jc w:val="both"/>
      </w:pPr>
      <w:r>
        <w:rPr>
          <w:sz w:val="24"/>
          <w:b/>
        </w:rPr>
        <w:t>单位名称：</w:t>
      </w:r>
    </w:p>
    <w:p>
      <w:pPr>
        <w:pStyle w:val="null3"/>
        <w:spacing w:after="165"/>
        <w:ind w:firstLine="480"/>
        <w:jc w:val="both"/>
      </w:pPr>
      <w:r>
        <w:rPr>
          <w:sz w:val="24"/>
          <w:b/>
        </w:rPr>
        <w:t>开户银行：</w:t>
      </w:r>
    </w:p>
    <w:p>
      <w:pPr>
        <w:pStyle w:val="null3"/>
        <w:spacing w:after="165"/>
        <w:ind w:firstLine="480"/>
        <w:jc w:val="both"/>
      </w:pPr>
      <w:r>
        <w:rPr>
          <w:sz w:val="24"/>
          <w:b/>
        </w:rPr>
        <w:t>银行账号：</w:t>
      </w:r>
    </w:p>
    <w:p>
      <w:pPr>
        <w:pStyle w:val="null3"/>
        <w:spacing w:after="165"/>
        <w:ind w:firstLine="480"/>
        <w:jc w:val="both"/>
      </w:pPr>
      <w:r>
        <w:rPr>
          <w:sz w:val="24"/>
          <w:b/>
        </w:rPr>
        <w:t>2.4</w:t>
      </w:r>
      <w:r>
        <w:rPr>
          <w:sz w:val="24"/>
          <w:b/>
        </w:rPr>
        <w:t>甲方凭乙方开具的合法有效的合格发票履行上述付款义务，乙方无法开具合格全额发票或发票金额低于支付金额，甲方有权延迟付款，由乙方承担相应的法律责任，并不视为甲方违约。</w:t>
      </w:r>
    </w:p>
    <w:p>
      <w:pPr>
        <w:pStyle w:val="null3"/>
        <w:spacing w:after="165"/>
        <w:ind w:firstLine="482"/>
        <w:jc w:val="both"/>
      </w:pPr>
      <w:r>
        <w:rPr>
          <w:sz w:val="24"/>
          <w:b/>
        </w:rPr>
        <w:t>2.5</w:t>
      </w:r>
      <w:r>
        <w:rPr>
          <w:sz w:val="24"/>
          <w:b/>
        </w:rPr>
        <w:t>乙方同意：甲方根据本合同规定支付合同价款前，有权先行抵扣乙方应于相应各期内承担的违约金、赔偿金、维修费及其他费用（以甲方确认为准），再支付抵扣后的剩余款项（如有）。</w:t>
      </w:r>
    </w:p>
    <w:p>
      <w:pPr>
        <w:pStyle w:val="null3"/>
        <w:spacing w:after="165"/>
        <w:ind w:firstLine="480"/>
        <w:jc w:val="both"/>
      </w:pPr>
      <w:r>
        <w:rPr>
          <w:sz w:val="24"/>
          <w:b/>
        </w:rPr>
        <w:t>2.6</w:t>
      </w:r>
      <w:r>
        <w:rPr>
          <w:sz w:val="24"/>
          <w:b/>
        </w:rPr>
        <w:t>甲方可将本合同项下的货款、乙方的履约保证金支付至乙方以下银行账户，乙方应对该收款账户的真实性、合法性和一致性负责：</w:t>
      </w:r>
    </w:p>
    <w:p>
      <w:pPr>
        <w:pStyle w:val="null3"/>
        <w:spacing w:after="165"/>
        <w:ind w:firstLine="480"/>
        <w:jc w:val="both"/>
      </w:pPr>
      <w:r>
        <w:rPr>
          <w:sz w:val="24"/>
          <w:b/>
        </w:rPr>
        <w:t>开户银行：</w:t>
      </w:r>
    </w:p>
    <w:p>
      <w:pPr>
        <w:pStyle w:val="null3"/>
        <w:spacing w:after="165"/>
        <w:ind w:firstLine="480"/>
        <w:jc w:val="both"/>
      </w:pPr>
      <w:r>
        <w:rPr>
          <w:sz w:val="24"/>
          <w:b/>
        </w:rPr>
        <w:t>账户名称：</w:t>
      </w:r>
    </w:p>
    <w:p>
      <w:pPr>
        <w:pStyle w:val="null3"/>
        <w:spacing w:after="165"/>
        <w:ind w:firstLine="480"/>
        <w:jc w:val="both"/>
      </w:pPr>
      <w:r>
        <w:rPr>
          <w:sz w:val="24"/>
          <w:b/>
        </w:rPr>
        <w:t>银行账号：</w:t>
      </w:r>
    </w:p>
    <w:p>
      <w:pPr>
        <w:pStyle w:val="null3"/>
        <w:spacing w:after="165"/>
        <w:ind w:firstLine="480"/>
        <w:jc w:val="both"/>
      </w:pPr>
      <w:r>
        <w:rPr>
          <w:sz w:val="24"/>
          <w:b/>
        </w:rPr>
        <w:t>乙方如需变更该收款账户的，必须提前5个工作日书面通知甲方，否则由此引发的一切责任均由乙方承担。</w:t>
      </w:r>
    </w:p>
    <w:p>
      <w:pPr>
        <w:pStyle w:val="null3"/>
        <w:ind w:firstLine="482"/>
        <w:jc w:val="both"/>
      </w:pPr>
      <w:r>
        <w:rPr>
          <w:sz w:val="24"/>
          <w:b/>
        </w:rPr>
        <w:t>第三条培训、保修期及售后服务要求</w:t>
      </w:r>
    </w:p>
    <w:p>
      <w:pPr>
        <w:pStyle w:val="null3"/>
        <w:ind w:firstLine="420"/>
        <w:jc w:val="both"/>
      </w:pPr>
      <w:r>
        <w:rPr>
          <w:sz w:val="24"/>
        </w:rPr>
        <w:t>3.1</w:t>
      </w:r>
      <w:r>
        <w:rPr>
          <w:sz w:val="24"/>
        </w:rPr>
        <w:t>乙方负责甲方使用人员的使用操作技术及维护技术的培训，并随时提供开箱验货、安装、调试或维修等服务。</w:t>
      </w:r>
    </w:p>
    <w:p>
      <w:pPr>
        <w:pStyle w:val="null3"/>
        <w:ind w:firstLine="420"/>
        <w:jc w:val="both"/>
      </w:pPr>
      <w:r>
        <w:rPr>
          <w:sz w:val="24"/>
        </w:rPr>
        <w:t>3.2</w:t>
      </w:r>
      <w:r>
        <w:rPr>
          <w:sz w:val="24"/>
        </w:rPr>
        <w:t>乙方应提供完整的培训计划和方案，列明培训人员数量、达到的水平等，培训内容包括设备的操作、日常维修、简单故障的识别及排除等。培训所需全部费用均由乙方支付。</w:t>
      </w:r>
    </w:p>
    <w:p>
      <w:pPr>
        <w:pStyle w:val="null3"/>
        <w:ind w:firstLine="420"/>
        <w:jc w:val="both"/>
      </w:pPr>
      <w:r>
        <w:rPr>
          <w:sz w:val="24"/>
        </w:rPr>
        <w:t>3.3</w:t>
      </w:r>
      <w:r>
        <w:rPr>
          <w:sz w:val="24"/>
        </w:rPr>
        <w:t>乙方除按设备售后规定，负责培训设备操作人员，还应当培训1-2名负责此设备维护、维修的工程师。</w:t>
      </w:r>
    </w:p>
    <w:p>
      <w:pPr>
        <w:pStyle w:val="null3"/>
        <w:ind w:firstLine="420"/>
        <w:jc w:val="both"/>
      </w:pPr>
      <w:r>
        <w:rPr>
          <w:sz w:val="24"/>
        </w:rPr>
        <w:t>3.4</w:t>
      </w:r>
      <w:r>
        <w:rPr>
          <w:sz w:val="24"/>
        </w:rPr>
        <w:t>本合同的保修期（简称“保修期”）为</w:t>
      </w:r>
      <w:r>
        <w:rPr>
          <w:sz w:val="24"/>
          <w:u w:val="single"/>
        </w:rPr>
        <w:t xml:space="preserve">    </w:t>
      </w:r>
      <w:r>
        <w:rPr>
          <w:sz w:val="24"/>
        </w:rPr>
        <w:t>年，自甲乙双方代表在货物安装调试验收后的验收书上签字之日起计算。保修期内乙方负责提供设备的三包（包修、包换、包退）服务，可随时上门提供维护、保修、技术支持等服务并登记。保修期内探头损坏只换不修。5、自验收合格之日起一个月内，甲方所购设备各部件发生非人为损坏，乙方应在48小时内给予无条件更换。自验收合格之日起一年内，如同一设备部件一个月内累计2次出现同一问题，乙方必须在48小时内无条件更换该设备部件，不得加收其它任何费用。</w:t>
      </w:r>
    </w:p>
    <w:p>
      <w:pPr>
        <w:pStyle w:val="null3"/>
        <w:ind w:firstLine="420"/>
        <w:jc w:val="both"/>
      </w:pPr>
      <w:r>
        <w:rPr>
          <w:sz w:val="24"/>
        </w:rPr>
        <w:t>3.5</w:t>
      </w:r>
      <w:r>
        <w:rPr>
          <w:sz w:val="24"/>
        </w:rPr>
        <w:t>保修期内，货物各部件发生非人为故障的，乙方应在48小时内无条件上门更换同种品牌规格型号的新部件，产生的所有费用均由乙方承担；货物发生人为故障的，乙方应上门更换同种品牌规格型号的新部件，只收零配件成本价格，不得加收其它任何费用。</w:t>
      </w:r>
    </w:p>
    <w:p>
      <w:pPr>
        <w:pStyle w:val="null3"/>
        <w:ind w:firstLine="420"/>
        <w:jc w:val="both"/>
      </w:pPr>
      <w:r>
        <w:rPr>
          <w:sz w:val="24"/>
        </w:rPr>
        <w:t>3.6</w:t>
      </w:r>
      <w:r>
        <w:rPr>
          <w:sz w:val="24"/>
        </w:rPr>
        <w:t>保修期内，乙方无条件提供7×24小时技术支持，无条件提供电话技术指导和咨询服务。</w:t>
      </w:r>
    </w:p>
    <w:p>
      <w:pPr>
        <w:pStyle w:val="null3"/>
        <w:ind w:firstLine="420"/>
        <w:jc w:val="both"/>
      </w:pPr>
      <w:r>
        <w:rPr>
          <w:sz w:val="24"/>
        </w:rPr>
        <w:t>3.7</w:t>
      </w:r>
      <w:r>
        <w:rPr>
          <w:sz w:val="24"/>
        </w:rPr>
        <w:t>在保修期届满后，乙方应对设备实行终身维修，提供长期上门维修服务，服务费不高于同期市场价。甲方如需修理设备部件，乙方应在收到需修理部件后半个月内修复。并在修复期间，乙方应无条件提供同型号或类似的设备部件给甲方使用，以避免甲方因设备部件损坏而不能正常运作。</w:t>
      </w:r>
    </w:p>
    <w:p>
      <w:pPr>
        <w:pStyle w:val="null3"/>
        <w:ind w:firstLine="420"/>
        <w:jc w:val="both"/>
      </w:pPr>
      <w:r>
        <w:rPr>
          <w:sz w:val="24"/>
        </w:rPr>
        <w:t>3.8</w:t>
      </w:r>
      <w:r>
        <w:rPr>
          <w:sz w:val="24"/>
        </w:rPr>
        <w:t>保修期内，如设备或零部件因非人为因素出现故障而造成短期停用时，则保修期相应顺延。如停用时间累计超过60天则保修期重新计算。</w:t>
      </w:r>
    </w:p>
    <w:p>
      <w:pPr>
        <w:pStyle w:val="null3"/>
        <w:ind w:firstLine="420"/>
        <w:jc w:val="both"/>
      </w:pPr>
      <w:r>
        <w:rPr>
          <w:sz w:val="24"/>
        </w:rPr>
        <w:t>3.9</w:t>
      </w:r>
      <w:r>
        <w:rPr>
          <w:sz w:val="24"/>
        </w:rPr>
        <w:t>在保修期内，如货品非因甲方的人为原因而出现的问题由乙方负责保修、包换或包退，并承担修理、调换或退货的实际费用。</w:t>
      </w:r>
    </w:p>
    <w:p>
      <w:pPr>
        <w:pStyle w:val="null3"/>
        <w:ind w:firstLine="420"/>
        <w:jc w:val="both"/>
      </w:pPr>
      <w:r>
        <w:rPr>
          <w:sz w:val="24"/>
        </w:rPr>
        <w:t>3.10</w:t>
      </w:r>
      <w:r>
        <w:rPr>
          <w:sz w:val="24"/>
        </w:rPr>
        <w:t>乙方负责对其提供的货物整机进行维修和系统维护，不再收取任何费用，但非乙方责任的人为因素、自然因素（如火灾、雷击等）造成的故障除外。</w:t>
      </w:r>
    </w:p>
    <w:p>
      <w:pPr>
        <w:pStyle w:val="null3"/>
        <w:ind w:firstLine="420"/>
        <w:jc w:val="both"/>
      </w:pPr>
      <w:r>
        <w:rPr>
          <w:sz w:val="24"/>
        </w:rPr>
        <w:t>3.11</w:t>
      </w:r>
      <w:r>
        <w:rPr>
          <w:sz w:val="24"/>
        </w:rPr>
        <w:t>对甲方的服务通知，乙方在接报后</w:t>
      </w:r>
      <w:r>
        <w:rPr>
          <w:sz w:val="24"/>
          <w:u w:val="single"/>
        </w:rPr>
        <w:t xml:space="preserve">   </w:t>
      </w:r>
      <w:r>
        <w:rPr>
          <w:sz w:val="24"/>
        </w:rPr>
        <w:t>小时内响应，</w:t>
      </w:r>
      <w:r>
        <w:rPr>
          <w:sz w:val="24"/>
          <w:u w:val="single"/>
        </w:rPr>
        <w:t xml:space="preserve">   </w:t>
      </w:r>
      <w:r>
        <w:rPr>
          <w:sz w:val="24"/>
        </w:rPr>
        <w:t>小时内到达现场。若到场当天未能修复，中标供应商须提供同一档次同规格的设备予甲方临时使用并负责所有因设备质量问题而产生的费用，直至故障设备修复，乙方售后服务人员定期回访，每三个月至少进行一次保养维护和登记。</w:t>
      </w:r>
    </w:p>
    <w:p>
      <w:pPr>
        <w:pStyle w:val="null3"/>
        <w:ind w:firstLine="420"/>
        <w:jc w:val="both"/>
      </w:pPr>
      <w:r>
        <w:rPr>
          <w:sz w:val="24"/>
        </w:rPr>
        <w:t>3.12</w:t>
      </w:r>
      <w:r>
        <w:rPr>
          <w:sz w:val="24"/>
        </w:rPr>
        <w:t>保修期间，同一硬件一个月内连续2次出现同一故障，乙方须无条件更换同一档次货物。</w:t>
      </w:r>
    </w:p>
    <w:p>
      <w:pPr>
        <w:pStyle w:val="null3"/>
        <w:ind w:firstLine="420"/>
        <w:jc w:val="both"/>
      </w:pPr>
      <w:r>
        <w:rPr>
          <w:sz w:val="24"/>
        </w:rPr>
        <w:t>3.13</w:t>
      </w:r>
      <w:r>
        <w:rPr>
          <w:sz w:val="24"/>
        </w:rPr>
        <w:t>负责售后服务维修的单位名称（如有）：</w:t>
      </w:r>
      <w:r>
        <w:rPr>
          <w:sz w:val="24"/>
          <w:u w:val="single"/>
        </w:rPr>
        <w:t xml:space="preserve">                      </w:t>
      </w:r>
    </w:p>
    <w:p>
      <w:pPr>
        <w:pStyle w:val="null3"/>
        <w:ind w:firstLine="420"/>
        <w:jc w:val="both"/>
      </w:pPr>
      <w:r>
        <w:rPr>
          <w:sz w:val="24"/>
        </w:rPr>
        <w:t>地址：</w:t>
      </w:r>
      <w:r>
        <w:rPr>
          <w:sz w:val="24"/>
          <w:u w:val="single"/>
        </w:rPr>
        <w:t xml:space="preserve">                                      </w:t>
      </w:r>
    </w:p>
    <w:p>
      <w:pPr>
        <w:pStyle w:val="null3"/>
        <w:ind w:firstLine="420"/>
        <w:jc w:val="both"/>
      </w:pPr>
      <w:r>
        <w:rPr>
          <w:sz w:val="24"/>
        </w:rPr>
        <w:t>联系人：</w:t>
      </w:r>
      <w:r>
        <w:rPr>
          <w:sz w:val="24"/>
          <w:u w:val="single"/>
        </w:rPr>
        <w:t xml:space="preserve">                                    </w:t>
      </w:r>
    </w:p>
    <w:p>
      <w:pPr>
        <w:pStyle w:val="null3"/>
        <w:ind w:firstLine="420"/>
        <w:jc w:val="both"/>
      </w:pPr>
      <w:r>
        <w:rPr>
          <w:sz w:val="24"/>
        </w:rPr>
        <w:t>联系电话</w:t>
      </w:r>
      <w:r>
        <w:rPr>
          <w:sz w:val="24"/>
          <w:u w:val="single"/>
        </w:rPr>
        <w:t xml:space="preserve">                                    </w:t>
      </w:r>
    </w:p>
    <w:p>
      <w:pPr>
        <w:pStyle w:val="null3"/>
        <w:ind w:firstLine="420"/>
        <w:jc w:val="both"/>
      </w:pPr>
      <w:r>
        <w:rPr>
          <w:sz w:val="24"/>
        </w:rPr>
        <w:t>手机号码：</w:t>
      </w:r>
      <w:r>
        <w:rPr>
          <w:sz w:val="24"/>
          <w:u w:val="single"/>
        </w:rPr>
        <w:t xml:space="preserve">                                  </w:t>
      </w:r>
    </w:p>
    <w:p>
      <w:pPr>
        <w:pStyle w:val="null3"/>
        <w:ind w:firstLine="420"/>
        <w:jc w:val="both"/>
      </w:pPr>
      <w:r>
        <w:rPr>
          <w:sz w:val="24"/>
        </w:rPr>
        <w:t>传真号码：</w:t>
      </w:r>
      <w:r>
        <w:rPr>
          <w:sz w:val="24"/>
          <w:u w:val="single"/>
        </w:rPr>
        <w:t xml:space="preserve">                                   </w:t>
      </w:r>
    </w:p>
    <w:p>
      <w:pPr>
        <w:pStyle w:val="null3"/>
        <w:ind w:firstLine="420"/>
        <w:jc w:val="both"/>
      </w:pPr>
      <w:r>
        <w:rPr>
          <w:sz w:val="24"/>
        </w:rPr>
        <w:t>3.14</w:t>
      </w:r>
      <w:r>
        <w:rPr>
          <w:sz w:val="24"/>
        </w:rPr>
        <w:t>提供终身安全性升级服务，费用包含在合同金额之中。</w:t>
      </w:r>
    </w:p>
    <w:p>
      <w:pPr>
        <w:pStyle w:val="null3"/>
        <w:ind w:firstLine="420"/>
        <w:jc w:val="both"/>
      </w:pPr>
      <w:r>
        <w:rPr>
          <w:sz w:val="24"/>
        </w:rPr>
        <w:t>3.15</w:t>
      </w:r>
      <w:r>
        <w:rPr>
          <w:sz w:val="24"/>
        </w:rPr>
        <w:t>如该设备需要联接相关信息系统，乙方必须协调设备厂家配合信息系统提供方，联接调试好信息系统，并负责支付相关费用。</w:t>
      </w:r>
    </w:p>
    <w:p>
      <w:pPr>
        <w:pStyle w:val="null3"/>
        <w:ind w:firstLine="420"/>
        <w:jc w:val="both"/>
      </w:pPr>
      <w:r>
        <w:rPr>
          <w:sz w:val="24"/>
        </w:rPr>
        <w:t>3.16</w:t>
      </w:r>
      <w:r>
        <w:rPr>
          <w:sz w:val="24"/>
        </w:rPr>
        <w:t>在设备更换过程中若电缆需要更换，费用由乙方一并承担。</w:t>
      </w:r>
    </w:p>
    <w:p>
      <w:pPr>
        <w:pStyle w:val="null3"/>
        <w:ind w:firstLine="420"/>
        <w:jc w:val="both"/>
      </w:pPr>
      <w:r>
        <w:rPr>
          <w:sz w:val="24"/>
        </w:rPr>
        <w:t>3.17</w:t>
      </w:r>
      <w:r>
        <w:rPr>
          <w:sz w:val="24"/>
        </w:rPr>
        <w:t>设备安装过程中防护设施的修复以及安装室内空间重新装饰，相关人员安排及所需费用全部由乙方负责。</w:t>
      </w:r>
    </w:p>
    <w:p>
      <w:pPr>
        <w:pStyle w:val="null3"/>
        <w:ind w:firstLine="420"/>
        <w:jc w:val="both"/>
      </w:pPr>
      <w:r>
        <w:rPr>
          <w:sz w:val="24"/>
        </w:rPr>
        <w:t>3.18</w:t>
      </w:r>
      <w:r>
        <w:rPr>
          <w:sz w:val="24"/>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ind w:firstLine="482"/>
        <w:jc w:val="both"/>
      </w:pPr>
      <w:r>
        <w:rPr>
          <w:sz w:val="24"/>
          <w:b/>
        </w:rPr>
        <w:t>第四条包装、到货检验、安装与调试</w:t>
      </w:r>
      <w:r>
        <w:rPr>
          <w:sz w:val="24"/>
        </w:rPr>
        <w:t>:</w:t>
      </w:r>
    </w:p>
    <w:p>
      <w:pPr>
        <w:pStyle w:val="null3"/>
        <w:ind w:firstLine="420"/>
        <w:jc w:val="both"/>
      </w:pPr>
      <w:r>
        <w:rPr>
          <w:sz w:val="24"/>
        </w:rPr>
        <w:t>4.1</w:t>
      </w:r>
      <w:r>
        <w:rPr>
          <w:sz w:val="24"/>
        </w:rPr>
        <w:t>合同货物的包装：货物的包装均应有良好的防湿、防锈、防潮、防雨、防腐及防碰撞的措施。凡由于包装不良造成的损失和由此产生的费用均由乙方承担。</w:t>
      </w:r>
    </w:p>
    <w:p>
      <w:pPr>
        <w:pStyle w:val="null3"/>
        <w:ind w:firstLine="420"/>
        <w:jc w:val="both"/>
      </w:pPr>
      <w:r>
        <w:rPr>
          <w:sz w:val="24"/>
        </w:rPr>
        <w:t>4.2</w:t>
      </w:r>
      <w:r>
        <w:rPr>
          <w:sz w:val="24"/>
        </w:rPr>
        <w:t>到货检验</w:t>
      </w:r>
    </w:p>
    <w:p>
      <w:pPr>
        <w:pStyle w:val="null3"/>
        <w:ind w:firstLine="420"/>
        <w:jc w:val="both"/>
      </w:pPr>
      <w:r>
        <w:rPr>
          <w:sz w:val="24"/>
        </w:rPr>
        <w:t>1.</w:t>
      </w:r>
      <w:r>
        <w:rPr>
          <w:sz w:val="24"/>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pStyle w:val="null3"/>
        <w:ind w:firstLine="420"/>
        <w:jc w:val="both"/>
      </w:pPr>
      <w:r>
        <w:rPr>
          <w:sz w:val="24"/>
        </w:rPr>
        <w:t>2.</w:t>
      </w:r>
      <w:r>
        <w:rPr>
          <w:sz w:val="24"/>
        </w:rPr>
        <w:t>货物送到甲方指定场地后，甲、乙双方同时在场时才能开封检验。</w:t>
      </w:r>
    </w:p>
    <w:p>
      <w:pPr>
        <w:pStyle w:val="null3"/>
        <w:ind w:firstLine="420"/>
        <w:jc w:val="both"/>
      </w:pPr>
      <w:r>
        <w:rPr>
          <w:sz w:val="24"/>
        </w:rPr>
        <w:t>4.3</w:t>
      </w:r>
      <w:r>
        <w:rPr>
          <w:sz w:val="24"/>
        </w:rPr>
        <w:t>合同货物的安装调试：</w:t>
      </w:r>
    </w:p>
    <w:p>
      <w:pPr>
        <w:pStyle w:val="null3"/>
        <w:ind w:firstLine="420"/>
        <w:jc w:val="both"/>
      </w:pPr>
      <w:r>
        <w:rPr>
          <w:sz w:val="24"/>
        </w:rPr>
        <w:t>1.</w:t>
      </w:r>
      <w:r>
        <w:rPr>
          <w:sz w:val="24"/>
        </w:rPr>
        <w:t>除非甲方另有通知，乙方应按照合同的要求以及合同执行计划的时间安排，派出足够的人员进行现场安装和负责调试工作。</w:t>
      </w:r>
    </w:p>
    <w:p>
      <w:pPr>
        <w:pStyle w:val="null3"/>
        <w:ind w:firstLine="420"/>
        <w:jc w:val="both"/>
      </w:pPr>
      <w:r>
        <w:rPr>
          <w:sz w:val="24"/>
        </w:rPr>
        <w:t>2.</w:t>
      </w:r>
      <w:r>
        <w:rPr>
          <w:sz w:val="24"/>
        </w:rPr>
        <w:t>乙方必须依照招标文件的要求和投标文件的承诺，将设备、系统安装并调试至正常运行的最佳状态。</w:t>
      </w:r>
    </w:p>
    <w:p>
      <w:pPr>
        <w:pStyle w:val="null3"/>
        <w:ind w:firstLine="420"/>
        <w:jc w:val="both"/>
      </w:pPr>
      <w:r>
        <w:rPr>
          <w:sz w:val="24"/>
        </w:rPr>
        <w:t>3.</w:t>
      </w:r>
      <w:r>
        <w:rPr>
          <w:sz w:val="24"/>
        </w:rPr>
        <w:t>合同项下的安装调试所发生费用及耗材由乙方承担。</w:t>
      </w:r>
    </w:p>
    <w:p>
      <w:pPr>
        <w:pStyle w:val="null3"/>
        <w:ind w:firstLine="420"/>
        <w:jc w:val="both"/>
      </w:pPr>
      <w:r>
        <w:rPr>
          <w:sz w:val="24"/>
        </w:rPr>
        <w:t>4.</w:t>
      </w:r>
      <w:r>
        <w:rPr>
          <w:sz w:val="24"/>
        </w:rPr>
        <w:t>乙方安装时须对各安装场地内的其它货物、设施有良好保护措施。</w:t>
      </w:r>
    </w:p>
    <w:p>
      <w:pPr>
        <w:pStyle w:val="null3"/>
        <w:ind w:firstLine="420"/>
        <w:jc w:val="both"/>
      </w:pPr>
      <w:r>
        <w:rPr>
          <w:sz w:val="24"/>
        </w:rPr>
        <w:t>5.</w:t>
      </w:r>
      <w:r>
        <w:rPr>
          <w:sz w:val="24"/>
        </w:rPr>
        <w:t>如该设备需要联接相关信息系统，乙方应当协调设备厂家配合信息系统提供方，联接调试好信息系统，并负责支付相关费用。</w:t>
      </w:r>
    </w:p>
    <w:p>
      <w:pPr>
        <w:pStyle w:val="null3"/>
        <w:ind w:firstLine="482"/>
        <w:jc w:val="both"/>
      </w:pPr>
      <w:r>
        <w:rPr>
          <w:sz w:val="24"/>
          <w:b/>
        </w:rPr>
        <w:t>第五条验收：</w:t>
      </w:r>
    </w:p>
    <w:p>
      <w:pPr>
        <w:pStyle w:val="null3"/>
        <w:ind w:firstLine="420"/>
        <w:jc w:val="both"/>
      </w:pPr>
      <w:r>
        <w:rPr>
          <w:sz w:val="24"/>
        </w:rPr>
        <w:t>5.1</w:t>
      </w:r>
      <w:r>
        <w:rPr>
          <w:sz w:val="24"/>
        </w:rPr>
        <w:t>甲方按照采购合同规定的技术、服务、安全标准组织对乙方履约情况进行验收，并出具验收书。验收书应当包括每一项技术、服务、安全标准的履约情况。</w:t>
      </w:r>
    </w:p>
    <w:p>
      <w:pPr>
        <w:pStyle w:val="null3"/>
        <w:ind w:firstLine="420"/>
        <w:jc w:val="both"/>
      </w:pPr>
      <w:r>
        <w:rPr>
          <w:sz w:val="24"/>
        </w:rPr>
        <w:t>5.2</w:t>
      </w:r>
      <w:r>
        <w:rPr>
          <w:sz w:val="24"/>
        </w:rPr>
        <w:t>交付验收标准依次序对照适用标准为：</w:t>
      </w:r>
    </w:p>
    <w:p>
      <w:pPr>
        <w:pStyle w:val="null3"/>
        <w:ind w:firstLine="420"/>
        <w:jc w:val="both"/>
      </w:pPr>
      <w:r>
        <w:rPr>
          <w:sz w:val="24"/>
        </w:rPr>
        <w:t>1.</w:t>
      </w:r>
      <w:r>
        <w:rPr>
          <w:sz w:val="24"/>
        </w:rPr>
        <w:t>符合中华人民共和国国家安全质量标准、环保标准或行业标准；</w:t>
      </w:r>
    </w:p>
    <w:p>
      <w:pPr>
        <w:pStyle w:val="null3"/>
        <w:ind w:firstLine="420"/>
        <w:jc w:val="both"/>
      </w:pPr>
      <w:r>
        <w:rPr>
          <w:sz w:val="24"/>
        </w:rPr>
        <w:t>2.</w:t>
      </w:r>
      <w:r>
        <w:rPr>
          <w:sz w:val="24"/>
        </w:rPr>
        <w:t>符合招标文件和投标承诺中甲方认可的合理最佳配置、参数及各项要求；</w:t>
      </w:r>
    </w:p>
    <w:p>
      <w:pPr>
        <w:pStyle w:val="null3"/>
        <w:ind w:firstLine="420"/>
        <w:jc w:val="both"/>
      </w:pPr>
      <w:r>
        <w:rPr>
          <w:sz w:val="24"/>
        </w:rPr>
        <w:t>3.</w:t>
      </w:r>
      <w:r>
        <w:rPr>
          <w:sz w:val="24"/>
        </w:rPr>
        <w:t>货物来源国官方标准。</w:t>
      </w:r>
    </w:p>
    <w:p>
      <w:pPr>
        <w:pStyle w:val="null3"/>
        <w:ind w:firstLine="420"/>
        <w:jc w:val="both"/>
      </w:pPr>
      <w:r>
        <w:rPr>
          <w:sz w:val="24"/>
        </w:rPr>
        <w:t>5.3</w:t>
      </w:r>
      <w:r>
        <w:rPr>
          <w:sz w:val="24"/>
        </w:rPr>
        <w:t>货物为原厂商未启封全新包装，具有出厂合格证，序列号、包装箱号与出厂批号一致，并可追索查阅。所有随设备的附件必须齐全。收货时乙方按照甲方的通知，共同开箱检验，要求对全部货物、品牌、产品、型号、规格、数量、产地厂家、外型、外观、包装及资料、文件（如装箱单、保修单、随箱介质等）的验收。货物验收完毕，乙方向甲方递交货物验收清单，由双方代表签字生效。验收中如发现有质量不合格或型号规格、数量等与送货清单不符、提交的技术文件和资料不完整等情形，乙方应无条件更换或补齐，并承担因此发生的违约责任。货物为原厂商未启封全新包装，具出厂合格证，序列号、包装箱号与出厂批号一致，并可追索查阅。所有随设备的附件必须齐全。</w:t>
      </w:r>
    </w:p>
    <w:p>
      <w:pPr>
        <w:pStyle w:val="null3"/>
        <w:ind w:firstLine="420"/>
        <w:jc w:val="both"/>
      </w:pPr>
      <w:r>
        <w:rPr>
          <w:sz w:val="24"/>
        </w:rPr>
        <w:t>5.4</w:t>
      </w:r>
      <w:r>
        <w:rPr>
          <w:sz w:val="24"/>
        </w:rPr>
        <w:t>乙方将货物的用户手册、保修手册、有关单证资料及备品备件、随机工具等交付给甲方，使用操作及安全须知等重要资料应附有中文说明。</w:t>
      </w:r>
    </w:p>
    <w:p>
      <w:pPr>
        <w:pStyle w:val="null3"/>
        <w:ind w:firstLine="420"/>
        <w:jc w:val="both"/>
      </w:pPr>
      <w:r>
        <w:rPr>
          <w:sz w:val="24"/>
        </w:rPr>
        <w:t>5.5</w:t>
      </w:r>
      <w:r>
        <w:rPr>
          <w:sz w:val="24"/>
        </w:rPr>
        <w:t>货物验收所发生的检验费用由乙方负担。</w:t>
      </w:r>
    </w:p>
    <w:p>
      <w:pPr>
        <w:pStyle w:val="null3"/>
        <w:ind w:firstLine="420"/>
        <w:jc w:val="both"/>
      </w:pPr>
      <w:r>
        <w:rPr>
          <w:sz w:val="24"/>
        </w:rPr>
        <w:t>5.6</w:t>
      </w:r>
      <w:r>
        <w:rPr>
          <w:sz w:val="24"/>
        </w:rPr>
        <w:t>设备到货并经乙方技术人员安装后，甲方有权委托中国有资格的单位对上述设备进行校准或检验，设备校准或检验所产生的费用由乙方负担。</w:t>
      </w:r>
    </w:p>
    <w:p>
      <w:pPr>
        <w:pStyle w:val="null3"/>
        <w:ind w:firstLine="420"/>
        <w:jc w:val="both"/>
      </w:pPr>
      <w:r>
        <w:rPr>
          <w:sz w:val="24"/>
        </w:rPr>
        <w:t>5.7</w:t>
      </w:r>
      <w:r>
        <w:rPr>
          <w:sz w:val="24"/>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pStyle w:val="null3"/>
        <w:ind w:firstLine="420"/>
        <w:jc w:val="both"/>
      </w:pPr>
      <w:r>
        <w:rPr>
          <w:sz w:val="24"/>
        </w:rPr>
        <w:t>5.8</w:t>
      </w:r>
      <w:r>
        <w:rPr>
          <w:sz w:val="24"/>
        </w:rPr>
        <w:t>当出现不合格产品时，乙方要无条件更换合格产品。除甲方认可，否则不接受任何形式的降格处理。</w:t>
      </w:r>
    </w:p>
    <w:p>
      <w:pPr>
        <w:pStyle w:val="null3"/>
        <w:ind w:firstLine="420"/>
        <w:jc w:val="both"/>
      </w:pPr>
      <w:r>
        <w:rPr>
          <w:sz w:val="24"/>
        </w:rPr>
        <w:t>5.9</w:t>
      </w:r>
      <w:r>
        <w:rPr>
          <w:sz w:val="24"/>
        </w:rPr>
        <w:t>验收期限：全部货物到货并安装完毕后</w:t>
      </w:r>
      <w:r>
        <w:rPr>
          <w:sz w:val="24"/>
          <w:u w:val="single"/>
        </w:rPr>
        <w:t xml:space="preserve">   </w:t>
      </w:r>
      <w:r>
        <w:rPr>
          <w:sz w:val="24"/>
        </w:rPr>
        <w:t>天内完成项目验收（换货、鉴定、检验期间不计入在内）。</w:t>
      </w:r>
    </w:p>
    <w:p>
      <w:pPr>
        <w:pStyle w:val="null3"/>
        <w:ind w:firstLine="482"/>
        <w:jc w:val="both"/>
      </w:pPr>
      <w:r>
        <w:rPr>
          <w:sz w:val="24"/>
          <w:b/>
        </w:rPr>
        <w:t>第六条违约责任与赔偿损失</w:t>
      </w:r>
    </w:p>
    <w:p>
      <w:pPr>
        <w:pStyle w:val="null3"/>
        <w:ind w:firstLine="420"/>
        <w:jc w:val="both"/>
      </w:pPr>
      <w:r>
        <w:rPr>
          <w:sz w:val="24"/>
        </w:rPr>
        <w:t>6.1</w:t>
      </w:r>
      <w:r>
        <w:rPr>
          <w:sz w:val="24"/>
        </w:rPr>
        <w:t>乙方交付的货物不符合招标文件、投标文件或本合同规定的，甲方有权拒收，并且乙方须向甲方支付本合同总价5%的违约金。</w:t>
      </w:r>
    </w:p>
    <w:p>
      <w:pPr>
        <w:pStyle w:val="null3"/>
        <w:ind w:firstLine="420"/>
        <w:jc w:val="both"/>
      </w:pPr>
      <w:r>
        <w:rPr>
          <w:sz w:val="24"/>
        </w:rPr>
        <w:t>6.2</w:t>
      </w:r>
      <w:r>
        <w:rPr>
          <w:sz w:val="24"/>
        </w:rPr>
        <w:t>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20"/>
        <w:jc w:val="both"/>
      </w:pPr>
      <w:r>
        <w:rPr>
          <w:sz w:val="24"/>
        </w:rPr>
        <w:t>6.3</w:t>
      </w:r>
      <w:r>
        <w:rPr>
          <w:sz w:val="24"/>
        </w:rPr>
        <w:t>甲方无正当理由拒收货物，不按合同约定付款的，甲方向乙方偿付本合同总价5%的违约金。甲方逾期未按合同约定时间支付款项的，则每日按本合同总价的3‰向乙方偿付违约金。</w:t>
      </w:r>
    </w:p>
    <w:p>
      <w:pPr>
        <w:pStyle w:val="null3"/>
        <w:ind w:firstLine="420"/>
        <w:jc w:val="both"/>
      </w:pPr>
      <w:r>
        <w:rPr>
          <w:sz w:val="24"/>
        </w:rPr>
        <w:t>6.4</w:t>
      </w:r>
      <w:r>
        <w:rPr>
          <w:sz w:val="24"/>
        </w:rPr>
        <w:t>乙方如没有按合同规定履行售后服务承诺，甲方可由第三方单位进行修复，其费用全部由乙方支付，否则，追究乙方违约的法律责任。</w:t>
      </w:r>
    </w:p>
    <w:p>
      <w:pPr>
        <w:pStyle w:val="null3"/>
        <w:ind w:firstLine="420"/>
        <w:jc w:val="both"/>
      </w:pPr>
      <w:r>
        <w:rPr>
          <w:sz w:val="24"/>
        </w:rPr>
        <w:t>6.5</w:t>
      </w:r>
      <w:r>
        <w:rPr>
          <w:sz w:val="24"/>
        </w:rPr>
        <w:t>其它违约责任按《中华人民共和国民法典》处理。</w:t>
      </w:r>
    </w:p>
    <w:p>
      <w:pPr>
        <w:pStyle w:val="null3"/>
        <w:ind w:firstLine="482"/>
        <w:jc w:val="both"/>
      </w:pPr>
      <w:r>
        <w:rPr>
          <w:sz w:val="24"/>
          <w:b/>
        </w:rPr>
        <w:t>第七条争议的解决</w:t>
      </w:r>
    </w:p>
    <w:p>
      <w:pPr>
        <w:pStyle w:val="null3"/>
        <w:ind w:left="120" w:firstLine="420"/>
        <w:jc w:val="both"/>
      </w:pPr>
      <w:r>
        <w:rPr>
          <w:sz w:val="24"/>
        </w:rPr>
        <w:t>合同执行过程中发生的任何争议，双方应通过友好协商解决，若经协商不能达成协议时，则向甲方所在地有管辖权的人民法院提起诉讼。诉讼期间，双方应继续执行合同其余部分。</w:t>
      </w:r>
    </w:p>
    <w:p>
      <w:pPr>
        <w:pStyle w:val="null3"/>
        <w:ind w:firstLine="482"/>
        <w:jc w:val="both"/>
      </w:pPr>
      <w:r>
        <w:rPr>
          <w:sz w:val="24"/>
          <w:b/>
        </w:rPr>
        <w:t>第八条不可抗力</w:t>
      </w:r>
    </w:p>
    <w:p>
      <w:pPr>
        <w:pStyle w:val="null3"/>
        <w:ind w:left="120" w:firstLine="42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第九条税费</w:t>
      </w:r>
    </w:p>
    <w:p>
      <w:pPr>
        <w:pStyle w:val="null3"/>
        <w:ind w:left="120" w:firstLine="420"/>
        <w:jc w:val="both"/>
      </w:pPr>
      <w:r>
        <w:rPr>
          <w:sz w:val="24"/>
        </w:rPr>
        <w:t>在中国境内、外发生的与本合同执行有关的一切税费均由乙方负担。</w:t>
      </w:r>
    </w:p>
    <w:p>
      <w:pPr>
        <w:pStyle w:val="null3"/>
        <w:ind w:firstLine="482"/>
        <w:jc w:val="both"/>
      </w:pPr>
      <w:r>
        <w:rPr>
          <w:sz w:val="24"/>
          <w:b/>
        </w:rPr>
        <w:t>第十条其它</w:t>
      </w:r>
    </w:p>
    <w:p>
      <w:pPr>
        <w:pStyle w:val="null3"/>
        <w:ind w:firstLine="420"/>
        <w:jc w:val="both"/>
      </w:pPr>
      <w:r>
        <w:rPr>
          <w:sz w:val="24"/>
        </w:rPr>
        <w:t>10.1</w:t>
      </w:r>
      <w:r>
        <w:rPr>
          <w:sz w:val="24"/>
        </w:rPr>
        <w:t>本合同所有附件、招标文件、投标文件、中标通知书均为合同的有效组成部分，与本合同具有同等法律效力。</w:t>
      </w:r>
    </w:p>
    <w:p>
      <w:pPr>
        <w:pStyle w:val="null3"/>
        <w:ind w:firstLine="420"/>
        <w:jc w:val="both"/>
      </w:pPr>
      <w:r>
        <w:rPr>
          <w:sz w:val="24"/>
        </w:rPr>
        <w:t>10.2</w:t>
      </w:r>
      <w:r>
        <w:rPr>
          <w:sz w:val="24"/>
        </w:rPr>
        <w:t>在执行本合同的过程中，所有经双方签署确认的文件（包括会议纪要、补充协议、往来信函）即成为本合同的有效组成部分。</w:t>
      </w:r>
    </w:p>
    <w:p>
      <w:pPr>
        <w:pStyle w:val="null3"/>
        <w:ind w:firstLine="420"/>
        <w:jc w:val="both"/>
      </w:pPr>
      <w:r>
        <w:rPr>
          <w:sz w:val="24"/>
        </w:rPr>
        <w:t>10.3</w:t>
      </w:r>
      <w:r>
        <w:rPr>
          <w:sz w:val="24"/>
        </w:rPr>
        <w:t>如一方地址、电话、传真号码有变更，应在变更当日内书面通知对方，否则，应承担相应责任。</w:t>
      </w:r>
    </w:p>
    <w:p>
      <w:pPr>
        <w:pStyle w:val="null3"/>
        <w:ind w:firstLine="420"/>
        <w:jc w:val="both"/>
      </w:pPr>
      <w:r>
        <w:rPr>
          <w:sz w:val="24"/>
        </w:rPr>
        <w:t>10.4</w:t>
      </w:r>
      <w:r>
        <w:rPr>
          <w:sz w:val="24"/>
        </w:rPr>
        <w:t>除甲方事先书面同意外，乙方不得部分或全部转让其应履行的合同项下的义务。</w:t>
      </w:r>
    </w:p>
    <w:p>
      <w:pPr>
        <w:pStyle w:val="null3"/>
        <w:ind w:firstLine="482"/>
        <w:jc w:val="both"/>
      </w:pPr>
      <w:r>
        <w:rPr>
          <w:sz w:val="24"/>
          <w:b/>
        </w:rPr>
        <w:t>第十一条合同生效</w:t>
      </w:r>
    </w:p>
    <w:p>
      <w:pPr>
        <w:pStyle w:val="null3"/>
        <w:ind w:firstLine="420"/>
        <w:jc w:val="both"/>
      </w:pPr>
      <w:r>
        <w:rPr>
          <w:sz w:val="24"/>
        </w:rPr>
        <w:t>11.1</w:t>
      </w:r>
      <w:r>
        <w:rPr>
          <w:sz w:val="24"/>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pStyle w:val="null3"/>
        <w:ind w:firstLine="420"/>
        <w:jc w:val="both"/>
      </w:pPr>
      <w:r>
        <w:rPr>
          <w:sz w:val="24"/>
        </w:rPr>
        <w:t>11.2</w:t>
      </w:r>
      <w:r>
        <w:rPr>
          <w:sz w:val="24"/>
        </w:rPr>
        <w:t>本合同一式</w:t>
      </w:r>
      <w:r>
        <w:rPr>
          <w:sz w:val="24"/>
          <w:u w:val="single"/>
        </w:rPr>
        <w:t>陆</w:t>
      </w:r>
      <w:r>
        <w:rPr>
          <w:sz w:val="24"/>
        </w:rPr>
        <w:t>份，具有同等法律效力，甲方执</w:t>
      </w:r>
      <w:r>
        <w:rPr>
          <w:sz w:val="24"/>
          <w:u w:val="single"/>
        </w:rPr>
        <w:t>肆</w:t>
      </w:r>
      <w:r>
        <w:rPr>
          <w:sz w:val="24"/>
        </w:rPr>
        <w:t>份，乙方执</w:t>
      </w:r>
      <w:r>
        <w:rPr>
          <w:sz w:val="24"/>
          <w:u w:val="single"/>
        </w:rPr>
        <w:t>贰</w:t>
      </w:r>
      <w:r>
        <w:rPr>
          <w:sz w:val="24"/>
        </w:rPr>
        <w:t>份，具同等法律效力。</w:t>
      </w:r>
    </w:p>
    <w:p>
      <w:pPr>
        <w:pStyle w:val="null3"/>
        <w:ind w:firstLine="420"/>
        <w:jc w:val="both"/>
      </w:pPr>
      <w:r>
        <w:rPr>
          <w:sz w:val="24"/>
        </w:rPr>
        <w:t>11.3</w:t>
      </w:r>
      <w:r>
        <w:rPr>
          <w:sz w:val="24"/>
        </w:rPr>
        <w:t>乙方提供加盖法人公章的营业执照（执业许可）副本及履约所需的相关资质证明文件复印件。合同签约人为法定代表人时，合同相对人需提供加盖法人公章的《法定代表人证明书》；签约人为授权代表时，合同相对人需提供由法定代表人签字并加盖法人公章的《授权委托书》。</w:t>
      </w:r>
    </w:p>
    <w:p>
      <w:pPr>
        <w:pStyle w:val="null3"/>
        <w:ind w:firstLine="482"/>
        <w:jc w:val="both"/>
      </w:pPr>
      <w:r>
        <w:rPr>
          <w:sz w:val="24"/>
          <w:b/>
        </w:rPr>
        <w:t>11.4</w:t>
      </w:r>
      <w:r>
        <w:rPr>
          <w:sz w:val="24"/>
        </w:rPr>
        <w:t>合同附件：</w:t>
      </w:r>
    </w:p>
    <w:p>
      <w:pPr>
        <w:pStyle w:val="null3"/>
        <w:spacing w:after="165"/>
        <w:ind w:firstLine="482"/>
        <w:jc w:val="both"/>
      </w:pPr>
      <w:r>
        <w:rPr>
          <w:sz w:val="24"/>
        </w:rPr>
        <w:t>附件一：</w:t>
      </w:r>
      <w:r>
        <w:rPr>
          <w:sz w:val="24"/>
          <w:u w:val="single"/>
        </w:rPr>
        <w:t xml:space="preserve"> 配置清单</w:t>
      </w:r>
    </w:p>
    <w:p>
      <w:pPr>
        <w:pStyle w:val="null3"/>
        <w:spacing w:after="165"/>
        <w:ind w:firstLine="472"/>
        <w:jc w:val="both"/>
      </w:pPr>
      <w:r>
        <w:rPr>
          <w:sz w:val="24"/>
          <w:b/>
        </w:rPr>
        <w:t>本合同经甲乙双方充分协商沟通后自愿订立，双方确认已认真阅读以上全部条款，能够清晰准确理解全部含义，并同意遵守。</w:t>
      </w:r>
    </w:p>
    <w:p>
      <w:pPr>
        <w:pStyle w:val="null3"/>
        <w:spacing w:after="165"/>
        <w:jc w:val="both"/>
      </w:pPr>
      <w:r>
        <w:rPr>
          <w:sz w:val="24"/>
          <w:b/>
        </w:rPr>
        <w:t>【本行以下无正文】</w:t>
      </w:r>
    </w:p>
    <w:p>
      <w:pPr>
        <w:pStyle w:val="null3"/>
        <w:spacing w:after="165"/>
        <w:jc w:val="both"/>
      </w:pPr>
      <w:r>
        <w:rPr>
          <w:sz w:val="24"/>
          <w:b/>
        </w:rPr>
        <w:t>甲方（盖章）：     乙方（盖章）：</w:t>
      </w:r>
    </w:p>
    <w:p>
      <w:pPr>
        <w:pStyle w:val="null3"/>
        <w:spacing w:after="165"/>
        <w:jc w:val="both"/>
      </w:pPr>
      <w:r>
        <w:rPr>
          <w:sz w:val="24"/>
          <w:b/>
        </w:rPr>
        <w:t>法定代表人或授权代表（签字）：      法定代表人或授权代表（签字）：</w:t>
      </w:r>
    </w:p>
    <w:p>
      <w:pPr>
        <w:pStyle w:val="null3"/>
        <w:spacing w:after="165"/>
        <w:jc w:val="both"/>
      </w:pPr>
      <w:r>
        <w:rPr>
          <w:sz w:val="24"/>
          <w:b/>
        </w:rPr>
        <w:t>经办人：                           经办人：</w:t>
      </w:r>
    </w:p>
    <w:p>
      <w:pPr>
        <w:pStyle w:val="null3"/>
        <w:spacing w:after="165"/>
        <w:jc w:val="both"/>
      </w:pPr>
      <w:r>
        <w:rPr>
          <w:sz w:val="24"/>
          <w:b/>
        </w:rPr>
        <w:t>日期：    年   月  日                   日期：    年   月  日</w:t>
      </w:r>
    </w:p>
    <w:p>
      <w:pPr>
        <w:pStyle w:val="null3"/>
        <w:spacing w:after="165"/>
        <w:jc w:val="center"/>
      </w:pPr>
      <w:r>
        <w:rPr>
          <w:sz w:val="24"/>
          <w:b/>
        </w:rPr>
        <w:t>附件一：</w:t>
      </w:r>
    </w:p>
    <w:p>
      <w:pPr>
        <w:pStyle w:val="null3"/>
        <w:spacing w:after="165"/>
        <w:ind w:firstLine="562"/>
        <w:jc w:val="center"/>
      </w:pPr>
      <w:r>
        <w:rPr>
          <w:sz w:val="28"/>
          <w:b/>
        </w:rPr>
        <w:t>配置清单（每台）</w:t>
      </w:r>
    </w:p>
    <w:tbl>
      <w:tblPr>
        <w:tblW w:w="0" w:type="auto"/>
        <w:tblBorders>
          <w:top w:val="none" w:color="000000" w:sz="4"/>
          <w:left w:val="none" w:color="000000" w:sz="4"/>
          <w:bottom w:val="none" w:color="000000" w:sz="4"/>
          <w:right w:val="none" w:color="000000" w:sz="4"/>
          <w:insideH w:val="none"/>
          <w:insideV w:val="none"/>
        </w:tblBorders>
      </w:tblPr>
      <w:tblGrid>
        <w:gridCol w:w="1249"/>
        <w:gridCol w:w="4003"/>
        <w:gridCol w:w="1565"/>
        <w:gridCol w:w="1490"/>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序号</w:t>
            </w:r>
          </w:p>
        </w:tc>
        <w:tc>
          <w:tcPr>
            <w:tcW w:type="dxa" w:w="4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配置名称</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数量</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单位</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21"/>
          <w:b/>
        </w:rPr>
        <w:t>汕头大学医学院第一附属医院</w:t>
      </w:r>
    </w:p>
    <w:p>
      <w:pPr>
        <w:pStyle w:val="null3"/>
        <w:jc w:val="center"/>
      </w:pPr>
      <w:r>
        <w:rPr>
          <w:sz w:val="21"/>
          <w:b/>
        </w:rPr>
        <w:t>医疗卫生机构医药产品廉洁购销合同</w:t>
      </w:r>
    </w:p>
    <w:p>
      <w:pPr>
        <w:pStyle w:val="null3"/>
        <w:jc w:val="both"/>
      </w:pPr>
      <w:r>
        <w:rPr>
          <w:sz w:val="24"/>
          <w:b/>
        </w:rPr>
        <w:t>甲方（医疗卫生机构）：汕头大学医学院第一附属医院</w:t>
      </w:r>
    </w:p>
    <w:p>
      <w:pPr>
        <w:pStyle w:val="null3"/>
        <w:jc w:val="both"/>
      </w:pPr>
      <w:r>
        <w:rPr>
          <w:sz w:val="24"/>
          <w:b/>
        </w:rPr>
        <w:t>乙方（医药生产经营企业及其代理人）：</w:t>
      </w:r>
    </w:p>
    <w:p>
      <w:pPr>
        <w:pStyle w:val="null3"/>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pStyle w:val="null3"/>
        <w:jc w:val="both"/>
      </w:pPr>
      <w:r>
        <w:rPr>
          <w:sz w:val="24"/>
        </w:rPr>
        <w:t>一、甲乙双方按照《中华人民共和国民法典》及医药产品购销合同约定购销药品、医用设备、医用耗材等医药产品。</w:t>
      </w:r>
    </w:p>
    <w:p>
      <w:pPr>
        <w:pStyle w:val="null3"/>
        <w:jc w:val="both"/>
      </w:pPr>
      <w:r>
        <w:rPr>
          <w:sz w:val="24"/>
        </w:rPr>
        <w:t>二、甲方应当严格执行医药产品购销合同验收、入库制度，对采购医药产品及发票进行查验，不得违反有关规定合同外采购、违价采购或从非规定渠道采购。</w:t>
      </w:r>
    </w:p>
    <w:p>
      <w:pPr>
        <w:pStyle w:val="null3"/>
        <w:jc w:val="both"/>
      </w:pPr>
      <w:r>
        <w:rPr>
          <w:sz w:val="24"/>
        </w:rPr>
        <w:t>三、甲方严禁接受乙方以任何名义、形式给予的返赠，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jc w:val="both"/>
      </w:pPr>
      <w:r>
        <w:rPr>
          <w:sz w:val="24"/>
        </w:rPr>
        <w:t>四、严禁甲方工作人员利用任何途径和方式，为乙方统计医师个人及临床科室有关医药产品用量信息，或为乙方统计提供便利。</w:t>
      </w:r>
    </w:p>
    <w:p>
      <w:pPr>
        <w:pStyle w:val="null3"/>
        <w:jc w:val="both"/>
      </w:pPr>
      <w:r>
        <w:rPr>
          <w:sz w:val="24"/>
        </w:rPr>
        <w:t>五、乙方不得以返赠、宴请等方式影响甲方工作人员采购或使用医药产品的选择权，不得在学术活动中提供旅游、超标准支付食宿费用。</w:t>
      </w:r>
    </w:p>
    <w:p>
      <w:pPr>
        <w:pStyle w:val="null3"/>
        <w:jc w:val="both"/>
      </w:pPr>
      <w:r>
        <w:rPr>
          <w:sz w:val="24"/>
        </w:rPr>
        <w:t>六、乙方指定</w:t>
      </w:r>
      <w:r>
        <w:rPr>
          <w:sz w:val="21"/>
          <w:u w:val="single"/>
        </w:rPr>
        <w:t xml:space="preserve">                        </w:t>
      </w:r>
      <w:r>
        <w:rPr>
          <w:sz w:val="24"/>
        </w:rPr>
        <w:t>作为销售代表洽谈业务。销售代表必须在工作时间到甲方指定地点联系商谈，不得到住院部、门诊部、医技科室等</w:t>
      </w:r>
    </w:p>
    <w:p>
      <w:pPr>
        <w:pStyle w:val="null3"/>
        <w:jc w:val="both"/>
      </w:pPr>
      <w:r>
        <w:rPr>
          <w:sz w:val="24"/>
        </w:rPr>
        <w:t>推销医药产品，不得借故到甲方相关领导、部门负责人及相关工作人员家中访谈</w:t>
      </w:r>
    </w:p>
    <w:p>
      <w:pPr>
        <w:pStyle w:val="null3"/>
        <w:jc w:val="both"/>
      </w:pPr>
      <w:r>
        <w:rPr>
          <w:sz w:val="24"/>
        </w:rPr>
        <w:t>并提供任何好处费。</w:t>
      </w:r>
    </w:p>
    <w:p>
      <w:pPr>
        <w:pStyle w:val="null3"/>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w:t>
      </w:r>
      <w:r>
        <w:rPr>
          <w:sz w:val="24"/>
          <w:shd w:fill="FFFFFF" w:val="clear"/>
        </w:rPr>
        <w:t>（国卫法制发〔</w:t>
      </w:r>
      <w:r>
        <w:rPr>
          <w:sz w:val="24"/>
          <w:shd w:fill="FFFFFF" w:val="clear"/>
        </w:rPr>
        <w:t>2013</w:t>
      </w:r>
      <w:r>
        <w:rPr>
          <w:sz w:val="24"/>
          <w:shd w:fill="FFFFFF" w:val="clear"/>
        </w:rPr>
        <w:t>〕</w:t>
      </w:r>
      <w:r>
        <w:rPr>
          <w:sz w:val="24"/>
          <w:shd w:fill="FFFFFF" w:val="clear"/>
        </w:rPr>
        <w:t>50</w:t>
      </w:r>
      <w:r>
        <w:rPr>
          <w:sz w:val="24"/>
          <w:shd w:fill="FFFFFF" w:val="clear"/>
        </w:rPr>
        <w:t>号）</w:t>
      </w:r>
      <w:r>
        <w:rPr>
          <w:sz w:val="24"/>
        </w:rPr>
        <w:t>相关规定处理。</w:t>
      </w:r>
    </w:p>
    <w:p>
      <w:pPr>
        <w:pStyle w:val="null3"/>
        <w:jc w:val="both"/>
      </w:pPr>
      <w:r>
        <w:rPr>
          <w:sz w:val="24"/>
        </w:rPr>
        <w:t>八、乙方因行贿甲方职工而涉嫌犯罪移送司法机关依法处理的，或因行贿导致甲方职工涉嫌犯罪的，甲方对乙方已供给甲方涉案的物资的货款支付方法为：案发前已支付的货款不追回，对未付货款将予冻结。同时终止甲方与乙方（涉案具体品种）的购销合同。结案后，解冻涉案具体品种被冻结的货款，被解冻的货款由甲方代该涉案具体品种的供货商（乙方）转入公益基金项目的账户。</w:t>
      </w:r>
    </w:p>
    <w:p>
      <w:pPr>
        <w:pStyle w:val="null3"/>
        <w:jc w:val="both"/>
      </w:pPr>
      <w:r>
        <w:rPr>
          <w:sz w:val="24"/>
        </w:rPr>
        <w:t>九、本合同作为医药产品购销合同的重要组成部分，与购销合同一并执行，具有同等的法律效力。</w:t>
      </w:r>
    </w:p>
    <w:p>
      <w:pPr>
        <w:pStyle w:val="null3"/>
        <w:jc w:val="both"/>
      </w:pPr>
      <w:r>
        <w:rPr>
          <w:sz w:val="24"/>
        </w:rPr>
        <w:t>十、本合同一式伍份，甲方执肆份，乙方执壹份，从签订之日起生效。</w:t>
      </w:r>
    </w:p>
    <w:p>
      <w:pPr>
        <w:pStyle w:val="null3"/>
        <w:jc w:val="both"/>
      </w:pPr>
      <w:r>
        <w:rPr>
          <w:sz w:val="24"/>
        </w:rPr>
        <w:t>甲方（盖章）：</w:t>
      </w:r>
      <w:r>
        <w:rPr>
          <w:sz w:val="21"/>
        </w:rPr>
        <w:t xml:space="preserve">                          </w:t>
      </w:r>
      <w:r>
        <w:rPr>
          <w:sz w:val="24"/>
        </w:rPr>
        <w:t>乙方（盖章）：</w:t>
      </w:r>
    </w:p>
    <w:p>
      <w:pPr>
        <w:pStyle w:val="null3"/>
        <w:jc w:val="both"/>
      </w:pPr>
      <w:r>
        <w:rPr>
          <w:sz w:val="24"/>
        </w:rPr>
        <w:t>法定代表人（授权代表）：</w:t>
      </w:r>
      <w:r>
        <w:rPr>
          <w:sz w:val="21"/>
        </w:rPr>
        <w:t xml:space="preserve">                </w:t>
      </w:r>
      <w:r>
        <w:rPr>
          <w:sz w:val="24"/>
        </w:rPr>
        <w:t>法定代表人（授权代表）：</w:t>
      </w:r>
    </w:p>
    <w:p>
      <w:pPr>
        <w:pStyle w:val="null3"/>
        <w:jc w:val="both"/>
      </w:pPr>
      <w:r>
        <w:rPr>
          <w:sz w:val="24"/>
        </w:rPr>
        <w:t>经办人签名：</w:t>
      </w:r>
      <w:r>
        <w:rPr>
          <w:sz w:val="21"/>
        </w:rPr>
        <w:t xml:space="preserve">                            </w:t>
      </w:r>
      <w:r>
        <w:rPr>
          <w:sz w:val="24"/>
        </w:rPr>
        <w:t>经办人签名：</w:t>
      </w:r>
    </w:p>
    <w:p>
      <w:pPr>
        <w:pStyle w:val="null3"/>
        <w:jc w:val="both"/>
      </w:pPr>
      <w:r>
        <w:rPr>
          <w:sz w:val="24"/>
        </w:rPr>
        <w:t>年</w:t>
      </w:r>
      <w:r>
        <w:rPr>
          <w:sz w:val="21"/>
        </w:rPr>
        <w:t xml:space="preserve">   </w:t>
      </w:r>
      <w:r>
        <w:rPr>
          <w:sz w:val="24"/>
        </w:rPr>
        <w:t>月</w:t>
      </w:r>
      <w:r>
        <w:rPr>
          <w:sz w:val="21"/>
        </w:rPr>
        <w:t xml:space="preserve">   </w:t>
      </w:r>
      <w:r>
        <w:rPr>
          <w:sz w:val="24"/>
        </w:rPr>
        <w:t>日</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440001-2025-25703</w:t>
      </w:r>
    </w:p>
    <w:p>
      <w:pPr>
        <w:pStyle w:val="null3"/>
        <w:jc w:val="center"/>
        <w:outlineLvl w:val="3"/>
      </w:pPr>
      <w:r>
        <w:rPr>
          <w:sz w:val="24"/>
          <w:b/>
        </w:rPr>
        <w:t>采购项目编号：</w:t>
      </w:r>
      <w:r>
        <w:rPr>
          <w:sz w:val="24"/>
          <w:b/>
        </w:rPr>
        <w:t>GPCGD253174HG202F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广东省重点医院先进医疗设备更新项目（粤东、粤西）—腹腔镜系统（3D）</w:t>
      </w:r>
      <w:r>
        <w:rPr>
          <w:u w:val="single"/>
        </w:rPr>
        <w:t>”</w:t>
      </w:r>
      <w:r>
        <w:rPr/>
        <w:t>项目的招标[采购项目编号为：</w:t>
      </w:r>
      <w:r>
        <w:rPr>
          <w:u w:val="single"/>
        </w:rPr>
        <w:t>GPCGD253174HG202F</w:t>
      </w:r>
      <w:r>
        <w:rPr/>
        <w:t>]，我方愿参与投标。</w:t>
      </w:r>
    </w:p>
    <w:p>
      <w:pPr>
        <w:pStyle w:val="null3"/>
        <w:ind w:firstLine="480"/>
      </w:pPr>
      <w:r>
        <w:rPr/>
        <w:t>我方确认收到贵方提供的</w:t>
      </w:r>
      <w:r>
        <w:rPr>
          <w:u w:val="single"/>
        </w:rPr>
        <w:t>“</w:t>
      </w:r>
      <w:r>
        <w:rPr>
          <w:u w:val="single"/>
        </w:rPr>
        <w:t>广东省重点医院先进医疗设备更新项目（粤东、粤西）—腹腔镜系统（3D）</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广东省重点医院先进医疗设备更新项目（粤东、粤西）—腹腔镜系统（3D）</w:t>
      </w:r>
      <w:r>
        <w:rPr/>
        <w:t>”项目采购[采购项目编号为</w:t>
      </w:r>
      <w:r>
        <w:rPr/>
        <w:t>GPCGD253174HG202F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广东省重点医院先进医疗设备更新项目（粤东、粤西）—腹腔镜系统（3D）</w:t>
      </w:r>
      <w:r>
        <w:rPr/>
        <w:t>招标中获中标（采购项目编号：</w:t>
      </w:r>
      <w:r>
        <w:rPr/>
        <w:t>GPCGD253174HG202F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广东省重点医院先进医疗设备更新项目（粤东、粤西）—腹腔镜系统（3D）</w:t>
      </w:r>
      <w:r>
        <w:rPr/>
        <w:t>”项目（采购项目编号：</w:t>
      </w:r>
      <w:r>
        <w:rPr/>
        <w:t>GPCGD253174HG202F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