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国家税务总局广州市税务局广州大数据应用管理服务项目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GPCGD25C500FG046F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国家税务总局广州市税务局广州大数据应用管理服务项目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国家税务总局广州市税务局广州大数据应用管理服务项目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GPCGD25C500FG046F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 xml:space="preserve"> 国家税务总局广州市税务局广州大数据应用管理服务项目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本采购包合同履约期限情况：工作量达到67个人月。</w:t>
      </w:r>
    </w:p>
    <w:p>
      <w:pPr>
        <w:pStyle w:val="null3"/>
        <w:jc w:val="left"/>
      </w:pPr>
      <w:r>
        <w:rPr>
          <w:rFonts w:ascii="仿宋_GB2312" w:hAnsi="仿宋_GB2312" w:cs="仿宋_GB2312" w:eastAsia="仿宋_GB2312"/>
          <w:b/>
        </w:rPr>
        <w:t>3.本</w:t>
      </w:r>
      <w:r>
        <w:rPr>
          <w:rFonts w:ascii="仿宋_GB2312" w:hAnsi="仿宋_GB2312" w:cs="仿宋_GB2312" w:eastAsia="仿宋_GB2312"/>
          <w:b/>
        </w:rPr>
        <w:t>项目其他说明</w:t>
      </w:r>
      <w:r>
        <w:rPr>
          <w:rFonts w:ascii="仿宋_GB2312" w:hAnsi="仿宋_GB2312" w:cs="仿宋_GB2312" w:eastAsia="仿宋_GB2312"/>
          <w:b/>
        </w:rPr>
        <w:t>：</w:t>
      </w:r>
    </w:p>
    <w:p>
      <w:pPr>
        <w:pStyle w:val="null3"/>
        <w:jc w:val="left"/>
      </w:pPr>
      <w:r>
        <w:rPr>
          <w:rFonts w:ascii="仿宋_GB2312" w:hAnsi="仿宋_GB2312" w:cs="仿宋_GB2312" w:eastAsia="仿宋_GB2312"/>
          <w:b/>
        </w:rPr>
        <w:t>本项目属于服务类项目，中小企业划分标准所属行业为：软件和信息技术服务业。</w:t>
      </w:r>
    </w:p>
    <w:p>
      <w:pPr>
        <w:pStyle w:val="null3"/>
        <w:jc w:val="left"/>
      </w:pPr>
      <w:r>
        <w:rPr>
          <w:rFonts w:ascii="仿宋_GB2312" w:hAnsi="仿宋_GB2312" w:cs="仿宋_GB2312" w:eastAsia="仿宋_GB2312"/>
          <w:b/>
        </w:rPr>
        <w:t>本项目属于专门面向中小企业采购项目。</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或2024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广东省广州市天河区华夏路3号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020-38006100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200"/>
        <w:jc w:val="both"/>
      </w:pPr>
      <w:r>
        <w:rPr>
          <w:rFonts w:ascii="仿宋_GB2312" w:hAnsi="仿宋_GB2312" w:cs="仿宋_GB2312" w:eastAsia="仿宋_GB2312"/>
          <w:sz w:val="24"/>
        </w:rPr>
        <w:t>项目联系人：郑工/刘工</w:t>
      </w:r>
    </w:p>
    <w:p>
      <w:pPr>
        <w:pStyle w:val="null3"/>
        <w:ind w:firstLine="200"/>
        <w:jc w:val="both"/>
      </w:pPr>
      <w:r>
        <w:rPr>
          <w:rFonts w:ascii="仿宋_GB2312" w:hAnsi="仿宋_GB2312" w:cs="仿宋_GB2312" w:eastAsia="仿宋_GB2312"/>
          <w:sz w:val="24"/>
        </w:rPr>
        <w:t>电话：020-83186835/83187283（sczx3@gd.gov.cn推荐使用）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rPr>
        <w:t xml:space="preserve"> “★”号条款</w:t>
      </w:r>
      <w:r>
        <w:br/>
      </w:r>
      <w:r>
        <w:rPr>
          <w:rFonts w:ascii="仿宋_GB2312" w:hAnsi="仿宋_GB2312" w:cs="仿宋_GB2312" w:eastAsia="仿宋_GB2312"/>
        </w:rPr>
        <w:t xml:space="preserve">  《用户需求书》中标注有“★”号的条款必须实质性响应，负偏离（不满足要求）将导致投标无效。</w:t>
      </w:r>
      <w:r>
        <w:br/>
      </w:r>
      <w:r>
        <w:rPr>
          <w:rFonts w:ascii="仿宋_GB2312" w:hAnsi="仿宋_GB2312" w:cs="仿宋_GB2312" w:eastAsia="仿宋_GB2312"/>
        </w:rPr>
        <w:t xml:space="preserve">  ★投标人承诺所投入人员为投标人的正式员工或签合同满一年的人员（供应商投标时需提供承诺函，格式可参考附件）。</w:t>
      </w:r>
      <w:r>
        <w:br/>
      </w:r>
      <w:r>
        <w:rPr>
          <w:rFonts w:ascii="仿宋_GB2312" w:hAnsi="仿宋_GB2312" w:cs="仿宋_GB2312" w:eastAsia="仿宋_GB2312"/>
        </w:rPr>
        <w:t xml:space="preserve">  ★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r>
        <w:br/>
      </w:r>
      <w:r>
        <w:rPr>
          <w:rFonts w:ascii="仿宋_GB2312" w:hAnsi="仿宋_GB2312" w:cs="仿宋_GB2312" w:eastAsia="仿宋_GB2312"/>
        </w:rPr>
        <w:t xml:space="preserve"> 1.    需求范围说明</w:t>
      </w:r>
      <w:r>
        <w:br/>
      </w:r>
      <w:r>
        <w:rPr>
          <w:rFonts w:ascii="仿宋_GB2312" w:hAnsi="仿宋_GB2312" w:cs="仿宋_GB2312" w:eastAsia="仿宋_GB2312"/>
        </w:rPr>
        <w:t xml:space="preserve"> 1.1    项目概述</w:t>
      </w:r>
      <w:r>
        <w:br/>
      </w:r>
      <w:r>
        <w:rPr>
          <w:rFonts w:ascii="仿宋_GB2312" w:hAnsi="仿宋_GB2312" w:cs="仿宋_GB2312" w:eastAsia="仿宋_GB2312"/>
        </w:rPr>
        <w:t xml:space="preserve"> 按照国家大数据战略实施要求及税收征管改革意见，广州市税务局建设了广州大数据服务管理应用。该系统依托省级数据资源体系，通过省市共建模式创新数据治理路径，在夯实全省通用数据服务基础上，叠加广州特色数据服务能力，有效提升税收数据管理、分析及应用水平。</w:t>
      </w:r>
      <w:r>
        <w:br/>
      </w:r>
      <w:r>
        <w:rPr>
          <w:rFonts w:ascii="仿宋_GB2312" w:hAnsi="仿宋_GB2312" w:cs="仿宋_GB2312" w:eastAsia="仿宋_GB2312"/>
        </w:rPr>
        <w:t xml:space="preserve"> 当前，广州市正加速构建“12218”现代化产业体系，以制造业立市为核心，推动两业融合、两化转型，重点培育智能网联与新能源汽车、生物医药与健康等21个战略性产业集群，全面布局未来产业与现代服务业。这一战略既是应对经济转型压力的关键抓手，更是实现高质量发展、抢占全球产业竞争制高点的重要路径。</w:t>
      </w:r>
      <w:r>
        <w:br/>
      </w:r>
      <w:r>
        <w:rPr>
          <w:rFonts w:ascii="仿宋_GB2312" w:hAnsi="仿宋_GB2312" w:cs="仿宋_GB2312" w:eastAsia="仿宋_GB2312"/>
        </w:rPr>
        <w:t xml:space="preserve"> 在此背景下，广州大数据应用服务项目将以数字强基工程为抓手，利用大数据为税收服务管理赋能，推动税务治理从‘信息化’向‘数智化’跨越。同时紧密对接“12218”战略需求，聚焦三大方向深化数据赋能：一是服务平台经济规范发展，提供监管与政策支持的数据底座；二是支撑城中村改造，强化土地资源盘活、产业载体升级等关键环节的涉税数据应用；三是强化重点产业动态监测，为产业政策制定、资源精准配置提供量化支撑。</w:t>
      </w:r>
      <w:r>
        <w:br/>
      </w:r>
      <w:r>
        <w:rPr>
          <w:rFonts w:ascii="仿宋_GB2312" w:hAnsi="仿宋_GB2312" w:cs="仿宋_GB2312" w:eastAsia="仿宋_GB2312"/>
        </w:rPr>
        <w:t xml:space="preserve"> 1.2    项目目标</w:t>
      </w:r>
      <w:r>
        <w:br/>
      </w:r>
      <w:r>
        <w:rPr>
          <w:rFonts w:ascii="仿宋_GB2312" w:hAnsi="仿宋_GB2312" w:cs="仿宋_GB2312" w:eastAsia="仿宋_GB2312"/>
        </w:rPr>
        <w:t xml:space="preserve"> 本项目拟通过购买技术服务的形式，基于省局数据资源中心、数据服务平台等，以数字强基工程为引领，通过指标标签体系标准化、数据资源整合化、智能应用集约化、技术支撑体系化建设，夯实税务数字化转型的底层能力，实现从‘经验驱动’向‘数据驱动’的跨越，为精准监管、智能服务提供长效支撑。</w:t>
      </w:r>
      <w:r>
        <w:br/>
      </w:r>
      <w:r>
        <w:rPr>
          <w:rFonts w:ascii="仿宋_GB2312" w:hAnsi="仿宋_GB2312" w:cs="仿宋_GB2312" w:eastAsia="仿宋_GB2312"/>
        </w:rPr>
        <w:t xml:space="preserve"> 本项目包括以下内容：</w:t>
      </w:r>
      <w:r>
        <w:br/>
      </w:r>
      <w:r>
        <w:rPr>
          <w:rFonts w:ascii="仿宋_GB2312" w:hAnsi="仿宋_GB2312" w:cs="仿宋_GB2312" w:eastAsia="仿宋_GB2312"/>
        </w:rPr>
        <w:t xml:space="preserve"> 1．指标标签建设，指标和标签是数据应用的“最小单元”，依托广东省税务局数据资源中心和数据服务平台，遵循数据管理规范和技术规范，通过统一的工具服务、接口服务，对标签、指标以及相关的接口或库表进行建设，并通过标准化建设夯实数据治理基础。。</w:t>
      </w:r>
      <w:r>
        <w:br/>
      </w:r>
      <w:r>
        <w:rPr>
          <w:rFonts w:ascii="仿宋_GB2312" w:hAnsi="仿宋_GB2312" w:cs="仿宋_GB2312" w:eastAsia="仿宋_GB2312"/>
        </w:rPr>
        <w:t xml:space="preserve"> 2．数据赋能。基于各个部门的业务需求，通过提供定制化、特色化的功能服务，赋能业务部门深入挖掘数据价值，精心打造直观、交互性强的可视化展示大屏页面及数据报表，通过数据可视化与共享机制，提升数据资产化能力，夯实业务协同基础。</w:t>
      </w:r>
      <w:r>
        <w:br/>
      </w:r>
      <w:r>
        <w:rPr>
          <w:rFonts w:ascii="仿宋_GB2312" w:hAnsi="仿宋_GB2312" w:cs="仿宋_GB2312" w:eastAsia="仿宋_GB2312"/>
        </w:rPr>
        <w:t xml:space="preserve"> 3.其它技术支持服务等。</w:t>
      </w:r>
      <w:r>
        <w:br/>
      </w:r>
      <w:r>
        <w:rPr>
          <w:rFonts w:ascii="仿宋_GB2312" w:hAnsi="仿宋_GB2312" w:cs="仿宋_GB2312" w:eastAsia="仿宋_GB2312"/>
        </w:rPr>
        <w:t xml:space="preserve"> 2.    服务内容与要求</w:t>
      </w:r>
      <w:r>
        <w:br/>
      </w:r>
      <w:r>
        <w:rPr>
          <w:rFonts w:ascii="仿宋_GB2312" w:hAnsi="仿宋_GB2312" w:cs="仿宋_GB2312" w:eastAsia="仿宋_GB2312"/>
        </w:rPr>
        <w:t xml:space="preserve"> 2.1    服务内容</w:t>
      </w:r>
      <w:r>
        <w:br/>
      </w:r>
      <w:r>
        <w:rPr>
          <w:rFonts w:ascii="仿宋_GB2312" w:hAnsi="仿宋_GB2312" w:cs="仿宋_GB2312" w:eastAsia="仿宋_GB2312"/>
        </w:rPr>
        <w:t xml:space="preserve"> 2.1.1    基本要求</w:t>
      </w:r>
      <w:r>
        <w:br/>
      </w:r>
      <w:r>
        <w:rPr>
          <w:rFonts w:ascii="仿宋_GB2312" w:hAnsi="仿宋_GB2312" w:cs="仿宋_GB2312" w:eastAsia="仿宋_GB2312"/>
        </w:rPr>
        <w:t xml:space="preserve">     投标人应按照采购需求的要求提供详细的运营服务方案。服务实施方案需包括但不限于质量保障措施、服务进度计划、人员管理方案、根据验收标准编制的验收方案等，要求如下：</w:t>
      </w:r>
      <w:r>
        <w:br/>
      </w:r>
      <w:r>
        <w:rPr>
          <w:rFonts w:ascii="仿宋_GB2312" w:hAnsi="仿宋_GB2312" w:cs="仿宋_GB2312" w:eastAsia="仿宋_GB2312"/>
        </w:rPr>
        <w:t xml:space="preserve">  （1）服务目标明确：方案对运营服务要达到的目标要有清晰定义。</w:t>
      </w:r>
      <w:r>
        <w:br/>
      </w:r>
      <w:r>
        <w:rPr>
          <w:rFonts w:ascii="仿宋_GB2312" w:hAnsi="仿宋_GB2312" w:cs="仿宋_GB2312" w:eastAsia="仿宋_GB2312"/>
        </w:rPr>
        <w:t xml:space="preserve">  （2）服务内容完整：方案所列的服务内容要契合项目业务需求，并且要完整具体。</w:t>
      </w:r>
      <w:r>
        <w:br/>
      </w:r>
      <w:r>
        <w:rPr>
          <w:rFonts w:ascii="仿宋_GB2312" w:hAnsi="仿宋_GB2312" w:cs="仿宋_GB2312" w:eastAsia="仿宋_GB2312"/>
        </w:rPr>
        <w:t xml:space="preserve">  （3）人员配置合理：要说明项目服务团队的人员配置，并解释配置的合理性。</w:t>
      </w:r>
      <w:r>
        <w:br/>
      </w:r>
      <w:r>
        <w:rPr>
          <w:rFonts w:ascii="仿宋_GB2312" w:hAnsi="仿宋_GB2312" w:cs="仿宋_GB2312" w:eastAsia="仿宋_GB2312"/>
        </w:rPr>
        <w:t xml:space="preserve">  （4）服务流程规范：应体现标准化的运营服务流程，确保服务高效有序。</w:t>
      </w:r>
      <w:r>
        <w:br/>
      </w:r>
      <w:r>
        <w:rPr>
          <w:rFonts w:ascii="仿宋_GB2312" w:hAnsi="仿宋_GB2312" w:cs="仿宋_GB2312" w:eastAsia="仿宋_GB2312"/>
        </w:rPr>
        <w:t xml:space="preserve">  （5）服务进度保障：制定详细的服务进度计划，并提供有效措施确保计划顺利实施。</w:t>
      </w:r>
      <w:r>
        <w:br/>
      </w:r>
      <w:r>
        <w:rPr>
          <w:rFonts w:ascii="仿宋_GB2312" w:hAnsi="仿宋_GB2312" w:cs="仿宋_GB2312" w:eastAsia="仿宋_GB2312"/>
        </w:rPr>
        <w:t xml:space="preserve">  （6）安全保障可靠：能提供运营服务过程中数据安全、系统安全的保障措施。</w:t>
      </w:r>
      <w:r>
        <w:br/>
      </w:r>
      <w:r>
        <w:rPr>
          <w:rFonts w:ascii="仿宋_GB2312" w:hAnsi="仿宋_GB2312" w:cs="仿宋_GB2312" w:eastAsia="仿宋_GB2312"/>
        </w:rPr>
        <w:t xml:space="preserve">     投标人还应按照采购需求的要求提供详细的项目管理方案，方案满足如下要求：</w:t>
      </w:r>
      <w:r>
        <w:br/>
      </w:r>
      <w:r>
        <w:rPr>
          <w:rFonts w:ascii="仿宋_GB2312" w:hAnsi="仿宋_GB2312" w:cs="仿宋_GB2312" w:eastAsia="仿宋_GB2312"/>
        </w:rPr>
        <w:t xml:space="preserve">  （1）项目目标明确：要清晰确定项目目标，包括具体功能、性能指标、完成时间等。</w:t>
      </w:r>
      <w:r>
        <w:br/>
      </w:r>
      <w:r>
        <w:rPr>
          <w:rFonts w:ascii="仿宋_GB2312" w:hAnsi="仿宋_GB2312" w:cs="仿宋_GB2312" w:eastAsia="仿宋_GB2312"/>
        </w:rPr>
        <w:t xml:space="preserve">  （2）进度规划合理：制定详细的进度计划，合理划分项目阶段，确定各阶段起止时间。</w:t>
      </w:r>
      <w:r>
        <w:br/>
      </w:r>
      <w:r>
        <w:rPr>
          <w:rFonts w:ascii="仿宋_GB2312" w:hAnsi="仿宋_GB2312" w:cs="仿宋_GB2312" w:eastAsia="仿宋_GB2312"/>
        </w:rPr>
        <w:t xml:space="preserve">  （3）资源分配恰当：配备合适的项目团队人员，合理安排人力资源。</w:t>
      </w:r>
      <w:r>
        <w:br/>
      </w:r>
      <w:r>
        <w:rPr>
          <w:rFonts w:ascii="仿宋_GB2312" w:hAnsi="仿宋_GB2312" w:cs="仿宋_GB2312" w:eastAsia="仿宋_GB2312"/>
        </w:rPr>
        <w:t xml:space="preserve">  （4）风险管理有效：能识别项目潜在风险，并制定应对策略。</w:t>
      </w:r>
      <w:r>
        <w:br/>
      </w:r>
      <w:r>
        <w:rPr>
          <w:rFonts w:ascii="仿宋_GB2312" w:hAnsi="仿宋_GB2312" w:cs="仿宋_GB2312" w:eastAsia="仿宋_GB2312"/>
        </w:rPr>
        <w:t xml:space="preserve">  （5）文档管理规范：有规范的项目文档管理措施，确保文档的完整性和可追溯性。</w:t>
      </w:r>
      <w:r>
        <w:br/>
      </w:r>
      <w:r>
        <w:rPr>
          <w:rFonts w:ascii="仿宋_GB2312" w:hAnsi="仿宋_GB2312" w:cs="仿宋_GB2312" w:eastAsia="仿宋_GB2312"/>
        </w:rPr>
        <w:t xml:space="preserve">  投标人在其服务实施方案中，对采购需求中所提各项要求能否实现与满足，投标人亦可根据自己的技术支持服务具体情况，在服务实施方案中提出建议，并附详细资料和说明。</w:t>
      </w:r>
      <w:r>
        <w:br/>
      </w:r>
      <w:r>
        <w:rPr>
          <w:rFonts w:ascii="仿宋_GB2312" w:hAnsi="仿宋_GB2312" w:cs="仿宋_GB2312" w:eastAsia="仿宋_GB2312"/>
        </w:rPr>
        <w:t xml:space="preserve">     投标人须在按照采购需求的要求提供各项数据支持的服务方案，包含分别针对指标标签建设、数据赋能、探索智能化应用相关业务及数据处理的具体设计方案和优化建议。</w:t>
      </w:r>
    </w:p>
    <w:p>
      <w:pPr>
        <w:pStyle w:val="null3"/>
        <w:jc w:val="left"/>
      </w:pPr>
      <w:r>
        <w:rPr>
          <w:rFonts w:ascii="仿宋_GB2312" w:hAnsi="仿宋_GB2312" w:cs="仿宋_GB2312" w:eastAsia="仿宋_GB2312"/>
        </w:rPr>
        <w:t>2.1.2    指标标签建设</w:t>
      </w:r>
      <w:r>
        <w:br/>
      </w:r>
      <w:r>
        <w:rPr>
          <w:rFonts w:ascii="仿宋_GB2312" w:hAnsi="仿宋_GB2312" w:cs="仿宋_GB2312" w:eastAsia="仿宋_GB2312"/>
        </w:rPr>
        <w:t xml:space="preserve"> 在省局指标库、标签库的基础上扩展建设，围绕数字强基目标，构建覆盖纳税人全生命周期、全业务场景的标准化指标标签体系（如纳税人信用等级、行业风险特征、政策适配标签等），统一数据定义、计算逻辑和调用接口，形成可复用、可扩展的‘数据原子库’，解决数据孤岛问题，为风险识别、政策推送提供精准数据底座。建设内容包括：各种形式的指标和标签（总数量不少于1000个），以及指标和标签需要使用到的相关接口或库表等。</w:t>
      </w:r>
      <w:r>
        <w:br/>
      </w:r>
      <w:r>
        <w:rPr>
          <w:rFonts w:ascii="仿宋_GB2312" w:hAnsi="仿宋_GB2312" w:cs="仿宋_GB2312" w:eastAsia="仿宋_GB2312"/>
        </w:rPr>
        <w:t xml:space="preserve"> 2.1.3    数据赋能</w:t>
      </w:r>
      <w:r>
        <w:br/>
      </w:r>
      <w:r>
        <w:rPr>
          <w:rFonts w:ascii="仿宋_GB2312" w:hAnsi="仿宋_GB2312" w:cs="仿宋_GB2312" w:eastAsia="仿宋_GB2312"/>
        </w:rPr>
        <w:t xml:space="preserve"> 基于各个部门的业务需求，通过提供特色化功能服务，对不同部门赋能，帮助不同业务部门进行数据价值挖掘。依托省局可视化工具超市，打造‘数据驾驶舱’基座平台，构建行业主题、重点企业监控等分析大屏页面，实现数据‘一屏统览、多维穿透’。建设要求如下：创建不少于15个用于大屏展示的页面和50个数据报表，同时对现有部分大屏页面进行优化升级，包括但不限于以下内容：</w:t>
      </w:r>
      <w:r>
        <w:br/>
      </w:r>
      <w:r>
        <w:rPr>
          <w:rFonts w:ascii="仿宋_GB2312" w:hAnsi="仿宋_GB2312" w:cs="仿宋_GB2312" w:eastAsia="仿宋_GB2312"/>
        </w:rPr>
        <w:t xml:space="preserve"> （一）、大屏页面新增需求</w:t>
      </w:r>
      <w:r>
        <w:br/>
      </w:r>
      <w:r>
        <w:rPr>
          <w:rFonts w:ascii="仿宋_GB2312" w:hAnsi="仿宋_GB2312" w:cs="仿宋_GB2312" w:eastAsia="仿宋_GB2312"/>
        </w:rPr>
        <w:t xml:space="preserve"> 1、新兴产业主题大屏页面</w:t>
      </w:r>
      <w:r>
        <w:br/>
      </w:r>
      <w:r>
        <w:rPr>
          <w:rFonts w:ascii="仿宋_GB2312" w:hAnsi="仿宋_GB2312" w:cs="仿宋_GB2312" w:eastAsia="仿宋_GB2312"/>
        </w:rPr>
        <w:t xml:space="preserve"> 创建一组新兴产业相关主题大屏页面，包括新兴产业总览、管户情况、收入情况、费金情况、发展情况等方面相关内容，采用抽屉式条件筛选功能，使用户能够灵活地选择并查看各类新兴产业在不同角度的数据情况，全面、直观地展示各新兴产业在不同区域、不同维度上的表现。</w:t>
      </w:r>
      <w:r>
        <w:br/>
      </w:r>
      <w:r>
        <w:rPr>
          <w:rFonts w:ascii="仿宋_GB2312" w:hAnsi="仿宋_GB2312" w:cs="仿宋_GB2312" w:eastAsia="仿宋_GB2312"/>
        </w:rPr>
        <w:t xml:space="preserve"> 具体包括但不限于以下内容：</w:t>
      </w:r>
      <w:r>
        <w:br/>
      </w:r>
      <w:r>
        <w:rPr>
          <w:rFonts w:ascii="仿宋_GB2312" w:hAnsi="仿宋_GB2312" w:cs="仿宋_GB2312" w:eastAsia="仿宋_GB2312"/>
        </w:rPr>
        <w:t xml:space="preserve"> （1）新兴产业总览：展示各新兴产业在特定区域的总体概况，包括新兴产业户数、营业收入、开票金额、入库金额等关键指标。</w:t>
      </w:r>
      <w:r>
        <w:br/>
      </w:r>
      <w:r>
        <w:rPr>
          <w:rFonts w:ascii="仿宋_GB2312" w:hAnsi="仿宋_GB2312" w:cs="仿宋_GB2312" w:eastAsia="仿宋_GB2312"/>
        </w:rPr>
        <w:t xml:space="preserve"> （2）管户情况（新兴产业）：聚焦各新兴产业管户情况，展示各区域、各主体、各类型纳税人管户数量及增长趋势等。</w:t>
      </w:r>
      <w:r>
        <w:br/>
      </w:r>
      <w:r>
        <w:rPr>
          <w:rFonts w:ascii="仿宋_GB2312" w:hAnsi="仿宋_GB2312" w:cs="仿宋_GB2312" w:eastAsia="仿宋_GB2312"/>
        </w:rPr>
        <w:t xml:space="preserve"> （3）收入情况（新兴产业）：展示各新兴产业在不同时间段内的收入数据，包括组织税费收入、国内税收收入、费金收入等指标数值及增长趋势等。</w:t>
      </w:r>
      <w:r>
        <w:br/>
      </w:r>
      <w:r>
        <w:rPr>
          <w:rFonts w:ascii="仿宋_GB2312" w:hAnsi="仿宋_GB2312" w:cs="仿宋_GB2312" w:eastAsia="仿宋_GB2312"/>
        </w:rPr>
        <w:t xml:space="preserve"> （4）费金收入（新兴产业）：分析各新兴产业在社保费收入及非税收入等方面的数据。</w:t>
      </w:r>
      <w:r>
        <w:br/>
      </w:r>
      <w:r>
        <w:rPr>
          <w:rFonts w:ascii="仿宋_GB2312" w:hAnsi="仿宋_GB2312" w:cs="仿宋_GB2312" w:eastAsia="仿宋_GB2312"/>
        </w:rPr>
        <w:t xml:space="preserve"> （5）发展情况（新兴产业）：通过税收收入、开票金额、营业收入等指标展示各行业的发展趋势和潜力。</w:t>
      </w:r>
      <w:r>
        <w:br/>
      </w:r>
      <w:r>
        <w:rPr>
          <w:rFonts w:ascii="仿宋_GB2312" w:hAnsi="仿宋_GB2312" w:cs="仿宋_GB2312" w:eastAsia="仿宋_GB2312"/>
        </w:rPr>
        <w:t xml:space="preserve"> 2、平台经济监控</w:t>
      </w:r>
      <w:r>
        <w:br/>
      </w:r>
      <w:r>
        <w:rPr>
          <w:rFonts w:ascii="仿宋_GB2312" w:hAnsi="仿宋_GB2312" w:cs="仿宋_GB2312" w:eastAsia="仿宋_GB2312"/>
        </w:rPr>
        <w:t xml:space="preserve"> 创建平台经济监控大屏页面，旨在展示平台企业在穗的营收情况、税收规模、增值税进销差以及各省市的购进或销售情况等关键指标。通过直观的图表和数据展示，帮助我们全面、实时地了解这些重点平台企业在广州市以及各省市的经营状况，帮助我们更好地了解这些重点平台企业的经营状况和市场动态。</w:t>
      </w:r>
      <w:r>
        <w:br/>
      </w:r>
      <w:r>
        <w:rPr>
          <w:rFonts w:ascii="仿宋_GB2312" w:hAnsi="仿宋_GB2312" w:cs="仿宋_GB2312" w:eastAsia="仿宋_GB2312"/>
        </w:rPr>
        <w:t xml:space="preserve"> 3、城中村改造监控</w:t>
      </w:r>
      <w:r>
        <w:br/>
      </w:r>
      <w:r>
        <w:rPr>
          <w:rFonts w:ascii="仿宋_GB2312" w:hAnsi="仿宋_GB2312" w:cs="仿宋_GB2312" w:eastAsia="仿宋_GB2312"/>
        </w:rPr>
        <w:t xml:space="preserve"> 创建城中村改造大屏页面，依托多维数据融合，可视化展现资源流动效能、税源培育潜力及治理协同水平，为战略资源配置、跨域政策联动提供前瞻性洞察。</w:t>
      </w:r>
      <w:r>
        <w:br/>
      </w:r>
      <w:r>
        <w:rPr>
          <w:rFonts w:ascii="仿宋_GB2312" w:hAnsi="仿宋_GB2312" w:cs="仿宋_GB2312" w:eastAsia="仿宋_GB2312"/>
        </w:rPr>
        <w:t xml:space="preserve"> （二）大屏页面优化需求</w:t>
      </w:r>
      <w:r>
        <w:br/>
      </w:r>
      <w:r>
        <w:rPr>
          <w:rFonts w:ascii="仿宋_GB2312" w:hAnsi="仿宋_GB2312" w:cs="仿宋_GB2312" w:eastAsia="仿宋_GB2312"/>
        </w:rPr>
        <w:t xml:space="preserve"> 1、经济顺逆差</w:t>
      </w:r>
      <w:r>
        <w:br/>
      </w:r>
      <w:r>
        <w:rPr>
          <w:rFonts w:ascii="仿宋_GB2312" w:hAnsi="仿宋_GB2312" w:cs="仿宋_GB2312" w:eastAsia="仿宋_GB2312"/>
        </w:rPr>
        <w:t xml:space="preserve"> 优化现有经济顺逆差大屏页面，在现有按省份维度展示经济顺逆差的基础上，进一步细化数据展示颗粒度，增加按地市维度的展示，使其更精确地描述广州与全国其他地市之间的经济往来情况，包括贸易顺差、贸易逆差等关键指标。此外，除了地域维度的扩展，我们还将增加行业大类维度的分析。通过这一升级，我们可以更直观地洞察广州与各地方经济的互动关系，为决策提供更为细致的数据支持。</w:t>
      </w:r>
      <w:r>
        <w:br/>
      </w:r>
      <w:r>
        <w:rPr>
          <w:rFonts w:ascii="仿宋_GB2312" w:hAnsi="仿宋_GB2312" w:cs="仿宋_GB2312" w:eastAsia="仿宋_GB2312"/>
        </w:rPr>
        <w:t xml:space="preserve"> 2、收入情况</w:t>
      </w:r>
      <w:r>
        <w:br/>
      </w:r>
      <w:r>
        <w:rPr>
          <w:rFonts w:ascii="仿宋_GB2312" w:hAnsi="仿宋_GB2312" w:cs="仿宋_GB2312" w:eastAsia="仿宋_GB2312"/>
        </w:rPr>
        <w:t xml:space="preserve"> 优化收入情况大屏页面，一是数据维度方面：对现有收入大屏页面的数据指标口径进行全面梳理，确保每个数据指标都准确无误地反映了实际业务情况，并将收入相关大屏页面的指标口径进行统一，以提升大屏页面的实用性和可比性。二是界面展示方面：增加税费总收入、海关代征收入等指标及其占全省比重情况，进一步提升大屏页面的决策支持能力。</w:t>
      </w:r>
      <w:r>
        <w:br/>
      </w:r>
      <w:r>
        <w:rPr>
          <w:rFonts w:ascii="仿宋_GB2312" w:hAnsi="仿宋_GB2312" w:cs="仿宋_GB2312" w:eastAsia="仿宋_GB2312"/>
        </w:rPr>
        <w:t xml:space="preserve"> 3、重点税源税收情况</w:t>
      </w:r>
      <w:r>
        <w:br/>
      </w:r>
      <w:r>
        <w:rPr>
          <w:rFonts w:ascii="仿宋_GB2312" w:hAnsi="仿宋_GB2312" w:cs="仿宋_GB2312" w:eastAsia="仿宋_GB2312"/>
        </w:rPr>
        <w:t xml:space="preserve"> 优化重点税源税收情况，一是数据维度方面：对重点税源企业的名单数据进行梳理，并根据最新的税务数据要求，对名单进行更新。此外，统一更新重点税源名单收入相关指标的口径。二是界面展示方面：增加入库前十名单的展示等相关内容。</w:t>
      </w:r>
      <w:r>
        <w:br/>
      </w:r>
      <w:r>
        <w:rPr>
          <w:rFonts w:ascii="仿宋_GB2312" w:hAnsi="仿宋_GB2312" w:cs="仿宋_GB2312" w:eastAsia="仿宋_GB2312"/>
        </w:rPr>
        <w:t xml:space="preserve"> （三）    统计报表</w:t>
      </w:r>
      <w:r>
        <w:br/>
      </w:r>
      <w:r>
        <w:rPr>
          <w:rFonts w:ascii="仿宋_GB2312" w:hAnsi="仿宋_GB2312" w:cs="仿宋_GB2312" w:eastAsia="仿宋_GB2312"/>
        </w:rPr>
        <w:t xml:space="preserve"> 根据业务部门需求，建设统计报表，包括但不限于：12218重点行业重点产业分析。</w:t>
      </w:r>
      <w:r>
        <w:br/>
      </w:r>
      <w:r>
        <w:rPr>
          <w:rFonts w:ascii="仿宋_GB2312" w:hAnsi="仿宋_GB2312" w:cs="仿宋_GB2312" w:eastAsia="仿宋_GB2312"/>
        </w:rPr>
        <w:t xml:space="preserve"> 2.1.4    技术支持</w:t>
      </w:r>
      <w:r>
        <w:br/>
      </w:r>
      <w:r>
        <w:rPr>
          <w:rFonts w:ascii="仿宋_GB2312" w:hAnsi="仿宋_GB2312" w:cs="仿宋_GB2312" w:eastAsia="仿宋_GB2312"/>
        </w:rPr>
        <w:t xml:space="preserve"> （一）一户式分析报告优化及运维支持，包括对报告的数据源进行更新，对报告的格式和内容进行优化等工作，并确保系统的稳定运行，以解决用户在使用过程中遇到的各种问题。</w:t>
      </w:r>
      <w:r>
        <w:br/>
      </w:r>
      <w:r>
        <w:rPr>
          <w:rFonts w:ascii="仿宋_GB2312" w:hAnsi="仿宋_GB2312" w:cs="仿宋_GB2312" w:eastAsia="仿宋_GB2312"/>
        </w:rPr>
        <w:t xml:space="preserve"> （二）税收决策支撑系统日常演示汇报、数据加工及更新处理等技术支持工作。</w:t>
      </w:r>
      <w:r>
        <w:br/>
      </w:r>
      <w:r>
        <w:rPr>
          <w:rFonts w:ascii="仿宋_GB2312" w:hAnsi="仿宋_GB2312" w:cs="仿宋_GB2312" w:eastAsia="仿宋_GB2312"/>
        </w:rPr>
        <w:t xml:space="preserve"> （三）关于大数据应用相关功能模块，对开发者遇问题提供技术支持，包括问题解答、示例制作、培训讲解等；</w:t>
      </w:r>
      <w:r>
        <w:br/>
      </w:r>
      <w:r>
        <w:rPr>
          <w:rFonts w:ascii="仿宋_GB2312" w:hAnsi="仿宋_GB2312" w:cs="仿宋_GB2312" w:eastAsia="仿宋_GB2312"/>
        </w:rPr>
        <w:t xml:space="preserve"> 2.2    服务对象与范围</w:t>
      </w:r>
      <w:r>
        <w:br/>
      </w:r>
      <w:r>
        <w:rPr>
          <w:rFonts w:ascii="仿宋_GB2312" w:hAnsi="仿宋_GB2312" w:cs="仿宋_GB2312" w:eastAsia="仿宋_GB2312"/>
        </w:rPr>
        <w:t xml:space="preserve"> 广州市税务局税务人员</w:t>
      </w:r>
      <w:r>
        <w:br/>
      </w:r>
      <w:r>
        <w:rPr>
          <w:rFonts w:ascii="仿宋_GB2312" w:hAnsi="仿宋_GB2312" w:cs="仿宋_GB2312" w:eastAsia="仿宋_GB2312"/>
        </w:rPr>
        <w:t xml:space="preserve"> 2.3    人员要求    </w:t>
      </w:r>
      <w:r>
        <w:br/>
      </w:r>
      <w:r>
        <w:rPr>
          <w:rFonts w:ascii="仿宋_GB2312" w:hAnsi="仿宋_GB2312" w:cs="仿宋_GB2312" w:eastAsia="仿宋_GB2312"/>
        </w:rPr>
        <w:t xml:space="preserve"> 1．项目经理：具有人力资源和社会保障部/工业和信息化部颁发的信息系统项目管理师证书或系统架构设计师。</w:t>
      </w:r>
      <w:r>
        <w:br/>
      </w:r>
      <w:r>
        <w:rPr>
          <w:rFonts w:ascii="仿宋_GB2312" w:hAnsi="仿宋_GB2312" w:cs="仿宋_GB2312" w:eastAsia="仿宋_GB2312"/>
        </w:rPr>
        <w:t xml:space="preserve"> 2．拟投入的团队（项目经理除外）：具有人力资源和社会保障部/工业和信息化部颁发的数据库系统工程师或软件设计师证书，承诺投入固定技术服务人员，且工作经验1年或以上。</w:t>
      </w:r>
      <w:r>
        <w:br/>
      </w:r>
      <w:r>
        <w:rPr>
          <w:rFonts w:ascii="仿宋_GB2312" w:hAnsi="仿宋_GB2312" w:cs="仿宋_GB2312" w:eastAsia="仿宋_GB2312"/>
        </w:rPr>
        <w:t xml:space="preserve"> 3．采购人有权要求撤换不合格的服务人员。</w:t>
      </w:r>
      <w:r>
        <w:br/>
      </w:r>
      <w:r>
        <w:rPr>
          <w:rFonts w:ascii="仿宋_GB2312" w:hAnsi="仿宋_GB2312" w:cs="仿宋_GB2312" w:eastAsia="仿宋_GB2312"/>
        </w:rPr>
        <w:t xml:space="preserve"> 4．服务提供商如中途调整服务人员，须提前一周以书面形式征求采购人意见。</w:t>
      </w:r>
      <w:r>
        <w:br/>
      </w:r>
      <w:r>
        <w:rPr>
          <w:rFonts w:ascii="仿宋_GB2312" w:hAnsi="仿宋_GB2312" w:cs="仿宋_GB2312" w:eastAsia="仿宋_GB2312"/>
        </w:rPr>
        <w:t xml:space="preserve"> 2.4    总体要求</w:t>
      </w:r>
      <w:r>
        <w:br/>
      </w:r>
      <w:r>
        <w:rPr>
          <w:rFonts w:ascii="仿宋_GB2312" w:hAnsi="仿宋_GB2312" w:cs="仿宋_GB2312" w:eastAsia="仿宋_GB2312"/>
        </w:rPr>
        <w:t xml:space="preserve"> 1.供应商应按照采购需求的要求提供详细的技术建议书。供应商提供的各项建议方案应完全符合采购人指明的标准，并满足或高于采购人的要求。</w:t>
      </w:r>
      <w:r>
        <w:br/>
      </w:r>
      <w:r>
        <w:rPr>
          <w:rFonts w:ascii="仿宋_GB2312" w:hAnsi="仿宋_GB2312" w:cs="仿宋_GB2312" w:eastAsia="仿宋_GB2312"/>
        </w:rPr>
        <w:t xml:space="preserve"> 2.供应商在其技术建议书中，对需求中所提各项要求能否实现与满足，应逐项诚实地予以说明和答复。对本建议书中某项回答过于简单或未作明确答复的，将视为不能满足该项要求。</w:t>
      </w:r>
      <w:r>
        <w:br/>
      </w:r>
      <w:r>
        <w:rPr>
          <w:rFonts w:ascii="仿宋_GB2312" w:hAnsi="仿宋_GB2312" w:cs="仿宋_GB2312" w:eastAsia="仿宋_GB2312"/>
        </w:rPr>
        <w:t xml:space="preserve"> 3.供应商自行解决人员的食宿、办公电脑、交通工具等问题。</w:t>
      </w:r>
      <w:r>
        <w:br/>
      </w:r>
      <w:r>
        <w:rPr>
          <w:rFonts w:ascii="仿宋_GB2312" w:hAnsi="仿宋_GB2312" w:cs="仿宋_GB2312" w:eastAsia="仿宋_GB2312"/>
        </w:rPr>
        <w:t xml:space="preserve"> 4.投标人具有相关自主知识产权（内容及“数据仓库、数据交换、数据综合查询、大数据展示、数据应用、数据质量、应用安全”软件著作权证书。</w:t>
      </w:r>
      <w:r>
        <w:br/>
      </w:r>
      <w:r>
        <w:rPr>
          <w:rFonts w:ascii="仿宋_GB2312" w:hAnsi="仿宋_GB2312" w:cs="仿宋_GB2312" w:eastAsia="仿宋_GB2312"/>
        </w:rPr>
        <w:t xml:space="preserve"> 2.5    对服务方的要求</w:t>
      </w:r>
      <w:r>
        <w:br/>
      </w:r>
      <w:r>
        <w:rPr>
          <w:rFonts w:ascii="仿宋_GB2312" w:hAnsi="仿宋_GB2312" w:cs="仿宋_GB2312" w:eastAsia="仿宋_GB2312"/>
        </w:rPr>
        <w:t xml:space="preserve"> 1.供应商向采购人提供本项目的详细服务承诺及保障措施。</w:t>
      </w:r>
      <w:r>
        <w:br/>
      </w:r>
      <w:r>
        <w:rPr>
          <w:rFonts w:ascii="仿宋_GB2312" w:hAnsi="仿宋_GB2312" w:cs="仿宋_GB2312" w:eastAsia="仿宋_GB2312"/>
        </w:rPr>
        <w:t xml:space="preserve"> 2.供应商应实时响应用户提出的需求。</w:t>
      </w:r>
      <w:r>
        <w:br/>
      </w:r>
      <w:r>
        <w:rPr>
          <w:rFonts w:ascii="仿宋_GB2312" w:hAnsi="仿宋_GB2312" w:cs="仿宋_GB2312" w:eastAsia="仿宋_GB2312"/>
        </w:rPr>
        <w:t xml:space="preserve"> 3.在服务期间，供应商须按时提交月报；对新增的业务需求（或业务需求变更），应评估工作量，并由采购人审核确认；服务工作结束后，须提交总结报告，由采购人进行评估验收。</w:t>
      </w:r>
      <w:r>
        <w:br/>
      </w:r>
      <w:r>
        <w:rPr>
          <w:rFonts w:ascii="仿宋_GB2312" w:hAnsi="仿宋_GB2312" w:cs="仿宋_GB2312" w:eastAsia="仿宋_GB2312"/>
        </w:rPr>
        <w:t xml:space="preserve"> 4.供应商应配合采购人进行人员管理，准确填写并及时更新服务人员名册。</w:t>
      </w:r>
      <w:r>
        <w:br/>
      </w:r>
      <w:r>
        <w:rPr>
          <w:rFonts w:ascii="仿宋_GB2312" w:hAnsi="仿宋_GB2312" w:cs="仿宋_GB2312" w:eastAsia="仿宋_GB2312"/>
        </w:rPr>
        <w:t xml:space="preserve"> 5.在服务期内提供7×24小时热线电话服务，故障在2个小时内修复。如无法按时排除故障，在无备用设备的情况下，在8小时内解决，由此产生的费用由供应商承担。供应商必须在故障排除后12小时内将处理结果反馈给采购人。</w:t>
      </w:r>
    </w:p>
    <w:p>
      <w:pPr>
        <w:pStyle w:val="null3"/>
        <w:jc w:val="left"/>
      </w:pPr>
      <w:r>
        <w:rPr>
          <w:rFonts w:ascii="仿宋_GB2312" w:hAnsi="仿宋_GB2312" w:cs="仿宋_GB2312" w:eastAsia="仿宋_GB2312"/>
        </w:rPr>
        <w:t>2.6    知识转移和培训</w:t>
      </w:r>
      <w:r>
        <w:br/>
      </w:r>
      <w:r>
        <w:rPr>
          <w:rFonts w:ascii="仿宋_GB2312" w:hAnsi="仿宋_GB2312" w:cs="仿宋_GB2312" w:eastAsia="仿宋_GB2312"/>
        </w:rPr>
        <w:t xml:space="preserve"> 1．服务提供商在项目实施过程中，应及时将服务过程中产生的详细技术资料（包括需求分析文档、设计文档、测试报告、操作手册等）连同软件源代码交付采购人，并向采购人进行知识转移。上述技术文档应包含保证采购人能够正确进行二次开发、测试、部署、培训、推广、监控、验收和持续运行等所需要的所有内容，并使用采购人的需求管理流程及测试管理流程所附模板。对于采购人业务保障工作要求管理的技术文档，服务提供商应按照采购人要求将相关技术文档纳入业务保障平台进行结构化动态管理。</w:t>
      </w:r>
      <w:r>
        <w:br/>
      </w:r>
      <w:r>
        <w:rPr>
          <w:rFonts w:ascii="仿宋_GB2312" w:hAnsi="仿宋_GB2312" w:cs="仿宋_GB2312" w:eastAsia="仿宋_GB2312"/>
        </w:rPr>
        <w:t xml:space="preserve"> 2．服务提供商应负责对采购人的技术支撑队伍进行知识转移和培训。</w:t>
      </w:r>
      <w:r>
        <w:br/>
      </w:r>
      <w:r>
        <w:rPr>
          <w:rFonts w:ascii="仿宋_GB2312" w:hAnsi="仿宋_GB2312" w:cs="仿宋_GB2312" w:eastAsia="仿宋_GB2312"/>
        </w:rPr>
        <w:t xml:space="preserve"> 2.7    服务期限及进度要求</w:t>
      </w:r>
      <w:r>
        <w:br/>
      </w:r>
      <w:r>
        <w:rPr>
          <w:rFonts w:ascii="仿宋_GB2312" w:hAnsi="仿宋_GB2312" w:cs="仿宋_GB2312" w:eastAsia="仿宋_GB2312"/>
        </w:rPr>
        <w:t xml:space="preserve"> 工作量达到67个人月。</w:t>
      </w:r>
      <w:r>
        <w:br/>
      </w:r>
      <w:r>
        <w:rPr>
          <w:rFonts w:ascii="仿宋_GB2312" w:hAnsi="仿宋_GB2312" w:cs="仿宋_GB2312" w:eastAsia="仿宋_GB2312"/>
        </w:rPr>
        <w:t xml:space="preserve"> 2.8    项目实施地点</w:t>
      </w:r>
      <w:r>
        <w:br/>
      </w:r>
      <w:r>
        <w:rPr>
          <w:rFonts w:ascii="仿宋_GB2312" w:hAnsi="仿宋_GB2312" w:cs="仿宋_GB2312" w:eastAsia="仿宋_GB2312"/>
        </w:rPr>
        <w:t xml:space="preserve"> 广州市内采购人指定地点</w:t>
      </w:r>
      <w:r>
        <w:br/>
      </w:r>
      <w:r>
        <w:rPr>
          <w:rFonts w:ascii="仿宋_GB2312" w:hAnsi="仿宋_GB2312" w:cs="仿宋_GB2312" w:eastAsia="仿宋_GB2312"/>
        </w:rPr>
        <w:t xml:space="preserve"> 2.9    安全及保密要求</w:t>
      </w:r>
      <w:r>
        <w:br/>
      </w:r>
      <w:r>
        <w:rPr>
          <w:rFonts w:ascii="仿宋_GB2312" w:hAnsi="仿宋_GB2312" w:cs="仿宋_GB2312" w:eastAsia="仿宋_GB2312"/>
        </w:rPr>
        <w:t xml:space="preserve"> 1．服务提供商及其服务人员须与采购人签订保密协议，服务人员须遵循采购人的各项规章制度。所接触的广州税务专有信息仅限于本人在本项目中使用，不得向他人泄露，更不得用于演示或宣传。</w:t>
      </w:r>
      <w:r>
        <w:br/>
      </w:r>
      <w:r>
        <w:rPr>
          <w:rFonts w:ascii="仿宋_GB2312" w:hAnsi="仿宋_GB2312" w:cs="仿宋_GB2312" w:eastAsia="仿宋_GB2312"/>
        </w:rPr>
        <w:t xml:space="preserve"> 2．服务提供商在提供服务过程中应按照《中华人民共和国网络安全法》《税务应用系统网络安全审核指南（试行）》规定，开展必需的网络安全工作，提供有关的产出物。</w:t>
      </w:r>
      <w:r>
        <w:br/>
      </w:r>
      <w:r>
        <w:rPr>
          <w:rFonts w:ascii="仿宋_GB2312" w:hAnsi="仿宋_GB2312" w:cs="仿宋_GB2312" w:eastAsia="仿宋_GB2312"/>
        </w:rPr>
        <w:t xml:space="preserve"> 3.采购人、中标人均不得向第三方泄露本合同内容及在本项目履行过程中获得的另一方的商业秘密及知识产权。</w:t>
      </w:r>
      <w:r>
        <w:br/>
      </w:r>
      <w:r>
        <w:rPr>
          <w:rFonts w:ascii="仿宋_GB2312" w:hAnsi="仿宋_GB2312" w:cs="仿宋_GB2312" w:eastAsia="仿宋_GB2312"/>
        </w:rPr>
        <w:t xml:space="preserve"> 5.中标人应对在项目实施过程中接触到的采购人所有系统信息、工作资料等进行保密，不得以任何形式复制、带走或提供给任何其他个人或团体。中标人如违反本保密要求，采购人有权追究中标人的相关法律责任。</w:t>
      </w:r>
      <w:r>
        <w:br/>
      </w:r>
      <w:r>
        <w:rPr>
          <w:rFonts w:ascii="仿宋_GB2312" w:hAnsi="仿宋_GB2312" w:cs="仿宋_GB2312" w:eastAsia="仿宋_GB2312"/>
        </w:rPr>
        <w:t xml:space="preserve"> 6.中标人在本项目实施过程中发生违反网络安全规定行为，造成数据失窃或丢失、敏感信息泄露、主要业务系统瘫痪等不良后果的，自采购人或采购人主管机关做出认定之日起三年内，税务系统各单位可以拒绝中标人参与税务系统政府采购活动。</w:t>
      </w:r>
    </w:p>
    <w:p>
      <w:pPr>
        <w:pStyle w:val="null3"/>
        <w:jc w:val="left"/>
      </w:pPr>
      <w:r>
        <w:rPr>
          <w:rFonts w:ascii="仿宋_GB2312" w:hAnsi="仿宋_GB2312" w:cs="仿宋_GB2312" w:eastAsia="仿宋_GB2312"/>
        </w:rPr>
        <w:t>3.验收要求</w:t>
      </w:r>
      <w:r>
        <w:br/>
      </w:r>
      <w:r>
        <w:rPr>
          <w:rFonts w:ascii="仿宋_GB2312" w:hAnsi="仿宋_GB2312" w:cs="仿宋_GB2312" w:eastAsia="仿宋_GB2312"/>
        </w:rPr>
        <w:t xml:space="preserve"> 3.1验收准入条件</w:t>
      </w:r>
      <w:r>
        <w:br/>
      </w:r>
      <w:r>
        <w:rPr>
          <w:rFonts w:ascii="仿宋_GB2312" w:hAnsi="仿宋_GB2312" w:cs="仿宋_GB2312" w:eastAsia="仿宋_GB2312"/>
        </w:rPr>
        <w:t xml:space="preserve"> 1.本项目采购需求中包含的各项服务工作内容全部完成，工作内容符合采购需求，工作量达到采购要求。</w:t>
      </w:r>
      <w:r>
        <w:br/>
      </w:r>
      <w:r>
        <w:rPr>
          <w:rFonts w:ascii="仿宋_GB2312" w:hAnsi="仿宋_GB2312" w:cs="仿宋_GB2312" w:eastAsia="仿宋_GB2312"/>
        </w:rPr>
        <w:t xml:space="preserve"> 2.运营服务过程中相关管理、技术文档通过采购人评审。</w:t>
      </w:r>
      <w:r>
        <w:br/>
      </w:r>
      <w:r>
        <w:rPr>
          <w:rFonts w:ascii="仿宋_GB2312" w:hAnsi="仿宋_GB2312" w:cs="仿宋_GB2312" w:eastAsia="仿宋_GB2312"/>
        </w:rPr>
        <w:t xml:space="preserve"> 3.2验收标准</w:t>
      </w:r>
      <w:r>
        <w:br/>
      </w:r>
      <w:r>
        <w:rPr>
          <w:rFonts w:ascii="仿宋_GB2312" w:hAnsi="仿宋_GB2312" w:cs="仿宋_GB2312" w:eastAsia="仿宋_GB2312"/>
        </w:rPr>
        <w:t xml:space="preserve"> 采购人以本项目采购需求相关内容为依据，作为项目验收标准用以评定中标人是否按照本招标文件中定义的各项服务内容和服务管理开展各项工作，工作流程和结果是否符合采购人质量管理要求，是否提交相关工作文档。</w:t>
      </w:r>
      <w:r>
        <w:br/>
      </w:r>
      <w:r>
        <w:rPr>
          <w:rFonts w:ascii="仿宋_GB2312" w:hAnsi="仿宋_GB2312" w:cs="仿宋_GB2312" w:eastAsia="仿宋_GB2312"/>
        </w:rPr>
        <w:t xml:space="preserve"> 3.3验收流程</w:t>
      </w:r>
      <w:r>
        <w:br/>
      </w:r>
      <w:r>
        <w:rPr>
          <w:rFonts w:ascii="仿宋_GB2312" w:hAnsi="仿宋_GB2312" w:cs="仿宋_GB2312" w:eastAsia="仿宋_GB2312"/>
        </w:rPr>
        <w:t xml:space="preserve"> 1.在合同服务期满后的30个工作日内，采购人、中标人就中标人提供服务进行验收。</w:t>
      </w:r>
      <w:r>
        <w:br/>
      </w:r>
      <w:r>
        <w:rPr>
          <w:rFonts w:ascii="仿宋_GB2312" w:hAnsi="仿宋_GB2312" w:cs="仿宋_GB2312" w:eastAsia="仿宋_GB2312"/>
        </w:rPr>
        <w:t xml:space="preserve"> 2.中标人完成本项目采购需求中全部服务工作内容，符合本项目验收准入条件后，中标人可提出项目验收申请。</w:t>
      </w:r>
      <w:r>
        <w:br/>
      </w:r>
      <w:r>
        <w:rPr>
          <w:rFonts w:ascii="仿宋_GB2312" w:hAnsi="仿宋_GB2312" w:cs="仿宋_GB2312" w:eastAsia="仿宋_GB2312"/>
        </w:rPr>
        <w:t xml:space="preserve"> 3.中标人书面提出项目验收申请。</w:t>
      </w:r>
      <w:r>
        <w:br/>
      </w:r>
      <w:r>
        <w:rPr>
          <w:rFonts w:ascii="仿宋_GB2312" w:hAnsi="仿宋_GB2312" w:cs="仿宋_GB2312" w:eastAsia="仿宋_GB2312"/>
        </w:rPr>
        <w:t xml:space="preserve"> 4.中标人向采购人提交《项目工作总结报告》。</w:t>
      </w:r>
      <w:r>
        <w:br/>
      </w:r>
      <w:r>
        <w:rPr>
          <w:rFonts w:ascii="仿宋_GB2312" w:hAnsi="仿宋_GB2312" w:cs="仿宋_GB2312" w:eastAsia="仿宋_GB2312"/>
        </w:rPr>
        <w:t xml:space="preserve"> 5.中标人向采购人整理提交与本项目采购需求实现的相关管理、技术文档电子版文件。</w:t>
      </w:r>
      <w:r>
        <w:br/>
      </w:r>
      <w:r>
        <w:rPr>
          <w:rFonts w:ascii="仿宋_GB2312" w:hAnsi="仿宋_GB2312" w:cs="仿宋_GB2312" w:eastAsia="仿宋_GB2312"/>
        </w:rPr>
        <w:t xml:space="preserve"> 6.采购人组织进行项目验收评审会议，对项目工作内容及文档进行验收评审。</w:t>
      </w:r>
      <w:r>
        <w:br/>
      </w:r>
      <w:r>
        <w:rPr>
          <w:rFonts w:ascii="仿宋_GB2312" w:hAnsi="仿宋_GB2312" w:cs="仿宋_GB2312" w:eastAsia="仿宋_GB2312"/>
        </w:rPr>
        <w:t xml:space="preserve"> 7.项目验收评审通过后，采购人出具项目验收报告。</w:t>
      </w:r>
      <w:r>
        <w:br/>
      </w:r>
      <w:r>
        <w:rPr>
          <w:rFonts w:ascii="仿宋_GB2312" w:hAnsi="仿宋_GB2312" w:cs="仿宋_GB2312" w:eastAsia="仿宋_GB2312"/>
        </w:rPr>
        <w:t xml:space="preserve"> 3.4验收交付成果物</w:t>
      </w:r>
      <w:r>
        <w:br/>
      </w:r>
      <w:r>
        <w:rPr>
          <w:rFonts w:ascii="仿宋_GB2312" w:hAnsi="仿宋_GB2312" w:cs="仿宋_GB2312" w:eastAsia="仿宋_GB2312"/>
        </w:rPr>
        <w:t xml:space="preserve"> 1.提交验收报告</w:t>
      </w:r>
      <w:r>
        <w:br/>
      </w:r>
      <w:r>
        <w:rPr>
          <w:rFonts w:ascii="仿宋_GB2312" w:hAnsi="仿宋_GB2312" w:cs="仿宋_GB2312" w:eastAsia="仿宋_GB2312"/>
        </w:rPr>
        <w:t xml:space="preserve"> 2.提交移交物清单及移交物</w:t>
      </w:r>
      <w:r>
        <w:br/>
      </w:r>
      <w:r>
        <w:rPr>
          <w:rFonts w:ascii="仿宋_GB2312" w:hAnsi="仿宋_GB2312" w:cs="仿宋_GB2312" w:eastAsia="仿宋_GB2312"/>
        </w:rPr>
        <w:t xml:space="preserve"> 3.工作量统计表</w:t>
      </w:r>
      <w:r>
        <w:br/>
      </w:r>
      <w:r>
        <w:rPr>
          <w:rFonts w:ascii="仿宋_GB2312" w:hAnsi="仿宋_GB2312" w:cs="仿宋_GB2312" w:eastAsia="仿宋_GB2312"/>
        </w:rPr>
        <w:t xml:space="preserve"> 4.效益评估报告</w:t>
      </w:r>
    </w:p>
    <w:p>
      <w:pPr>
        <w:pStyle w:val="null3"/>
        <w:jc w:val="left"/>
      </w:pPr>
      <w:r>
        <w:rPr>
          <w:rFonts w:ascii="仿宋_GB2312" w:hAnsi="仿宋_GB2312" w:cs="仿宋_GB2312" w:eastAsia="仿宋_GB2312"/>
        </w:rPr>
        <w:t>4.付款方式</w:t>
      </w:r>
      <w:r>
        <w:br/>
      </w:r>
      <w:r>
        <w:rPr>
          <w:rFonts w:ascii="仿宋_GB2312" w:hAnsi="仿宋_GB2312" w:cs="仿宋_GB2312" w:eastAsia="仿宋_GB2312"/>
        </w:rPr>
        <w:t xml:space="preserve"> 1.合同款项按下列步骤分两期支付：</w:t>
      </w:r>
      <w:r>
        <w:br/>
      </w:r>
      <w:r>
        <w:rPr>
          <w:rFonts w:ascii="仿宋_GB2312" w:hAnsi="仿宋_GB2312" w:cs="仿宋_GB2312" w:eastAsia="仿宋_GB2312"/>
        </w:rPr>
        <w:t xml:space="preserve"> 第一次付款：在签订合同后，采购人在收到发票后10个工作日内，支付合同金额的50%；</w:t>
      </w:r>
      <w:r>
        <w:br/>
      </w:r>
      <w:r>
        <w:rPr>
          <w:rFonts w:ascii="仿宋_GB2312" w:hAnsi="仿宋_GB2312" w:cs="仿宋_GB2312" w:eastAsia="仿宋_GB2312"/>
        </w:rPr>
        <w:t xml:space="preserve"> 第二次付款：项目验收通过后，采购人在收到发票后10个工作日内，支付合同金额的50%；</w:t>
      </w:r>
      <w:r>
        <w:br/>
      </w:r>
      <w:r>
        <w:rPr>
          <w:rFonts w:ascii="仿宋_GB2312" w:hAnsi="仿宋_GB2312" w:cs="仿宋_GB2312" w:eastAsia="仿宋_GB2312"/>
        </w:rPr>
        <w:t xml:space="preserve"> 2.付款方式：采用支票、银行汇付（含电汇）等形式。</w:t>
      </w:r>
      <w:r>
        <w:br/>
      </w:r>
      <w:r>
        <w:rPr>
          <w:rFonts w:ascii="仿宋_GB2312" w:hAnsi="仿宋_GB2312" w:cs="仿宋_GB2312" w:eastAsia="仿宋_GB2312"/>
        </w:rPr>
        <w:t xml:space="preserve"> 3.每笔款项支付，中标人应在采购人支付款项前向采购人提供相应金额的有效发票，且收款方、出具发票方、合同乙方均必须与中标人名称一致。</w:t>
      </w:r>
      <w:r>
        <w:br/>
      </w:r>
      <w:r>
        <w:rPr>
          <w:rFonts w:ascii="仿宋_GB2312" w:hAnsi="仿宋_GB2312" w:cs="仿宋_GB2312" w:eastAsia="仿宋_GB2312"/>
        </w:rPr>
        <w:t xml:space="preserve"> 5.材料及设备要求</w:t>
      </w:r>
      <w:r>
        <w:br/>
      </w:r>
      <w:r>
        <w:rPr>
          <w:rFonts w:ascii="仿宋_GB2312" w:hAnsi="仿宋_GB2312" w:cs="仿宋_GB2312" w:eastAsia="仿宋_GB2312"/>
        </w:rPr>
        <w:t xml:space="preserve"> 项目实施过程中所需之材料及设备，由中标人自行提供，其费用包括在投标总价中。</w:t>
      </w:r>
      <w:r>
        <w:br/>
      </w:r>
      <w:r>
        <w:rPr>
          <w:rFonts w:ascii="仿宋_GB2312" w:hAnsi="仿宋_GB2312" w:cs="仿宋_GB2312" w:eastAsia="仿宋_GB2312"/>
        </w:rPr>
        <w:t xml:space="preserve"> 6.责任追究</w:t>
      </w:r>
      <w:r>
        <w:br/>
      </w:r>
      <w:r>
        <w:rPr>
          <w:rFonts w:ascii="仿宋_GB2312" w:hAnsi="仿宋_GB2312" w:cs="仿宋_GB2312" w:eastAsia="仿宋_GB2312"/>
        </w:rPr>
        <w:t xml:space="preserve"> 1.中标人提供的服务不符合本合同规定的，采购人有权拒绝，并且中标人须向采购人支付合同金额5%的违约金。</w:t>
      </w:r>
      <w:r>
        <w:br/>
      </w:r>
      <w:r>
        <w:rPr>
          <w:rFonts w:ascii="仿宋_GB2312" w:hAnsi="仿宋_GB2312" w:cs="仿宋_GB2312" w:eastAsia="仿宋_GB2312"/>
        </w:rPr>
        <w:t xml:space="preserve"> 2.中标人未能按本合同规定的时间提供服务，从逾期之日起每日按合同金额3‰的数额向采购人支付违约金；逾期半个月以上的，采购人有权终止合同，并且中标人须向采购人支付合同金额5%的违约金。</w:t>
      </w:r>
      <w:r>
        <w:br/>
      </w:r>
      <w:r>
        <w:rPr>
          <w:rFonts w:ascii="仿宋_GB2312" w:hAnsi="仿宋_GB2312" w:cs="仿宋_GB2312" w:eastAsia="仿宋_GB2312"/>
        </w:rPr>
        <w:t xml:space="preserve"> 3.采购人无正当理由拒绝接受服务，到期拒付服务款项的，采购人向中标人偿付合同金额5%的违约金。采购人逾期付款，则每日按逾期款项的3‰向中标人偿付违约金。</w:t>
      </w:r>
      <w:r>
        <w:br/>
      </w:r>
      <w:r>
        <w:rPr>
          <w:rFonts w:ascii="仿宋_GB2312" w:hAnsi="仿宋_GB2312" w:cs="仿宋_GB2312" w:eastAsia="仿宋_GB2312"/>
        </w:rPr>
        <w:t xml:space="preserve"> 4. 中标人不得另行开发本合同业务需求范围内、供纳税人(或缴费人)使用的软件,如有违反，采购人将中标人纳入税务系统信息化服务商失信名单。</w:t>
      </w:r>
      <w:r>
        <w:br/>
      </w:r>
      <w:r>
        <w:rPr>
          <w:rFonts w:ascii="仿宋_GB2312" w:hAnsi="仿宋_GB2312" w:cs="仿宋_GB2312" w:eastAsia="仿宋_GB2312"/>
        </w:rPr>
        <w:t xml:space="preserve"> 5. 中标人应建立防止违法违规聘用离职税务人员的风险控制制度。中标人违法违规聘用离职税务人员的，采购人有权视情况采取以下一项或多项措施：</w:t>
      </w:r>
      <w:r>
        <w:br/>
      </w:r>
      <w:r>
        <w:rPr>
          <w:rFonts w:ascii="仿宋_GB2312" w:hAnsi="仿宋_GB2312" w:cs="仿宋_GB2312" w:eastAsia="仿宋_GB2312"/>
        </w:rPr>
        <w:t xml:space="preserve"> （1）采购人要求中标人限期改正。</w:t>
      </w:r>
      <w:r>
        <w:br/>
      </w:r>
      <w:r>
        <w:rPr>
          <w:rFonts w:ascii="仿宋_GB2312" w:hAnsi="仿宋_GB2312" w:cs="仿宋_GB2312" w:eastAsia="仿宋_GB2312"/>
        </w:rPr>
        <w:t xml:space="preserve"> （2）中标人按合同总价10%的数额向采购人支付违约金。</w:t>
      </w:r>
      <w:r>
        <w:br/>
      </w:r>
      <w:r>
        <w:rPr>
          <w:rFonts w:ascii="仿宋_GB2312" w:hAnsi="仿宋_GB2312" w:cs="仿宋_GB2312" w:eastAsia="仿宋_GB2312"/>
        </w:rPr>
        <w:t xml:space="preserve"> （3）中标人3 年内不得参加所聘人员原单位及下属单位的信息化项目政府采购活动。</w:t>
      </w:r>
      <w:r>
        <w:br/>
      </w:r>
      <w:r>
        <w:rPr>
          <w:rFonts w:ascii="仿宋_GB2312" w:hAnsi="仿宋_GB2312" w:cs="仿宋_GB2312" w:eastAsia="仿宋_GB2312"/>
        </w:rPr>
        <w:t xml:space="preserve"> （4）采购人有权解除部分或全部合同。</w:t>
      </w:r>
      <w:r>
        <w:br/>
      </w:r>
      <w:r>
        <w:rPr>
          <w:rFonts w:ascii="仿宋_GB2312" w:hAnsi="仿宋_GB2312" w:cs="仿宋_GB2312" w:eastAsia="仿宋_GB2312"/>
        </w:rPr>
        <w:t xml:space="preserve"> 6.其它违约责任按《中华人民共和国民法典》处理。</w:t>
      </w:r>
      <w:r>
        <w:br/>
      </w:r>
      <w:r>
        <w:rPr>
          <w:rFonts w:ascii="仿宋_GB2312" w:hAnsi="仿宋_GB2312" w:cs="仿宋_GB2312" w:eastAsia="仿宋_GB2312"/>
        </w:rPr>
        <w:t xml:space="preserve"> 7.其他要求</w:t>
      </w:r>
      <w:r>
        <w:br/>
      </w:r>
      <w:r>
        <w:rPr>
          <w:rFonts w:ascii="仿宋_GB2312" w:hAnsi="仿宋_GB2312" w:cs="仿宋_GB2312" w:eastAsia="仿宋_GB2312"/>
        </w:rPr>
        <w:t xml:space="preserve"> 对供应商的警示教育和提示内容：★投标人须承诺在参与本项目采购活动期间不得存在“围猎”采购人税务人员行为的（指以获取不正当利益为目的，采取馈赠礼品礼金、邀请娱乐旅游消费、提供便利条件等非正常交往手段“围猎”相关税务人员及其亲属），明确违反承诺应承担相应法律后果。（投标时提供承诺函，可参照“投标文件格式”中《承诺函》格式）。</w:t>
      </w:r>
      <w:r>
        <w:br/>
      </w:r>
      <w:r>
        <w:rPr>
          <w:rFonts w:ascii="仿宋_GB2312" w:hAnsi="仿宋_GB2312" w:cs="仿宋_GB2312" w:eastAsia="仿宋_GB2312"/>
        </w:rPr>
        <w:t xml:space="preserve"> 8.演示</w:t>
      </w:r>
      <w:r>
        <w:br/>
      </w:r>
      <w:r>
        <w:rPr>
          <w:rFonts w:ascii="仿宋_GB2312" w:hAnsi="仿宋_GB2312" w:cs="仿宋_GB2312" w:eastAsia="仿宋_GB2312"/>
        </w:rPr>
        <w:t xml:space="preserve"> 投标时，投标人对2.1服务内容“2.1.3数据赋能”中的‘1、新兴产业主题大屏页面’所要求实现的新兴产业总览，管户情况、收入情况、费金收入、发展情况等大屏页面进行演示讲解，需说明新兴产业的设计思路，要求功能设计简单易用、设计合理、全面。演示要求：演示顺序随机抽取，演示顺序抽取集中时间为：2025年6月4 日9:30，集中地点：广州市越秀区越华路112号珠江国际大厦3楼308室。 投标人务必在规定的时间内抽取演示顺序，如未按规定抽取演示顺序的，将视为投标人放弃演示。每个投标人限在10分钟内完成演示。投标人自备手提电脑等其他相关演示设备，省政府采购中心提供投影仪。</w:t>
      </w:r>
    </w:p>
    <w:p>
      <w:pPr>
        <w:pStyle w:val="null3"/>
        <w:jc w:val="left"/>
      </w:pPr>
      <w:r>
        <w:br/>
      </w:r>
      <w:r>
        <w:rPr>
          <w:rFonts w:ascii="仿宋_GB2312" w:hAnsi="仿宋_GB2312" w:cs="仿宋_GB2312" w:eastAsia="仿宋_GB2312"/>
        </w:rPr>
        <w:t xml:space="preserve"> 附件1</w:t>
      </w:r>
      <w:r>
        <w:br/>
      </w:r>
      <w:r>
        <w:rPr>
          <w:rFonts w:ascii="仿宋_GB2312" w:hAnsi="仿宋_GB2312" w:cs="仿宋_GB2312" w:eastAsia="仿宋_GB2312"/>
        </w:rPr>
        <w:t xml:space="preserve"> 税务信息化服务商廉政相关要求</w:t>
      </w:r>
      <w:r>
        <w:br/>
      </w:r>
      <w:r>
        <w:rPr>
          <w:rFonts w:ascii="仿宋_GB2312" w:hAnsi="仿宋_GB2312" w:cs="仿宋_GB2312" w:eastAsia="仿宋_GB2312"/>
        </w:rPr>
        <w:t xml:space="preserve">     </w:t>
      </w:r>
      <w:r>
        <w:br/>
      </w:r>
      <w:r>
        <w:rPr>
          <w:rFonts w:ascii="仿宋_GB2312" w:hAnsi="仿宋_GB2312" w:cs="仿宋_GB2312" w:eastAsia="仿宋_GB2312"/>
        </w:rPr>
        <w:t xml:space="preserve">  为进一步落实全面从严治党要求，构建亲清新型政商关系，加强税务信息化项目建设过程中的党风廉政建设和反腐败工作，确保项目建设规范、廉洁推进，中标人在参与税务部门信息化项目工作过程中，需严格遵守法律法规、规范履行合同，积极协助税务部门开展廉政风险防控工作。请严格遵守并落实如下要求：</w:t>
      </w:r>
      <w:r>
        <w:br/>
      </w:r>
      <w:r>
        <w:rPr>
          <w:rFonts w:ascii="仿宋_GB2312" w:hAnsi="仿宋_GB2312" w:cs="仿宋_GB2312" w:eastAsia="仿宋_GB2312"/>
        </w:rPr>
        <w:t xml:space="preserve"> 一、积极发挥廉政风险防控正向作用。中标人有义务配合税务部门在信息化项目工作中加强廉政风险防控，执行有关措施。</w:t>
      </w:r>
      <w:r>
        <w:br/>
      </w:r>
      <w:r>
        <w:rPr>
          <w:rFonts w:ascii="仿宋_GB2312" w:hAnsi="仿宋_GB2312" w:cs="仿宋_GB2312" w:eastAsia="仿宋_GB2312"/>
        </w:rPr>
        <w:t xml:space="preserve"> 二、健全廉政风险防控机制。中标人有责任在项目管理机制中健全内部廉政防控措施，包括但不限于：对参与本项目的员工提出廉洁行为规范；指定专人对项目实施各环节进行廉政监督；在项目验收过程中提交本项目廉政情况报告等。</w:t>
      </w:r>
      <w:r>
        <w:br/>
      </w:r>
      <w:r>
        <w:rPr>
          <w:rFonts w:ascii="仿宋_GB2312" w:hAnsi="仿宋_GB2312" w:cs="仿宋_GB2312" w:eastAsia="仿宋_GB2312"/>
        </w:rPr>
        <w:t xml:space="preserve"> 三、杜绝违纪违法行为。中标人及相关项目人员必须严格遵守党纪国法，坚守职业道德，杜绝任何形式的利益输送、权力寻租等违纪违法行为，对甲方工作人员不得实施以下行为：</w:t>
      </w:r>
      <w:r>
        <w:br/>
      </w:r>
      <w:r>
        <w:rPr>
          <w:rFonts w:ascii="仿宋_GB2312" w:hAnsi="仿宋_GB2312" w:cs="仿宋_GB2312" w:eastAsia="仿宋_GB2312"/>
        </w:rPr>
        <w:t xml:space="preserve"> （一）以各种形式和名义提供礼品、礼金、电子红包、支付凭证、商业预付卡、名贵特产、有价证券、股权、其他金融产品等财物。</w:t>
      </w:r>
      <w:r>
        <w:br/>
      </w:r>
      <w:r>
        <w:rPr>
          <w:rFonts w:ascii="仿宋_GB2312" w:hAnsi="仿宋_GB2312" w:cs="仿宋_GB2312" w:eastAsia="仿宋_GB2312"/>
        </w:rPr>
        <w:t xml:space="preserve"> （二）以各种形式和名义提供宴请、旅游、健身、娱乐、私人会所等活动安排；代付加班餐费、打车费等。</w:t>
      </w:r>
      <w:r>
        <w:br/>
      </w:r>
      <w:r>
        <w:rPr>
          <w:rFonts w:ascii="仿宋_GB2312" w:hAnsi="仿宋_GB2312" w:cs="仿宋_GB2312" w:eastAsia="仿宋_GB2312"/>
        </w:rPr>
        <w:t xml:space="preserve"> （三）以讲课费、咨询费等名义，提供或变相提供报酬。</w:t>
      </w:r>
      <w:r>
        <w:br/>
      </w:r>
      <w:r>
        <w:rPr>
          <w:rFonts w:ascii="仿宋_GB2312" w:hAnsi="仿宋_GB2312" w:cs="仿宋_GB2312" w:eastAsia="仿宋_GB2312"/>
        </w:rPr>
        <w:t xml:space="preserve"> （四）借款、借房、借车，报销应由个人负担的费用。</w:t>
      </w:r>
      <w:r>
        <w:br/>
      </w:r>
      <w:r>
        <w:rPr>
          <w:rFonts w:ascii="仿宋_GB2312" w:hAnsi="仿宋_GB2312" w:cs="仿宋_GB2312" w:eastAsia="仿宋_GB2312"/>
        </w:rPr>
        <w:t xml:space="preserve"> （五）以无偿、象征性地收取费用等方式提供家政、司机等服务劳务。</w:t>
      </w:r>
      <w:r>
        <w:br/>
      </w:r>
      <w:r>
        <w:rPr>
          <w:rFonts w:ascii="仿宋_GB2312" w:hAnsi="仿宋_GB2312" w:cs="仿宋_GB2312" w:eastAsia="仿宋_GB2312"/>
        </w:rPr>
        <w:t xml:space="preserve"> （六）其他通过任何形式行贿或输送利益的行为。</w:t>
      </w:r>
      <w:r>
        <w:br/>
      </w:r>
      <w:r>
        <w:rPr>
          <w:rFonts w:ascii="仿宋_GB2312" w:hAnsi="仿宋_GB2312" w:cs="仿宋_GB2312" w:eastAsia="仿宋_GB2312"/>
        </w:rPr>
        <w:t xml:space="preserve"> 四、信守承诺。中标人应承诺在项目实施过程中，严格遵守国家法律法规合法、诚信经营，杜绝商业贿赂、规范经营活动、公开透明合作、严格内部管理，并签订《税务信息化项目服务商廉洁承诺书》提交甲方负责项目实施的单位。</w:t>
      </w:r>
      <w:r>
        <w:br/>
      </w:r>
      <w:r>
        <w:rPr>
          <w:rFonts w:ascii="仿宋_GB2312" w:hAnsi="仿宋_GB2312" w:cs="仿宋_GB2312" w:eastAsia="仿宋_GB2312"/>
        </w:rPr>
        <w:t xml:space="preserve"> 五、自觉接受监管。中标人有义务配合税务机关的正常业务监管以及纪检监察、外部审计、督察内审等监督机构对税务信息化项目全过程的监督检查工作，如实提供相关资料和信息，不得隐瞒、篡改或销毁与项目建设有关的文件、数据等资料。</w:t>
      </w:r>
      <w:r>
        <w:br/>
      </w:r>
      <w:r>
        <w:rPr>
          <w:rFonts w:ascii="仿宋_GB2312" w:hAnsi="仿宋_GB2312" w:cs="仿宋_GB2312" w:eastAsia="仿宋_GB2312"/>
        </w:rPr>
        <w:t xml:space="preserve"> 六、举报和反馈意见。项目执行过程中，中标人有权举报、反馈甲方索贿受贿、吃拿卡要、违反中央八项规定精神等违纪违法行为。项目验收前，应填写《税务信息化项目服务商廉政反馈书》，提交甲方税务机关网络安全和信息化领导小组办公室。</w:t>
      </w:r>
      <w:r>
        <w:br/>
      </w:r>
      <w:r>
        <w:rPr>
          <w:rFonts w:ascii="仿宋_GB2312" w:hAnsi="仿宋_GB2312" w:cs="仿宋_GB2312" w:eastAsia="仿宋_GB2312"/>
        </w:rPr>
        <w:t xml:space="preserve"> 让我们在廉洁、诚信、公平、公正的基础上开展合作，共同为高水平建设效能税务、高质量推进中国式现代化税务实践贡献力量。                 </w:t>
      </w:r>
      <w:r>
        <w:br/>
      </w:r>
      <w:r>
        <w:rPr>
          <w:rFonts w:ascii="仿宋_GB2312" w:hAnsi="仿宋_GB2312" w:cs="仿宋_GB2312" w:eastAsia="仿宋_GB2312"/>
        </w:rPr>
        <w:t xml:space="preserve"> 附件2（签订合同时一并提供）</w:t>
      </w:r>
      <w:r>
        <w:br/>
      </w:r>
      <w:r>
        <w:rPr>
          <w:rFonts w:ascii="仿宋_GB2312" w:hAnsi="仿宋_GB2312" w:cs="仿宋_GB2312" w:eastAsia="仿宋_GB2312"/>
        </w:rPr>
        <w:t xml:space="preserve"> 税务信息化服务商廉洁承诺书</w:t>
      </w:r>
    </w:p>
    <w:p>
      <w:pPr>
        <w:pStyle w:val="null3"/>
        <w:jc w:val="left"/>
      </w:pPr>
      <w:r>
        <w:rPr>
          <w:rFonts w:ascii="仿宋_GB2312" w:hAnsi="仿宋_GB2312" w:cs="仿宋_GB2312" w:eastAsia="仿宋_GB2312"/>
        </w:rPr>
        <w:t>为深入贯彻落实党中央关于全面从严治党的决策部署，进一步加强税务信息化项目合作中的廉政建设，防范廉政风险发生，确保项目公开、公平、公正推进，我司郑重承诺如下：</w:t>
      </w:r>
      <w:r>
        <w:br/>
      </w:r>
      <w:r>
        <w:rPr>
          <w:rFonts w:ascii="仿宋_GB2312" w:hAnsi="仿宋_GB2312" w:cs="仿宋_GB2312" w:eastAsia="仿宋_GB2312"/>
        </w:rPr>
        <w:t xml:space="preserve"> 一、合法合规经营。严格遵守国家法律法规及税务部门的相关规定，坚持廉洁从业、诚信经营的原则。在合作过程中不以任何形式进行利益输送，维护良好的政商关系。</w:t>
      </w:r>
      <w:r>
        <w:br/>
      </w:r>
      <w:r>
        <w:rPr>
          <w:rFonts w:ascii="仿宋_GB2312" w:hAnsi="仿宋_GB2312" w:cs="仿宋_GB2312" w:eastAsia="仿宋_GB2312"/>
        </w:rPr>
        <w:t xml:space="preserve"> 二、杜绝商业贿赂。加强内部管理，我司及我司员工均不对甲方工作人员实施以下行为：</w:t>
      </w:r>
      <w:r>
        <w:br/>
      </w:r>
      <w:r>
        <w:rPr>
          <w:rFonts w:ascii="仿宋_GB2312" w:hAnsi="仿宋_GB2312" w:cs="仿宋_GB2312" w:eastAsia="仿宋_GB2312"/>
        </w:rPr>
        <w:t xml:space="preserve"> （一）以各种形式和名义提供礼品、礼金、电子红包、支付凭证、商业预付卡、名贵特产、有价证券、股权、其他金融产品等财物。</w:t>
      </w:r>
      <w:r>
        <w:br/>
      </w:r>
      <w:r>
        <w:rPr>
          <w:rFonts w:ascii="仿宋_GB2312" w:hAnsi="仿宋_GB2312" w:cs="仿宋_GB2312" w:eastAsia="仿宋_GB2312"/>
        </w:rPr>
        <w:t xml:space="preserve"> （二）以各种形式和名义提供宴请、旅游、健身、娱乐、私人会所等活动安排；代付加班餐费、打车费等。</w:t>
      </w:r>
      <w:r>
        <w:br/>
      </w:r>
      <w:r>
        <w:rPr>
          <w:rFonts w:ascii="仿宋_GB2312" w:hAnsi="仿宋_GB2312" w:cs="仿宋_GB2312" w:eastAsia="仿宋_GB2312"/>
        </w:rPr>
        <w:t xml:space="preserve"> （三）以讲课费、咨询费等名义，提供或变相提供报酬。</w:t>
      </w:r>
      <w:r>
        <w:br/>
      </w:r>
      <w:r>
        <w:rPr>
          <w:rFonts w:ascii="仿宋_GB2312" w:hAnsi="仿宋_GB2312" w:cs="仿宋_GB2312" w:eastAsia="仿宋_GB2312"/>
        </w:rPr>
        <w:t xml:space="preserve"> （四）借款、借房、借车，报销应由个人负担的费用。</w:t>
      </w:r>
      <w:r>
        <w:br/>
      </w:r>
      <w:r>
        <w:rPr>
          <w:rFonts w:ascii="仿宋_GB2312" w:hAnsi="仿宋_GB2312" w:cs="仿宋_GB2312" w:eastAsia="仿宋_GB2312"/>
        </w:rPr>
        <w:t xml:space="preserve"> （五）以无偿、象征性地收取费用等方式提供家政、司机等服务劳务。</w:t>
      </w:r>
      <w:r>
        <w:br/>
      </w:r>
      <w:r>
        <w:rPr>
          <w:rFonts w:ascii="仿宋_GB2312" w:hAnsi="仿宋_GB2312" w:cs="仿宋_GB2312" w:eastAsia="仿宋_GB2312"/>
        </w:rPr>
        <w:t xml:space="preserve"> （六）其他通过任何形式行贿或输送利益的行为。</w:t>
      </w:r>
      <w:r>
        <w:br/>
      </w:r>
      <w:r>
        <w:rPr>
          <w:rFonts w:ascii="仿宋_GB2312" w:hAnsi="仿宋_GB2312" w:cs="仿宋_GB2312" w:eastAsia="仿宋_GB2312"/>
        </w:rPr>
        <w:t xml:space="preserve"> 三、规范经营活动。严格按照合同约定履行义务，保证项目质量，按时完成建设任务；在合作过程中不以任何借口拖延工期、虚报成本或谋取私利。</w:t>
      </w:r>
      <w:r>
        <w:br/>
      </w:r>
      <w:r>
        <w:rPr>
          <w:rFonts w:ascii="仿宋_GB2312" w:hAnsi="仿宋_GB2312" w:cs="仿宋_GB2312" w:eastAsia="仿宋_GB2312"/>
        </w:rPr>
        <w:t xml:space="preserve"> 四、公开透明合作。我司承诺在项目实施过程中保持公开透明，主动接受税务部门及纪检监察机构的全程监督，并积极配合任何有关廉洁从业的调查工作。</w:t>
      </w:r>
      <w:r>
        <w:br/>
      </w:r>
      <w:r>
        <w:rPr>
          <w:rFonts w:ascii="仿宋_GB2312" w:hAnsi="仿宋_GB2312" w:cs="仿宋_GB2312" w:eastAsia="仿宋_GB2312"/>
        </w:rPr>
        <w:t xml:space="preserve"> 五、严格内部管理。加强企业内部廉洁教育，确保员工知晓并遵守相关法律法规及廉洁要求；加强项目实施全过程廉洁监督；对于违反廉洁承诺的员工，将严肃处理，并承担相应责任。</w:t>
      </w:r>
      <w:r>
        <w:br/>
      </w:r>
      <w:r>
        <w:rPr>
          <w:rFonts w:ascii="仿宋_GB2312" w:hAnsi="仿宋_GB2312" w:cs="仿宋_GB2312" w:eastAsia="仿宋_GB2312"/>
        </w:rPr>
        <w:t xml:space="preserve"> 六、积极参与监督。在税务信息化项目实施过程中，如发现任何违纪违法行为，将如实反馈问题和意见。</w:t>
      </w:r>
    </w:p>
    <w:p>
      <w:pPr>
        <w:pStyle w:val="null3"/>
        <w:jc w:val="left"/>
      </w:pPr>
      <w:r>
        <w:rPr>
          <w:rFonts w:ascii="仿宋_GB2312" w:hAnsi="仿宋_GB2312" w:cs="仿宋_GB2312" w:eastAsia="仿宋_GB2312"/>
        </w:rPr>
        <w:t xml:space="preserve">    </w:t>
      </w:r>
      <w:r>
        <w:br/>
      </w:r>
      <w:r>
        <w:rPr>
          <w:rFonts w:ascii="仿宋_GB2312" w:hAnsi="仿宋_GB2312" w:cs="仿宋_GB2312" w:eastAsia="仿宋_GB2312"/>
        </w:rPr>
        <w:t xml:space="preserve"> 承诺单位（盖章）：_________________________</w:t>
      </w:r>
      <w:r>
        <w:br/>
      </w:r>
      <w:r>
        <w:rPr>
          <w:rFonts w:ascii="仿宋_GB2312" w:hAnsi="仿宋_GB2312" w:cs="仿宋_GB2312" w:eastAsia="仿宋_GB2312"/>
        </w:rPr>
        <w:t xml:space="preserve"> 法定代表人或授权代表签字：________________</w:t>
      </w:r>
      <w:r>
        <w:br/>
      </w:r>
      <w:r>
        <w:rPr>
          <w:rFonts w:ascii="仿宋_GB2312" w:hAnsi="仿宋_GB2312" w:cs="仿宋_GB2312" w:eastAsia="仿宋_GB2312"/>
        </w:rPr>
        <w:t xml:space="preserve"> 日期：XX年XX月XX日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备注：本承诺书一式两份，一份由承诺单位留存，另一份交税务部门备案。</w:t>
      </w:r>
      <w:r>
        <w:br/>
      </w:r>
      <w:r>
        <w:rPr>
          <w:rFonts w:ascii="仿宋_GB2312" w:hAnsi="仿宋_GB2312" w:cs="仿宋_GB2312" w:eastAsia="仿宋_GB2312"/>
        </w:rPr>
        <w:t xml:space="preserve"> 附件3（项目终验前）</w:t>
      </w:r>
      <w:r>
        <w:br/>
      </w:r>
      <w:r>
        <w:rPr>
          <w:rFonts w:ascii="仿宋_GB2312" w:hAnsi="仿宋_GB2312" w:cs="仿宋_GB2312" w:eastAsia="仿宋_GB2312"/>
        </w:rPr>
        <w:t xml:space="preserve"> 税务信息化廉政情况反馈书</w:t>
      </w:r>
    </w:p>
    <w:tbl>
      <w:tblPr>
        <w:tblW w:w="0" w:type="auto"/>
        <w:tblInd w:type="dxa" w:w="90"/>
        <w:tblBorders>
          <w:top w:val="single"/>
          <w:left w:val="single"/>
          <w:bottom w:val="single"/>
          <w:right w:val="single"/>
          <w:insideH w:val="single"/>
          <w:insideV w:val="single"/>
        </w:tblBorders>
      </w:tblPr>
      <w:tblGrid>
        <w:gridCol w:w="1923"/>
        <w:gridCol w:w="6382"/>
        <w:gridCol w:w="0"/>
      </w:tblGrid>
      <w:tr>
        <w:tc>
          <w:tcPr>
            <w:tcW w:type="dxa" w:w="83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640"/>
              <w:jc w:val="center"/>
            </w:pPr>
            <w:r>
              <w:rPr>
                <w:rFonts w:ascii="仿宋_GB2312" w:hAnsi="仿宋_GB2312" w:cs="仿宋_GB2312" w:eastAsia="仿宋_GB2312"/>
                <w:sz w:val="32"/>
                <w:color w:val="000000"/>
              </w:rPr>
              <w:t>项目基本情况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333333"/>
              </w:rPr>
              <w:t>项目名称（编号）</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333333"/>
              </w:rPr>
              <w:t>XXX</w:t>
            </w:r>
            <w:r>
              <w:rPr>
                <w:rFonts w:ascii="仿宋_GB2312" w:hAnsi="仿宋_GB2312" w:cs="仿宋_GB2312" w:eastAsia="仿宋_GB2312"/>
                <w:sz w:val="24"/>
                <w:color w:val="333333"/>
              </w:rPr>
              <w:t>税务信息化项目  项目编号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服务商名称</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XXX</w:t>
            </w:r>
            <w:r>
              <w:rPr>
                <w:rFonts w:ascii="仿宋_GB2312" w:hAnsi="仿宋_GB2312" w:cs="仿宋_GB2312" w:eastAsia="仿宋_GB2312"/>
                <w:sz w:val="24"/>
                <w:color w:val="000000"/>
              </w:rPr>
              <w:t>公司</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联系人及电话</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联系人：  职务：   电话：123-4567890</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项目情况概述</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830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640"/>
              <w:jc w:val="center"/>
            </w:pPr>
            <w:r>
              <w:rPr>
                <w:rFonts w:ascii="仿宋_GB2312" w:hAnsi="仿宋_GB2312" w:cs="仿宋_GB2312" w:eastAsia="仿宋_GB2312"/>
                <w:sz w:val="32"/>
                <w:color w:val="000000"/>
              </w:rPr>
              <w:t>廉洁承诺履行情况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333333"/>
              </w:rPr>
              <w:t>反馈项</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333333"/>
              </w:rPr>
              <w:t>反馈内容</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杜绝商业贿赂</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向税务工作人员及其家属赠送礼品、礼金或提供任何形式的宴请、娱乐活动情况。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规范经营活动</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按照合同要求，按时完成各阶段任务，确保项目质量和进度情况。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公开透明合作</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在项目实施过程中保持信息公开透明，主动接受相关部门的监督和检查情况。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830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640"/>
              <w:jc w:val="center"/>
            </w:pPr>
            <w:r>
              <w:rPr>
                <w:rFonts w:ascii="仿宋_GB2312" w:hAnsi="仿宋_GB2312" w:cs="仿宋_GB2312" w:eastAsia="仿宋_GB2312"/>
                <w:sz w:val="32"/>
                <w:color w:val="000000"/>
              </w:rPr>
              <w:t>税务人员履职期间廉政情况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b/>
                <w:color w:val="000000"/>
              </w:rPr>
              <w:t>税务人员履职过程存在违纪违规行为</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333333"/>
              </w:rPr>
              <w:t>否</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vMerge/>
            <w:tcBorders>
              <w:top w:val="none" w:color="000000" w:sz="4"/>
              <w:left w:val="single" w:color="000000" w:sz="4"/>
              <w:bottom w:val="single" w:color="000000" w:sz="4"/>
              <w:right w:val="single" w:color="000000" w:sz="4"/>
            </w:tcBorders>
          </w:tcPr>
          <w:p/>
        </w:tc>
        <w:tc>
          <w:tcPr>
            <w:tcW w:type="dxa" w:w="6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是（说明具体情况）</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923"/>
            <w:vMerge/>
            <w:tcBorders>
              <w:top w:val="none" w:color="000000" w:sz="4"/>
              <w:left w:val="single" w:color="000000" w:sz="4"/>
              <w:bottom w:val="single" w:color="000000" w:sz="4"/>
              <w:right w:val="single" w:color="000000" w:sz="4"/>
            </w:tcBorders>
          </w:tcPr>
          <w:p/>
        </w:tc>
        <w:tc>
          <w:tcPr>
            <w:tcW w:type="dxa" w:w="638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sz w:val="32"/>
          <w:b/>
          <w:shd w:fill="FFFFFF" w:val="clear"/>
        </w:rPr>
        <w:t>提交单位（盖章）：XXX公司</w:t>
      </w:r>
      <w:r>
        <w:br/>
      </w:r>
      <w:r>
        <w:rPr>
          <w:rFonts w:ascii="仿宋_GB2312" w:hAnsi="仿宋_GB2312" w:cs="仿宋_GB2312" w:eastAsia="仿宋_GB2312"/>
          <w:sz w:val="32"/>
          <w:b/>
          <w:shd w:fill="FFFFFF" w:val="clear"/>
        </w:rPr>
        <w:t>法定代表人或授权代表签字：_________________________</w:t>
      </w:r>
      <w:r>
        <w:br/>
      </w:r>
      <w:r>
        <w:rPr>
          <w:rFonts w:ascii="仿宋_GB2312" w:hAnsi="仿宋_GB2312" w:cs="仿宋_GB2312" w:eastAsia="仿宋_GB2312"/>
          <w:sz w:val="32"/>
          <w:shd w:fill="FFFFFF" w:val="clear"/>
        </w:rPr>
        <w:t xml:space="preserve">                                 </w:t>
      </w:r>
      <w:r>
        <w:rPr>
          <w:rFonts w:ascii="仿宋_GB2312" w:hAnsi="仿宋_GB2312" w:cs="仿宋_GB2312" w:eastAsia="仿宋_GB2312"/>
          <w:sz w:val="32"/>
          <w:b/>
          <w:shd w:fill="FFFFFF" w:val="clear"/>
        </w:rPr>
        <w:t>日期：XX年XX月XX日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rPr>
        <w:t>政府采购监督管理机构名称：国家财政部国库司政府采购监督裁决处</w:t>
      </w:r>
    </w:p>
    <w:p>
      <w:pPr>
        <w:pStyle w:val="null3"/>
        <w:ind w:firstLine="480"/>
        <w:jc w:val="both"/>
      </w:pPr>
      <w:r>
        <w:rPr>
          <w:rFonts w:ascii="仿宋_GB2312" w:hAnsi="仿宋_GB2312" w:cs="仿宋_GB2312" w:eastAsia="仿宋_GB2312"/>
          <w:sz w:val="24"/>
        </w:rPr>
        <w:t>地  址：北京市西城区月坛北小街13号中船宾馆北楼四层8401室、8403室</w:t>
      </w:r>
    </w:p>
    <w:p>
      <w:pPr>
        <w:pStyle w:val="null3"/>
        <w:ind w:firstLine="480"/>
        <w:jc w:val="both"/>
      </w:pPr>
      <w:r>
        <w:rPr>
          <w:rFonts w:ascii="仿宋_GB2312" w:hAnsi="仿宋_GB2312" w:cs="仿宋_GB2312" w:eastAsia="仿宋_GB2312"/>
          <w:sz w:val="24"/>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或2024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运营服务方案</w:t>
            </w:r>
          </w:p>
        </w:tc>
        <w:tc>
          <w:tcPr>
            <w:tcW w:type="dxa" w:w="4614"/>
          </w:tcPr>
          <w:p>
            <w:pPr>
              <w:pStyle w:val="null3"/>
              <w:jc w:val="left"/>
            </w:pPr>
            <w:r>
              <w:rPr>
                <w:rFonts w:ascii="仿宋_GB2312" w:hAnsi="仿宋_GB2312" w:cs="仿宋_GB2312" w:eastAsia="仿宋_GB2312"/>
              </w:rPr>
              <w:t>根据投标人对采购需求“2.1服务内容与要求”中“2.1.1基本要求”提及的要求所提供的运营服务方案进行评审： 1.完全满足且优于采购需求，得9分； 2.完全满足采购需求，得6分； 3.不能完全满足采购需求，得4分； 4.未提供或未体现上述内容的，不得分。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项目管理方案</w:t>
            </w:r>
          </w:p>
        </w:tc>
        <w:tc>
          <w:tcPr>
            <w:tcW w:type="dxa" w:w="4614"/>
          </w:tcPr>
          <w:p>
            <w:pPr>
              <w:pStyle w:val="null3"/>
              <w:jc w:val="left"/>
            </w:pPr>
            <w:r>
              <w:rPr>
                <w:rFonts w:ascii="仿宋_GB2312" w:hAnsi="仿宋_GB2312" w:cs="仿宋_GB2312" w:eastAsia="仿宋_GB2312"/>
              </w:rPr>
              <w:t>根据投标人对采购需求“2.1服务内容与要求”中“2.1.1基本要求”提及的要求所提供的项目管理方案进行评审： 1.完全满足且优于采购需求，得9分； 2.完全满足采购需求，得6分； 3.不能完全满足采购需求，得4分； 4.无提供或其他情况的，不得分。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知识转移和培训方案</w:t>
            </w:r>
          </w:p>
        </w:tc>
        <w:tc>
          <w:tcPr>
            <w:tcW w:type="dxa" w:w="4614"/>
          </w:tcPr>
          <w:p>
            <w:pPr>
              <w:pStyle w:val="null3"/>
              <w:jc w:val="left"/>
            </w:pPr>
            <w:r>
              <w:rPr>
                <w:rFonts w:ascii="仿宋_GB2312" w:hAnsi="仿宋_GB2312" w:cs="仿宋_GB2312" w:eastAsia="仿宋_GB2312"/>
              </w:rPr>
              <w:t>根据投标人对采购需求“2.6知识转移和培训”中提及要求所提供的知识转移和培训方案进行评审： 1.完全满足且优于采购需求，得4分； 2.完全满足采购需求，得2分； 3.不能完全满足采购需求，得1分； 4.没有提供方案及措施或其他情况的，不得分。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述标演示</w:t>
            </w:r>
          </w:p>
        </w:tc>
        <w:tc>
          <w:tcPr>
            <w:tcW w:type="dxa" w:w="4614"/>
          </w:tcPr>
          <w:p>
            <w:pPr>
              <w:pStyle w:val="null3"/>
              <w:jc w:val="left"/>
            </w:pPr>
            <w:r>
              <w:rPr>
                <w:rFonts w:ascii="仿宋_GB2312" w:hAnsi="仿宋_GB2312" w:cs="仿宋_GB2312" w:eastAsia="仿宋_GB2312"/>
              </w:rPr>
              <w:t>投标人对2.1服务内容“2.1.3数据赋能”中的‘1、新兴产业主题大屏页面’所要求实现的新兴产业总览，管户情况、收入情况、费金收入、发展情况等大屏页面进行演示讲解，需说明新兴产业的设计思路。根据演示情况进行评分： 1.完全满足且优于采购需求的，得18分； 2.完全满足采购需求的，得12分； 3.不能完全满足采购需求，得6分； 4.未提供或未体现上述内容的，得0分；</w:t>
            </w:r>
          </w:p>
        </w:tc>
        <w:tc>
          <w:tcPr>
            <w:tcW w:type="dxa" w:w="923"/>
          </w:tcPr>
          <w:p>
            <w:pPr>
              <w:pStyle w:val="null3"/>
              <w:jc w:val="right"/>
            </w:pPr>
            <w:r>
              <w:rPr>
                <w:rFonts w:ascii="仿宋_GB2312" w:hAnsi="仿宋_GB2312" w:cs="仿宋_GB2312" w:eastAsia="仿宋_GB2312"/>
              </w:rPr>
              <w:t>18.00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项目经理</w:t>
            </w:r>
          </w:p>
        </w:tc>
        <w:tc>
          <w:tcPr>
            <w:tcW w:type="dxa" w:w="4614"/>
          </w:tcPr>
          <w:p>
            <w:pPr>
              <w:pStyle w:val="null3"/>
              <w:jc w:val="left"/>
            </w:pPr>
            <w:r>
              <w:rPr>
                <w:rFonts w:ascii="仿宋_GB2312" w:hAnsi="仿宋_GB2312" w:cs="仿宋_GB2312" w:eastAsia="仿宋_GB2312"/>
              </w:rPr>
              <w:t>拟投入的项目经理（1人）： 1、具有3年或以上工作经验的（以投标人加盖公章的个人工作履历为准），得5分。 2、具有由人力资源和社会保障部门颁发的信息系统项目管理师（高级）证书或系统架构设计师，得5分。提供证书复印件。 1-2项注：同时提供劳动合同复印件或2025年以来投标人为其购买的任意一个月社会保险（至少须含养老保险）缴纳证明复印件，所有复印件及证明材料均需加盖投标人公章，未按照要求提供不得分。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拟派团队成员（不含项目经理）</w:t>
            </w:r>
          </w:p>
        </w:tc>
        <w:tc>
          <w:tcPr>
            <w:tcW w:type="dxa" w:w="4614"/>
          </w:tcPr>
          <w:p>
            <w:pPr>
              <w:pStyle w:val="null3"/>
              <w:jc w:val="left"/>
            </w:pPr>
            <w:r>
              <w:rPr>
                <w:rFonts w:ascii="仿宋_GB2312" w:hAnsi="仿宋_GB2312" w:cs="仿宋_GB2312" w:eastAsia="仿宋_GB2312"/>
              </w:rPr>
              <w:t>拟投入的团队人员（除项目经理外）： 1、具备数据库系统工程师或软件设计师证书的，每人得3分。同一人同时具备多种证书，不重复计分。最高得9分； 注：提供证书复印件，同时提供劳动合同复印件或2025年以来投标人为其购买的任意一个月社会保险（至少须含养老保险）缴纳证明复印件，所有复印件及证明材料均需加盖投标人公章，未按照要求提供不得分。 2、承诺投入的团队人员数不少于5人（不含项目经理），得6分。 注:须提供承诺函 (格式自拟)并加盖投标人公章。</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企业资质</w:t>
            </w:r>
          </w:p>
        </w:tc>
        <w:tc>
          <w:tcPr>
            <w:tcW w:type="dxa" w:w="4614"/>
          </w:tcPr>
          <w:p>
            <w:pPr>
              <w:pStyle w:val="null3"/>
              <w:jc w:val="left"/>
            </w:pPr>
            <w:r>
              <w:rPr>
                <w:rFonts w:ascii="仿宋_GB2312" w:hAnsi="仿宋_GB2312" w:cs="仿宋_GB2312" w:eastAsia="仿宋_GB2312"/>
              </w:rPr>
              <w:t>投标人具有 ISO9001 质量体系认证证书（认证范围包含与信息技术相关内容），得5分。 注：提供认证证书复印件并须同时提供在全国认证认可信息公共服务平台对体系证书的信息查询截图作为评审依据，已暂停、失效或撤销的不得分。新设立企业成立时间不足三个月的，得5分。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投标人技术能力</w:t>
            </w:r>
          </w:p>
        </w:tc>
        <w:tc>
          <w:tcPr>
            <w:tcW w:type="dxa" w:w="4614"/>
          </w:tcPr>
          <w:p>
            <w:pPr>
              <w:pStyle w:val="null3"/>
              <w:jc w:val="left"/>
            </w:pPr>
            <w:r>
              <w:rPr>
                <w:rFonts w:ascii="仿宋_GB2312" w:hAnsi="仿宋_GB2312" w:cs="仿宋_GB2312" w:eastAsia="仿宋_GB2312"/>
              </w:rPr>
              <w:t>投标人具有与本项目需求技术能力相关的计算机软件著作权证书，内容与“数据仓库、数据交换、数据综合查询、大数据展示、数据应用、数据质量、应用安全”等相关方向的，同一类型多个证书不重复得分，每个证书得3分，最高15分。 注:须提供有效的证书复印件，不提供或不满足评审要求的不得分。若计算机软件著作权登记证书上的软件名称无法体现上述内容，但实际可以实现上述内容的，需同时提供说明函，说明函格式自拟</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投标人2022年1月1日以来同类项目业绩经验</w:t>
            </w:r>
          </w:p>
        </w:tc>
        <w:tc>
          <w:tcPr>
            <w:tcW w:type="dxa" w:w="4614"/>
          </w:tcPr>
          <w:p>
            <w:pPr>
              <w:pStyle w:val="null3"/>
              <w:jc w:val="left"/>
            </w:pPr>
            <w:r>
              <w:rPr>
                <w:rFonts w:ascii="仿宋_GB2312" w:hAnsi="仿宋_GB2312" w:cs="仿宋_GB2312" w:eastAsia="仿宋_GB2312"/>
              </w:rPr>
              <w:t>2022年1月1日以来同类项目（同类项目是指技术服务类的相关项目，包括数据服务或数据应用服务、技术支持服务、运营服务等）业绩。每提供一个得1分，本项最高得5分。 注：须提供合同关键页复印件，未提供或不满足评审要求的不得分。（以合同签订时间为准。合同关键页须至少能体现合同甲乙双方名称、项目名称、项目内容及合同甲乙双方签章的关键信息、签订日期的关键页，不提供材料不得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1"/>
          <w:b/>
        </w:rPr>
        <w:t>税智采合同编号：________________</w:t>
      </w:r>
    </w:p>
    <w:p>
      <w:pPr>
        <w:pStyle w:val="null3"/>
        <w:spacing w:after="120"/>
        <w:ind w:firstLine="420"/>
        <w:jc w:val="both"/>
      </w:pPr>
      <w:r>
        <w:rPr>
          <w:rFonts w:ascii="仿宋_GB2312" w:hAnsi="仿宋_GB2312" w:cs="仿宋_GB2312" w:eastAsia="仿宋_GB2312"/>
          <w:sz w:val="70"/>
          <w:b/>
        </w:rPr>
        <w:t>政府采购合同</w:t>
      </w:r>
    </w:p>
    <w:p>
      <w:pPr>
        <w:pStyle w:val="null3"/>
        <w:jc w:val="center"/>
      </w:pPr>
      <w:r>
        <w:rPr>
          <w:rFonts w:ascii="仿宋_GB2312" w:hAnsi="仿宋_GB2312" w:cs="仿宋_GB2312" w:eastAsia="仿宋_GB2312"/>
          <w:sz w:val="44"/>
          <w:b/>
        </w:rPr>
        <w:t>（本合同为中小企业预留合同）</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32"/>
          <w:b/>
          <w:u w:val="single"/>
        </w:rPr>
        <w:t>国家税务总局广州市税务局广州大数据应用管理服务项目</w:t>
      </w:r>
    </w:p>
    <w:p>
      <w:pPr>
        <w:pStyle w:val="null3"/>
        <w:ind w:left="945" w:firstLine="321"/>
        <w:jc w:val="both"/>
      </w:pPr>
      <w:r>
        <w:rPr>
          <w:rFonts w:ascii="仿宋_GB2312" w:hAnsi="仿宋_GB2312" w:cs="仿宋_GB2312" w:eastAsia="仿宋_GB2312"/>
          <w:sz w:val="32"/>
          <w:b/>
        </w:rPr>
        <w:t>项目编号：</w:t>
      </w:r>
      <w:r>
        <w:rPr>
          <w:rFonts w:ascii="仿宋_GB2312" w:hAnsi="仿宋_GB2312" w:cs="仿宋_GB2312" w:eastAsia="仿宋_GB2312"/>
          <w:sz w:val="32"/>
          <w:b/>
          <w:u w:val="single"/>
        </w:rPr>
        <w:t xml:space="preserve"> P2024008 </w:t>
      </w:r>
    </w:p>
    <w:p>
      <w:pPr>
        <w:pStyle w:val="null3"/>
        <w:ind w:left="945" w:firstLine="321"/>
        <w:jc w:val="both"/>
      </w:pPr>
      <w:r>
        <w:rPr>
          <w:rFonts w:ascii="仿宋_GB2312" w:hAnsi="仿宋_GB2312" w:cs="仿宋_GB2312" w:eastAsia="仿宋_GB2312"/>
          <w:sz w:val="32"/>
          <w:b/>
        </w:rPr>
        <w:t>采购项目编号：</w:t>
      </w:r>
      <w:r>
        <w:rPr>
          <w:rFonts w:ascii="仿宋_GB2312" w:hAnsi="仿宋_GB2312" w:cs="仿宋_GB2312" w:eastAsia="仿宋_GB2312"/>
          <w:sz w:val="32"/>
          <w:b/>
          <w:u w:val="single"/>
        </w:rPr>
        <w:t xml:space="preserve">               </w:t>
      </w:r>
    </w:p>
    <w:p>
      <w:pPr>
        <w:pStyle w:val="null3"/>
        <w:jc w:val="center"/>
      </w:pPr>
      <w:r>
        <w:rPr>
          <w:rFonts w:ascii="仿宋_GB2312" w:hAnsi="仿宋_GB2312" w:cs="仿宋_GB2312" w:eastAsia="仿宋_GB2312"/>
          <w:sz w:val="32"/>
          <w:b/>
        </w:rPr>
        <w:t>甲方：</w:t>
      </w:r>
      <w:r>
        <w:rPr>
          <w:rFonts w:ascii="仿宋_GB2312" w:hAnsi="仿宋_GB2312" w:cs="仿宋_GB2312" w:eastAsia="仿宋_GB2312"/>
          <w:sz w:val="32"/>
          <w:b/>
          <w:u w:val="single"/>
        </w:rPr>
        <w:t>国家税务总局广州市税务局</w:t>
      </w:r>
    </w:p>
    <w:p>
      <w:pPr>
        <w:pStyle w:val="null3"/>
        <w:ind w:firstLine="1124"/>
        <w:jc w:val="both"/>
      </w:pPr>
      <w:r>
        <w:rPr>
          <w:rFonts w:ascii="仿宋_GB2312" w:hAnsi="仿宋_GB2312" w:cs="仿宋_GB2312" w:eastAsia="仿宋_GB2312"/>
          <w:sz w:val="32"/>
          <w:b/>
        </w:rPr>
        <w:t>乙方：</w:t>
      </w:r>
    </w:p>
    <w:p>
      <w:pPr>
        <w:pStyle w:val="null3"/>
        <w:jc w:val="center"/>
      </w:pPr>
      <w:r>
        <w:rPr>
          <w:rFonts w:ascii="仿宋_GB2312" w:hAnsi="仿宋_GB2312" w:cs="仿宋_GB2312" w:eastAsia="仿宋_GB2312"/>
          <w:sz w:val="32"/>
          <w:b/>
        </w:rPr>
        <w:t>签订时间：二〇二五年___月</w:t>
      </w:r>
    </w:p>
    <w:p>
      <w:pPr>
        <w:pStyle w:val="null3"/>
        <w:jc w:val="both"/>
      </w:pPr>
      <w:r>
        <w:rPr>
          <w:rFonts w:ascii="仿宋_GB2312" w:hAnsi="仿宋_GB2312" w:cs="仿宋_GB2312" w:eastAsia="仿宋_GB2312"/>
          <w:sz w:val="24"/>
          <w:b/>
        </w:rPr>
        <w:t>甲  方：</w:t>
      </w:r>
      <w:r>
        <w:rPr>
          <w:rFonts w:ascii="仿宋_GB2312" w:hAnsi="仿宋_GB2312" w:cs="仿宋_GB2312" w:eastAsia="仿宋_GB2312"/>
          <w:sz w:val="24"/>
          <w:b/>
          <w:u w:val="single"/>
        </w:rPr>
        <w:t>国家税务总局广州市税务局</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020-38006100</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r>
        <w:rPr>
          <w:rFonts w:ascii="仿宋_GB2312" w:hAnsi="仿宋_GB2312" w:cs="仿宋_GB2312" w:eastAsia="仿宋_GB2312"/>
          <w:sz w:val="24"/>
          <w:u w:val="single"/>
        </w:rPr>
        <w:t>广东省广州市天河区华夏路3号</w:t>
      </w:r>
    </w:p>
    <w:p>
      <w:pPr>
        <w:pStyle w:val="null3"/>
        <w:jc w:val="both"/>
      </w:pPr>
      <w:r>
        <w:rPr>
          <w:rFonts w:ascii="仿宋_GB2312" w:hAnsi="仿宋_GB2312" w:cs="仿宋_GB2312" w:eastAsia="仿宋_GB2312"/>
          <w:sz w:val="24"/>
          <w:b/>
        </w:rPr>
        <w:t>乙　方：</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p>
    <w:p>
      <w:pPr>
        <w:pStyle w:val="null3"/>
        <w:jc w:val="both"/>
      </w:pPr>
      <w:r>
        <w:rPr>
          <w:rFonts w:ascii="仿宋_GB2312" w:hAnsi="仿宋_GB2312" w:cs="仿宋_GB2312" w:eastAsia="仿宋_GB2312"/>
          <w:sz w:val="24"/>
        </w:rPr>
        <w:t>项目名称：</w:t>
      </w:r>
      <w:r>
        <w:rPr>
          <w:rFonts w:ascii="仿宋_GB2312" w:hAnsi="仿宋_GB2312" w:cs="仿宋_GB2312" w:eastAsia="仿宋_GB2312"/>
          <w:sz w:val="24"/>
          <w:u w:val="single"/>
        </w:rPr>
        <w:t>国家税务总局广州市税务局广州大数据应用管理服务</w:t>
      </w:r>
    </w:p>
    <w:p>
      <w:pPr>
        <w:pStyle w:val="null3"/>
        <w:jc w:val="both"/>
      </w:pPr>
      <w:r>
        <w:rPr>
          <w:rFonts w:ascii="仿宋_GB2312" w:hAnsi="仿宋_GB2312" w:cs="仿宋_GB2312" w:eastAsia="仿宋_GB2312"/>
          <w:sz w:val="24"/>
        </w:rPr>
        <w:t>采购编号：</w:t>
      </w:r>
    </w:p>
    <w:p>
      <w:pPr>
        <w:pStyle w:val="null3"/>
        <w:ind w:firstLine="485"/>
        <w:jc w:val="both"/>
      </w:pPr>
      <w:r>
        <w:rPr>
          <w:rFonts w:ascii="仿宋_GB2312" w:hAnsi="仿宋_GB2312" w:cs="仿宋_GB2312" w:eastAsia="仿宋_GB2312"/>
          <w:sz w:val="24"/>
        </w:rPr>
        <w:t>根据</w:t>
      </w:r>
      <w:r>
        <w:rPr>
          <w:rFonts w:ascii="仿宋_GB2312" w:hAnsi="仿宋_GB2312" w:cs="仿宋_GB2312" w:eastAsia="仿宋_GB2312"/>
          <w:sz w:val="24"/>
          <w:u w:val="single"/>
        </w:rPr>
        <w:t>国家税务总局广州市税务局广州大数据应用管理服务</w:t>
      </w:r>
      <w:r>
        <w:rPr>
          <w:rFonts w:ascii="仿宋_GB2312" w:hAnsi="仿宋_GB2312" w:cs="仿宋_GB2312" w:eastAsia="仿宋_GB2312"/>
          <w:sz w:val="24"/>
        </w:rPr>
        <w:t>的采购结果，按照《中华人民共和国政府采购法》、《中华人民共和国民法典》的规定，</w:t>
      </w:r>
      <w:r>
        <w:rPr>
          <w:rFonts w:ascii="仿宋_GB2312" w:hAnsi="仿宋_GB2312" w:cs="仿宋_GB2312" w:eastAsia="仿宋_GB2312"/>
          <w:sz w:val="24"/>
        </w:rPr>
        <w:t>经双方协商，</w:t>
      </w:r>
      <w:r>
        <w:rPr>
          <w:rFonts w:ascii="仿宋_GB2312" w:hAnsi="仿宋_GB2312" w:cs="仿宋_GB2312" w:eastAsia="仿宋_GB2312"/>
          <w:sz w:val="24"/>
        </w:rPr>
        <w:t>本着平等互利和诚实信用的原则，</w:t>
      </w:r>
      <w:r>
        <w:rPr>
          <w:rFonts w:ascii="仿宋_GB2312" w:hAnsi="仿宋_GB2312" w:cs="仿宋_GB2312" w:eastAsia="仿宋_GB2312"/>
          <w:sz w:val="24"/>
        </w:rPr>
        <w:t>一致同意签订本合同如下。</w:t>
      </w:r>
    </w:p>
    <w:p>
      <w:pPr>
        <w:pStyle w:val="null3"/>
        <w:numPr>
          <w:ilvl w:val="0"/>
          <w:numId w:val="1"/>
        </w:numPr>
        <w:jc w:val="left"/>
      </w:pPr>
      <w:r>
        <w:rPr>
          <w:rFonts w:ascii="仿宋_GB2312" w:hAnsi="仿宋_GB2312" w:cs="仿宋_GB2312" w:eastAsia="仿宋_GB2312"/>
          <w:sz w:val="24"/>
          <w:b/>
        </w:rPr>
        <w:t>合同金额</w:t>
      </w:r>
    </w:p>
    <w:p>
      <w:pPr>
        <w:pStyle w:val="null3"/>
        <w:ind w:firstLine="480"/>
        <w:jc w:val="both"/>
      </w:pPr>
      <w:r>
        <w:rPr>
          <w:rFonts w:ascii="仿宋_GB2312" w:hAnsi="仿宋_GB2312" w:cs="仿宋_GB2312" w:eastAsia="仿宋_GB2312"/>
          <w:sz w:val="24"/>
        </w:rPr>
        <w:t>合同金额为（大写）：人民币（¥）。</w:t>
      </w:r>
    </w:p>
    <w:p>
      <w:pPr>
        <w:pStyle w:val="null3"/>
        <w:numPr>
          <w:ilvl w:val="0"/>
          <w:numId w:val="1"/>
        </w:numPr>
        <w:jc w:val="left"/>
      </w:pPr>
      <w:r>
        <w:rPr>
          <w:rFonts w:ascii="仿宋_GB2312" w:hAnsi="仿宋_GB2312" w:cs="仿宋_GB2312" w:eastAsia="仿宋_GB2312"/>
          <w:sz w:val="24"/>
          <w:b/>
          <w:shd w:fill="FFFFFF" w:val="clear"/>
        </w:rPr>
        <w:t>服务内容与要求</w:t>
      </w:r>
    </w:p>
    <w:p>
      <w:pPr>
        <w:pStyle w:val="null3"/>
        <w:ind w:firstLine="480"/>
        <w:jc w:val="both"/>
      </w:pPr>
      <w:r>
        <w:rPr>
          <w:rFonts w:ascii="仿宋_GB2312" w:hAnsi="仿宋_GB2312" w:cs="仿宋_GB2312" w:eastAsia="仿宋_GB2312"/>
          <w:sz w:val="24"/>
          <w:shd w:fill="FFFFFF" w:val="clear"/>
        </w:rPr>
        <w:t>本合同服务内容详见附件1《采购需求》。</w:t>
      </w:r>
    </w:p>
    <w:p>
      <w:pPr>
        <w:pStyle w:val="null3"/>
        <w:numPr>
          <w:ilvl w:val="0"/>
          <w:numId w:val="1"/>
        </w:numPr>
        <w:jc w:val="left"/>
      </w:pPr>
      <w:r>
        <w:rPr>
          <w:rFonts w:ascii="仿宋_GB2312" w:hAnsi="仿宋_GB2312" w:cs="仿宋_GB2312" w:eastAsia="仿宋_GB2312"/>
          <w:sz w:val="24"/>
          <w:b/>
          <w:shd w:fill="FFFFFF" w:val="clear"/>
        </w:rPr>
        <w:t>服务期限和服务地点</w:t>
      </w:r>
    </w:p>
    <w:p>
      <w:pPr>
        <w:pStyle w:val="null3"/>
        <w:ind w:firstLine="42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服务期限：自合同签订之日起工作量达到67个人月。</w:t>
      </w:r>
    </w:p>
    <w:p>
      <w:pPr>
        <w:pStyle w:val="null3"/>
        <w:ind w:firstLine="42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服务地点：广州市内甲方指定地点。</w:t>
      </w:r>
    </w:p>
    <w:p>
      <w:pPr>
        <w:pStyle w:val="null3"/>
        <w:numPr>
          <w:ilvl w:val="0"/>
          <w:numId w:val="1"/>
        </w:numPr>
        <w:jc w:val="left"/>
      </w:pPr>
      <w:r>
        <w:rPr>
          <w:rFonts w:ascii="仿宋_GB2312" w:hAnsi="仿宋_GB2312" w:cs="仿宋_GB2312" w:eastAsia="仿宋_GB2312"/>
          <w:sz w:val="24"/>
          <w:b/>
          <w:shd w:fill="FFFFFF" w:val="clear"/>
        </w:rPr>
        <w:t>付款方式</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合同款项按下列步骤分两期支付：</w:t>
      </w:r>
    </w:p>
    <w:p>
      <w:pPr>
        <w:pStyle w:val="null3"/>
        <w:ind w:firstLine="480"/>
        <w:jc w:val="both"/>
      </w:pPr>
      <w:r>
        <w:rPr>
          <w:rFonts w:ascii="仿宋_GB2312" w:hAnsi="仿宋_GB2312" w:cs="仿宋_GB2312" w:eastAsia="仿宋_GB2312"/>
          <w:sz w:val="24"/>
        </w:rPr>
        <w:t>第一次付款：签订合同后，甲方在收到发票后10个工作日内，支付合同金额的50%，即：人民币（¥）；</w:t>
      </w:r>
    </w:p>
    <w:p>
      <w:pPr>
        <w:pStyle w:val="null3"/>
        <w:ind w:firstLine="480"/>
        <w:jc w:val="both"/>
      </w:pPr>
      <w:r>
        <w:rPr>
          <w:rFonts w:ascii="仿宋_GB2312" w:hAnsi="仿宋_GB2312" w:cs="仿宋_GB2312" w:eastAsia="仿宋_GB2312"/>
          <w:sz w:val="24"/>
        </w:rPr>
        <w:t>第二次付款：项目验收通过并收到发票后10个工作日内，支付合同金额的50%，即：人民币（¥）；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付款方式：采用支票、银行汇付（含电汇）等形式。</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每笔款项支付，乙方应在甲方支付款项前向甲方提供相应金额的有效发票，且收款方、出具发票方、合同乙方均必须与中标人名称一致。若乙方迟延交付发票的，甲方相应顺延付款时间。</w:t>
      </w:r>
    </w:p>
    <w:p>
      <w:pPr>
        <w:pStyle w:val="null3"/>
        <w:numPr>
          <w:ilvl w:val="0"/>
          <w:numId w:val="1"/>
        </w:numPr>
        <w:jc w:val="left"/>
      </w:pPr>
      <w:r>
        <w:rPr>
          <w:rFonts w:ascii="仿宋_GB2312" w:hAnsi="仿宋_GB2312" w:cs="仿宋_GB2312" w:eastAsia="仿宋_GB2312"/>
          <w:sz w:val="24"/>
          <w:b/>
        </w:rPr>
        <w:t>甲方乙方的权利和义务</w:t>
      </w:r>
    </w:p>
    <w:p>
      <w:pPr>
        <w:pStyle w:val="null3"/>
        <w:jc w:val="both"/>
      </w:pPr>
      <w:r>
        <w:rPr>
          <w:rFonts w:ascii="仿宋_GB2312" w:hAnsi="仿宋_GB2312" w:cs="仿宋_GB2312" w:eastAsia="仿宋_GB2312"/>
          <w:sz w:val="24"/>
          <w:b/>
        </w:rPr>
        <w:t>（一）甲方权利与义务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甲方为乙方有效完成服务提供必要的支持，包括提供工作场所、系统运行软硬件环境、及时下达工作任务，为乙方更好地完成工作任务而协调必要的业务和技术支持。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对乙方不合格的项目成员，甲方有权要求乙方更换，不得空缺。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负责对该项目的验收工作，并出具验收报告。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按合同要求支付乙方相应阶段的费用。</w:t>
      </w:r>
    </w:p>
    <w:p>
      <w:pPr>
        <w:pStyle w:val="null3"/>
        <w:jc w:val="both"/>
      </w:pPr>
      <w:r>
        <w:rPr>
          <w:rFonts w:ascii="仿宋_GB2312" w:hAnsi="仿宋_GB2312" w:cs="仿宋_GB2312" w:eastAsia="仿宋_GB2312"/>
          <w:sz w:val="24"/>
          <w:b/>
        </w:rPr>
        <w:t>（二）乙方权利与义务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乙方保证提供的服务具有合法性，确保甲方不会因使用乙方的服务而产生法律风险。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乙方到甲方进行现场支持服务，应有甲方指定专人陪同，应遵守甲方规章制度，服从甲方管理和调度。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乙方提供服务时引起的各种安全事件和事故，乙方应予以赔偿并承担责任。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乙方不承担由于项目中非乙方人员原因所造成的服务延迟、服务质量或水平下降而带来的任何责任。</w:t>
      </w:r>
    </w:p>
    <w:p>
      <w:pPr>
        <w:pStyle w:val="null3"/>
        <w:numPr>
          <w:ilvl w:val="0"/>
          <w:numId w:val="1"/>
        </w:numPr>
        <w:jc w:val="left"/>
      </w:pPr>
      <w:r>
        <w:rPr>
          <w:rFonts w:ascii="仿宋_GB2312" w:hAnsi="仿宋_GB2312" w:cs="仿宋_GB2312" w:eastAsia="仿宋_GB2312"/>
          <w:sz w:val="24"/>
          <w:b/>
        </w:rPr>
        <w:t>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验收准入条件：</w:t>
      </w:r>
    </w:p>
    <w:p>
      <w:pPr>
        <w:pStyle w:val="null3"/>
        <w:ind w:firstLine="480"/>
        <w:jc w:val="both"/>
      </w:pPr>
      <w:r>
        <w:rPr>
          <w:rFonts w:ascii="仿宋_GB2312" w:hAnsi="仿宋_GB2312" w:cs="仿宋_GB2312" w:eastAsia="仿宋_GB2312"/>
          <w:sz w:val="24"/>
        </w:rPr>
        <w:t>本项目采购需求中包含的各项服务工作内容全部完成，工作内容符合采购需求，工作量达到采购要求。</w:t>
      </w:r>
    </w:p>
    <w:p>
      <w:pPr>
        <w:pStyle w:val="null3"/>
        <w:ind w:firstLine="480"/>
        <w:jc w:val="both"/>
      </w:pPr>
      <w:r>
        <w:rPr>
          <w:rFonts w:ascii="仿宋_GB2312" w:hAnsi="仿宋_GB2312" w:cs="仿宋_GB2312" w:eastAsia="仿宋_GB2312"/>
          <w:sz w:val="24"/>
        </w:rPr>
        <w:t>运营服务过程中相关管理、技术文档通过采购人评审。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验收标准</w:t>
      </w:r>
    </w:p>
    <w:p>
      <w:pPr>
        <w:pStyle w:val="null3"/>
        <w:ind w:firstLine="480"/>
        <w:jc w:val="both"/>
      </w:pPr>
      <w:r>
        <w:rPr>
          <w:rFonts w:ascii="仿宋_GB2312" w:hAnsi="仿宋_GB2312" w:cs="仿宋_GB2312" w:eastAsia="仿宋_GB2312"/>
          <w:sz w:val="24"/>
        </w:rPr>
        <w:t>采购人以本项目采购需求相关内容为依据，作为项目验收标准用以评定中标人是否按照本招标文件中定义的各项服务内容和服务管理开展各项工作，工作流程和结果是否符合采购人质量管理要求，是否提交相关工作文档。</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在合同有效期满后的30个工作日内，甲方、乙方就乙方提供服务进行验收。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乙方完成本项目需求书中全部服务工作内容，符合项目验收准入条件后，乙方可提出项目验收申请。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乙方书面提出项目验收申请。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向甲方提交《项目工作总结报告》和《税务信息化项目服务商廉政反馈书》。</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向甲方整理提交项目需求实现相关管理、技术文档电子版文件。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甲方组织进行项目验收评审会议，对项目工作内容及文档进行验收评审。</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项目验收评审通过后，甲方出具《项目验收报告书》。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验收交付成果物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提交验收报告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提交移交物清单及移交物</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工作量统计表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效益评估报告</w:t>
      </w:r>
    </w:p>
    <w:p>
      <w:pPr>
        <w:pStyle w:val="null3"/>
        <w:numPr>
          <w:ilvl w:val="0"/>
          <w:numId w:val="1"/>
        </w:numPr>
        <w:jc w:val="left"/>
      </w:pPr>
      <w:r>
        <w:rPr>
          <w:rFonts w:ascii="仿宋_GB2312" w:hAnsi="仿宋_GB2312" w:cs="仿宋_GB2312" w:eastAsia="仿宋_GB2312"/>
          <w:sz w:val="24"/>
          <w:b/>
        </w:rPr>
        <w:t>违约责任与赔偿损失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乙方提供的服务不符合本合同规定的，甲方有权拒绝，并且乙方须向甲方支付合同金额5%的违约金。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乙方未能按本合同规定的时间提供服务，从逾期之日起每日按合同金额3‰的数额向甲方支付违约金；逾期半个月以上的，甲方有权终止合同，并且乙方须向甲方支付合同金额5%的违约金。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甲方无正当理由拒绝接受服务，到期拒付服务款项的，甲方向乙方偿付合同金额5%的违约金。甲方逾期付款，则每日按逾期款项的3‰向乙方偿付违约金。</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其它违约责任按《中华人民共和国民法典》处理。</w:t>
      </w:r>
    </w:p>
    <w:p>
      <w:pPr>
        <w:pStyle w:val="null3"/>
        <w:numPr>
          <w:ilvl w:val="0"/>
          <w:numId w:val="1"/>
        </w:numPr>
        <w:jc w:val="left"/>
      </w:pPr>
      <w:r>
        <w:rPr>
          <w:rFonts w:ascii="仿宋_GB2312" w:hAnsi="仿宋_GB2312" w:cs="仿宋_GB2312" w:eastAsia="仿宋_GB2312"/>
          <w:sz w:val="24"/>
          <w:b/>
        </w:rPr>
        <w:t>保密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甲方、乙方均不得向第三方泄露本合同内容及在本项目履行过程中获得的另一方的商业秘密及知识产权。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乙方应对在项目实施过程中接触到的甲方所有系统信息、工作资料等进行保密，不得以任何形式复制、带走或提供给任何其他个人或团体。乙方如违反本保密要求，甲方有权追究乙方的相关法律责任。</w:t>
      </w:r>
    </w:p>
    <w:p>
      <w:pPr>
        <w:pStyle w:val="null3"/>
        <w:numPr>
          <w:ilvl w:val="0"/>
          <w:numId w:val="1"/>
        </w:numPr>
        <w:jc w:val="left"/>
      </w:pP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乙方在服务过程中产生的所有技术资料、提交件及其他类别的知识产权均归甲方所有。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乙方交付给甲方的成果不得侵犯第三方的合法权益。如果甲方因使用本项目成果或其中一部分而被第三方起诉侵犯其专利权、商标权或其它知识产权，乙方将依法承担相应的法律责任。</w:t>
      </w:r>
    </w:p>
    <w:p>
      <w:pPr>
        <w:pStyle w:val="null3"/>
        <w:numPr>
          <w:ilvl w:val="0"/>
          <w:numId w:val="1"/>
        </w:numPr>
        <w:jc w:val="left"/>
      </w:pP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乙方不得另行开发本合同业务需求范围内，供纳税人(或缴费人)使用的软件。如有违反，甲方将乙方纳入税务系统信息化服务商失信名单。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乙方应建立防止违法违规聘用离职税务人员的风险控制制度。乙方违法违规聘用离职税务人员的，甲方有权采取以下一项或多项措施：</w:t>
      </w:r>
    </w:p>
    <w:p>
      <w:pPr>
        <w:pStyle w:val="null3"/>
        <w:ind w:firstLine="480"/>
        <w:jc w:val="both"/>
      </w:pPr>
      <w:r>
        <w:rPr>
          <w:rFonts w:ascii="仿宋_GB2312" w:hAnsi="仿宋_GB2312" w:cs="仿宋_GB2312" w:eastAsia="仿宋_GB2312"/>
          <w:sz w:val="24"/>
        </w:rPr>
        <w:t>（1）甲方要求乙方限期改正；</w:t>
      </w:r>
    </w:p>
    <w:p>
      <w:pPr>
        <w:pStyle w:val="null3"/>
        <w:ind w:firstLine="480"/>
        <w:jc w:val="both"/>
      </w:pPr>
      <w:r>
        <w:rPr>
          <w:rFonts w:ascii="仿宋_GB2312" w:hAnsi="仿宋_GB2312" w:cs="仿宋_GB2312" w:eastAsia="仿宋_GB2312"/>
          <w:sz w:val="24"/>
        </w:rPr>
        <w:t>（2）乙方按合同总价10%的数额向甲方支付违约金；</w:t>
      </w:r>
    </w:p>
    <w:p>
      <w:pPr>
        <w:pStyle w:val="null3"/>
        <w:ind w:firstLine="480"/>
        <w:jc w:val="both"/>
      </w:pPr>
      <w:r>
        <w:rPr>
          <w:rFonts w:ascii="仿宋_GB2312" w:hAnsi="仿宋_GB2312" w:cs="仿宋_GB2312" w:eastAsia="仿宋_GB2312"/>
          <w:sz w:val="24"/>
        </w:rPr>
        <w:t>（3）乙方3年内不得参加所聘人员原单位及下属单位的信息化项目政府采购活动；</w:t>
      </w:r>
    </w:p>
    <w:p>
      <w:pPr>
        <w:pStyle w:val="null3"/>
        <w:ind w:firstLine="480"/>
        <w:jc w:val="both"/>
      </w:pPr>
      <w:r>
        <w:rPr>
          <w:rFonts w:ascii="仿宋_GB2312" w:hAnsi="仿宋_GB2312" w:cs="仿宋_GB2312" w:eastAsia="仿宋_GB2312"/>
          <w:sz w:val="24"/>
        </w:rPr>
        <w:t>（4）甲方有权解除部分或全部合同。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600"/>
        <w:jc w:val="both"/>
      </w:pPr>
      <w:r>
        <w:rPr>
          <w:rFonts w:ascii="仿宋_GB2312" w:hAnsi="仿宋_GB2312" w:cs="仿宋_GB2312" w:eastAsia="仿宋_GB2312"/>
          <w:sz w:val="24"/>
        </w:rPr>
        <w:t>4.</w:t>
      </w:r>
      <w:r>
        <w:rPr>
          <w:rFonts w:ascii="仿宋_GB2312" w:hAnsi="仿宋_GB2312" w:cs="仿宋_GB2312" w:eastAsia="仿宋_GB2312"/>
          <w:sz w:val="24"/>
        </w:rPr>
        <w:t>乙方在本项目实施过程中发生违反网络安全规定行为，造成数据失窃或丢失、敏感信息泄露、主要业务系统瘫痪等不良后果的，自甲方或甲方主管机关做出认定之日起三年内，税务系统各单位可以拒绝乙方参与税务系统政府采购活动。</w:t>
      </w:r>
    </w:p>
    <w:p>
      <w:pPr>
        <w:pStyle w:val="null3"/>
        <w:numPr>
          <w:ilvl w:val="0"/>
          <w:numId w:val="1"/>
        </w:numPr>
        <w:jc w:val="left"/>
      </w:pPr>
      <w:r>
        <w:rPr>
          <w:rFonts w:ascii="仿宋_GB2312" w:hAnsi="仿宋_GB2312" w:cs="仿宋_GB2312" w:eastAsia="仿宋_GB2312"/>
          <w:sz w:val="24"/>
          <w:b/>
        </w:rPr>
        <w:t>争议的解决</w:t>
      </w:r>
    </w:p>
    <w:p>
      <w:pPr>
        <w:pStyle w:val="null3"/>
        <w:ind w:firstLine="480"/>
        <w:jc w:val="both"/>
      </w:pPr>
      <w:r>
        <w:rPr>
          <w:rFonts w:ascii="仿宋_GB2312" w:hAnsi="仿宋_GB2312" w:cs="仿宋_GB2312" w:eastAsia="仿宋_GB2312"/>
          <w:sz w:val="24"/>
        </w:rPr>
        <w:t>双方因履行本合同所发生的一切争议，应通过友好协商解决；如协商解决不成，可向甲方所在地法院提起诉讼。</w:t>
      </w:r>
    </w:p>
    <w:p>
      <w:pPr>
        <w:pStyle w:val="null3"/>
        <w:numPr>
          <w:ilvl w:val="0"/>
          <w:numId w:val="1"/>
        </w:numPr>
        <w:jc w:val="left"/>
      </w:pPr>
      <w:r>
        <w:rPr>
          <w:rFonts w:ascii="仿宋_GB2312" w:hAnsi="仿宋_GB2312" w:cs="仿宋_GB2312" w:eastAsia="仿宋_GB2312"/>
          <w:sz w:val="24"/>
          <w:b/>
        </w:rPr>
        <w:t>不可抗力</w:t>
      </w:r>
    </w:p>
    <w:p>
      <w:pPr>
        <w:pStyle w:val="null3"/>
        <w:ind w:firstLine="480"/>
        <w:jc w:val="both"/>
      </w:pPr>
      <w:r>
        <w:rPr>
          <w:rFonts w:ascii="仿宋_GB2312" w:hAnsi="仿宋_GB2312" w:cs="仿宋_GB2312" w:eastAsia="仿宋_GB2312"/>
          <w:sz w:val="24"/>
        </w:rPr>
        <w:t>签约双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left"/>
      </w:pPr>
      <w:r>
        <w:rPr>
          <w:rFonts w:ascii="仿宋_GB2312" w:hAnsi="仿宋_GB2312" w:cs="仿宋_GB2312" w:eastAsia="仿宋_GB2312"/>
          <w:sz w:val="24"/>
          <w:b/>
        </w:rPr>
        <w:t>税费</w:t>
      </w:r>
    </w:p>
    <w:p>
      <w:pPr>
        <w:pStyle w:val="null3"/>
        <w:ind w:firstLine="480"/>
        <w:jc w:val="both"/>
      </w:pPr>
      <w:r>
        <w:rPr>
          <w:rFonts w:ascii="仿宋_GB2312" w:hAnsi="仿宋_GB2312" w:cs="仿宋_GB2312" w:eastAsia="仿宋_GB2312"/>
          <w:sz w:val="24"/>
        </w:rPr>
        <w:t>在中国境内、外发生的与本合同执行有关的一切税费均由乙方负担。（印花税除外，书立合同的各方各自按规定缴纳印花税）</w:t>
      </w:r>
    </w:p>
    <w:p>
      <w:pPr>
        <w:pStyle w:val="null3"/>
        <w:numPr>
          <w:ilvl w:val="0"/>
          <w:numId w:val="1"/>
        </w:numPr>
        <w:jc w:val="left"/>
      </w:pPr>
      <w:r>
        <w:rPr>
          <w:rFonts w:ascii="仿宋_GB2312" w:hAnsi="仿宋_GB2312" w:cs="仿宋_GB2312" w:eastAsia="仿宋_GB2312"/>
          <w:sz w:val="24"/>
          <w:b/>
        </w:rPr>
        <w:t>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numPr>
          <w:ilvl w:val="0"/>
          <w:numId w:val="1"/>
        </w:numPr>
        <w:jc w:val="left"/>
      </w:pPr>
      <w:r>
        <w:rPr>
          <w:rFonts w:ascii="仿宋_GB2312" w:hAnsi="仿宋_GB2312" w:cs="仿宋_GB2312" w:eastAsia="仿宋_GB2312"/>
          <w:sz w:val="24"/>
          <w:b/>
        </w:rPr>
        <w:t>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本合同一式 </w:t>
      </w:r>
      <w:r>
        <w:rPr>
          <w:rFonts w:ascii="仿宋_GB2312" w:hAnsi="仿宋_GB2312" w:cs="仿宋_GB2312" w:eastAsia="仿宋_GB2312"/>
          <w:sz w:val="24"/>
          <w:u w:val="single"/>
        </w:rPr>
        <w:t>肆</w:t>
      </w:r>
      <w:r>
        <w:rPr>
          <w:rFonts w:ascii="仿宋_GB2312" w:hAnsi="仿宋_GB2312" w:cs="仿宋_GB2312" w:eastAsia="仿宋_GB2312"/>
          <w:sz w:val="24"/>
        </w:rPr>
        <w:t xml:space="preserve"> 份，双方各执 </w:t>
      </w:r>
      <w:r>
        <w:rPr>
          <w:rFonts w:ascii="仿宋_GB2312" w:hAnsi="仿宋_GB2312" w:cs="仿宋_GB2312" w:eastAsia="仿宋_GB2312"/>
          <w:sz w:val="24"/>
          <w:u w:val="single"/>
        </w:rPr>
        <w:t>贰</w:t>
      </w:r>
      <w:r>
        <w:rPr>
          <w:rFonts w:ascii="仿宋_GB2312" w:hAnsi="仿宋_GB2312" w:cs="仿宋_GB2312" w:eastAsia="仿宋_GB2312"/>
          <w:sz w:val="24"/>
        </w:rPr>
        <w:t xml:space="preserve"> 份，具有同等法律效力。</w:t>
      </w:r>
    </w:p>
    <w:p>
      <w:pPr>
        <w:pStyle w:val="null3"/>
        <w:jc w:val="both"/>
      </w:pPr>
      <w:r>
        <w:rPr>
          <w:rFonts w:ascii="仿宋_GB2312" w:hAnsi="仿宋_GB2312" w:cs="仿宋_GB2312" w:eastAsia="仿宋_GB2312"/>
          <w:sz w:val="24"/>
        </w:rPr>
        <w:t>甲方（盖章）：                         乙方（盖章）：</w:t>
      </w:r>
    </w:p>
    <w:p>
      <w:pPr>
        <w:pStyle w:val="null3"/>
        <w:jc w:val="both"/>
      </w:pPr>
      <w:r>
        <w:rPr>
          <w:rFonts w:ascii="仿宋_GB2312" w:hAnsi="仿宋_GB2312" w:cs="仿宋_GB2312" w:eastAsia="仿宋_GB2312"/>
          <w:sz w:val="24"/>
        </w:rPr>
        <w:t xml:space="preserve">国家税务总局广州市税务局              </w:t>
      </w:r>
    </w:p>
    <w:p>
      <w:pPr>
        <w:pStyle w:val="null3"/>
        <w:jc w:val="both"/>
      </w:pPr>
      <w:r>
        <w:rPr>
          <w:rFonts w:ascii="仿宋_GB2312" w:hAnsi="仿宋_GB2312" w:cs="仿宋_GB2312" w:eastAsia="仿宋_GB2312"/>
          <w:sz w:val="24"/>
        </w:rPr>
        <w:t>法定代表人：                          法定代表人：</w:t>
      </w:r>
    </w:p>
    <w:p>
      <w:pPr>
        <w:pStyle w:val="null3"/>
        <w:jc w:val="both"/>
      </w:pPr>
      <w:r>
        <w:rPr>
          <w:rFonts w:ascii="仿宋_GB2312" w:hAnsi="仿宋_GB2312" w:cs="仿宋_GB2312" w:eastAsia="仿宋_GB2312"/>
          <w:sz w:val="24"/>
        </w:rPr>
        <w:t>授权代表：                            授权代表</w:t>
      </w:r>
    </w:p>
    <w:p>
      <w:pPr>
        <w:pStyle w:val="null3"/>
        <w:jc w:val="both"/>
      </w:pPr>
      <w:r>
        <w:rPr>
          <w:rFonts w:ascii="仿宋_GB2312" w:hAnsi="仿宋_GB2312" w:cs="仿宋_GB2312" w:eastAsia="仿宋_GB2312"/>
          <w:sz w:val="24"/>
        </w:rPr>
        <w:t>签定地点：                            签定地点：</w:t>
      </w:r>
    </w:p>
    <w:p>
      <w:pPr>
        <w:pStyle w:val="null3"/>
        <w:jc w:val="both"/>
      </w:pPr>
      <w:r>
        <w:rPr>
          <w:rFonts w:ascii="仿宋_GB2312" w:hAnsi="仿宋_GB2312" w:cs="仿宋_GB2312" w:eastAsia="仿宋_GB2312"/>
          <w:sz w:val="24"/>
        </w:rPr>
        <w:t>签定日期：   年　 月 　日             签定日期： 　年 　月 　日</w:t>
      </w:r>
    </w:p>
    <w:p>
      <w:pPr>
        <w:pStyle w:val="null3"/>
        <w:jc w:val="both"/>
      </w:pPr>
      <w:r>
        <w:rPr>
          <w:rFonts w:ascii="仿宋_GB2312" w:hAnsi="仿宋_GB2312" w:cs="仿宋_GB2312" w:eastAsia="仿宋_GB2312"/>
          <w:sz w:val="24"/>
          <w:shd w:fill="FFFFFF" w:val="clear"/>
        </w:rPr>
        <w:t>开户名称：</w:t>
      </w:r>
    </w:p>
    <w:p>
      <w:pPr>
        <w:pStyle w:val="null3"/>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开户行：</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银行帐号：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国家税务总局广州市税务局广州大数据应用管理服务项目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GPCGD25C500FG046F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国家税务总局广州市税务局广州大数据应用管理服务项目</w:t>
      </w:r>
      <w:r>
        <w:rPr>
          <w:rFonts w:ascii="仿宋_GB2312" w:hAnsi="仿宋_GB2312" w:cs="仿宋_GB2312" w:eastAsia="仿宋_GB2312"/>
        </w:rPr>
        <w:t>”项目的招标[采购项目编号为：</w:t>
      </w:r>
      <w:r>
        <w:rPr>
          <w:rFonts w:ascii="仿宋_GB2312" w:hAnsi="仿宋_GB2312" w:cs="仿宋_GB2312" w:eastAsia="仿宋_GB2312"/>
        </w:rPr>
        <w:t>GPCGD25C500FG046F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国家税务总局广州市税务局广州大数据应用管理服务项目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国家税务总局广州市税务局广州大数据应用管理服务项目</w:t>
      </w:r>
      <w:r>
        <w:rPr>
          <w:rFonts w:ascii="仿宋_GB2312" w:hAnsi="仿宋_GB2312" w:cs="仿宋_GB2312" w:eastAsia="仿宋_GB2312"/>
        </w:rPr>
        <w:t>”项目采购[采购项目编号为</w:t>
      </w:r>
      <w:r>
        <w:rPr>
          <w:rFonts w:ascii="仿宋_GB2312" w:hAnsi="仿宋_GB2312" w:cs="仿宋_GB2312" w:eastAsia="仿宋_GB2312"/>
        </w:rPr>
        <w:t>GPCGD25C500FG046F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国家税务总局广州市税务局广州大数据应用管理服务项目</w:t>
      </w:r>
      <w:r>
        <w:rPr>
          <w:rFonts w:ascii="仿宋_GB2312" w:hAnsi="仿宋_GB2312" w:cs="仿宋_GB2312" w:eastAsia="仿宋_GB2312"/>
        </w:rPr>
        <w:t>招标中获中标（采购项目编号：</w:t>
      </w:r>
      <w:r>
        <w:rPr>
          <w:rFonts w:ascii="仿宋_GB2312" w:hAnsi="仿宋_GB2312" w:cs="仿宋_GB2312" w:eastAsia="仿宋_GB2312"/>
        </w:rPr>
        <w:t>GPCGD25C500FG046F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国家税务总局广州市税务局广州大数据应用管理服务项目</w:t>
      </w:r>
      <w:r>
        <w:rPr>
          <w:rFonts w:ascii="仿宋_GB2312" w:hAnsi="仿宋_GB2312" w:cs="仿宋_GB2312" w:eastAsia="仿宋_GB2312"/>
        </w:rPr>
        <w:t>”项目（采购项目编号：</w:t>
      </w:r>
      <w:r>
        <w:rPr>
          <w:rFonts w:ascii="仿宋_GB2312" w:hAnsi="仿宋_GB2312" w:cs="仿宋_GB2312" w:eastAsia="仿宋_GB2312"/>
        </w:rPr>
        <w:t>GPCGD25C500FG046F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