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440001-2025-16451</w:t>
      </w:r>
    </w:p>
    <w:p>
      <w:pPr>
        <w:pStyle w:val="null3"/>
        <w:jc w:val="center"/>
        <w:outlineLvl w:val="3"/>
      </w:pPr>
      <w:r>
        <w:rPr>
          <w:sz w:val="24"/>
          <w:b/>
        </w:rPr>
        <w:t>采购项目编号：</w:t>
      </w:r>
      <w:r>
        <w:rPr>
          <w:sz w:val="24"/>
          <w:b/>
        </w:rPr>
        <w:t>GPCGD253109FG062F</w:t>
      </w:r>
    </w:p>
    <w:p>
      <w:pPr>
        <w:pStyle w:val="null3"/>
        <w:jc w:val="center"/>
        <w:outlineLvl w:val="3"/>
      </w:pPr>
      <w:r>
        <w:rPr>
          <w:sz w:val="24"/>
          <w:b/>
        </w:rPr>
        <w:t>项目名称：</w:t>
      </w:r>
      <w:r>
        <w:rPr>
          <w:sz w:val="24"/>
          <w:b/>
        </w:rPr>
        <w:t>广东省土地调查规划院网络安全运营及机房硬件运维服务（2025年）</w:t>
      </w:r>
    </w:p>
    <w:p>
      <w:pPr>
        <w:pStyle w:val="null3"/>
        <w:jc w:val="center"/>
        <w:outlineLvl w:val="3"/>
      </w:pPr>
      <w:r>
        <w:rPr>
          <w:sz w:val="24"/>
          <w:b/>
        </w:rPr>
        <w:t>采购人：</w:t>
      </w:r>
      <w:r>
        <w:rPr>
          <w:sz w:val="24"/>
          <w:b/>
        </w:rPr>
        <w:t>广东省土地调查规划院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广东省土地调查规划院</w:t>
      </w:r>
      <w:r>
        <w:rPr/>
        <w:t>的委托，采用</w:t>
      </w:r>
      <w:r>
        <w:rPr/>
        <w:t>公开招标</w:t>
      </w:r>
      <w:r>
        <w:rPr/>
        <w:t>方式组织采购</w:t>
      </w:r>
      <w:r>
        <w:rPr/>
        <w:t>广东省土地调查规划院网络安全运营及机房硬件运维服务（2025年）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广东省土地调查规划院网络安全运营及机房硬件运维服务（2025年）</w:t>
      </w:r>
    </w:p>
    <w:p>
      <w:pPr>
        <w:pStyle w:val="null3"/>
        <w:ind w:firstLine="480"/>
      </w:pPr>
      <w:r>
        <w:rPr/>
        <w:t>采购计划编号：</w:t>
      </w:r>
      <w:r>
        <w:rPr/>
        <w:t>440001-2025-16451</w:t>
      </w:r>
    </w:p>
    <w:p>
      <w:pPr>
        <w:pStyle w:val="null3"/>
        <w:ind w:firstLine="480"/>
      </w:pPr>
      <w:r>
        <w:rPr/>
        <w:t>采购项目编号：</w:t>
      </w:r>
      <w:r>
        <w:rPr/>
        <w:t>GPCGD253109FG062F</w:t>
      </w:r>
    </w:p>
    <w:p>
      <w:pPr>
        <w:pStyle w:val="null3"/>
        <w:ind w:firstLine="480"/>
      </w:pPr>
      <w:r>
        <w:rPr/>
        <w:t>采购方式：</w:t>
      </w:r>
      <w:r>
        <w:rPr/>
        <w:t>公开招标</w:t>
      </w:r>
    </w:p>
    <w:p>
      <w:pPr>
        <w:pStyle w:val="null3"/>
        <w:ind w:firstLine="480"/>
      </w:pPr>
      <w:r>
        <w:rPr/>
        <w:t>预算金额：</w:t>
      </w:r>
      <w:r>
        <w:rPr/>
        <w:t>1,637,400.00</w:t>
      </w:r>
      <w:r>
        <w:rPr/>
        <w:t>元</w:t>
      </w:r>
    </w:p>
    <w:p>
      <w:pPr>
        <w:pStyle w:val="null3"/>
        <w:outlineLvl w:val="3"/>
      </w:pPr>
      <w:r>
        <w:rPr>
          <w:sz w:val="24"/>
          <w:b/>
        </w:rPr>
        <w:t>2.项目内容及需求情况（采购项目技术规格、参数及要求）</w:t>
      </w:r>
    </w:p>
    <w:p>
      <w:pPr>
        <w:pStyle w:val="null3"/>
      </w:pPr>
      <w:r>
        <w:rPr/>
        <w:t>采购包1(广东省土地调查规划院网络安全运营及机房硬件运维服务（2025年）):</w:t>
      </w:r>
    </w:p>
    <w:p>
      <w:pPr>
        <w:pStyle w:val="null3"/>
      </w:pPr>
      <w:r>
        <w:rPr/>
        <w:t>采购包预算金额：1,637,400.00元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其他运行维护服务</w:t>
            </w:r>
          </w:p>
        </w:tc>
        <w:tc>
          <w:tcPr>
            <w:tcW w:type="dxa" w:w="2136"/>
          </w:tcPr>
          <w:p>
            <w:pPr>
              <w:pStyle w:val="null3"/>
            </w:pPr>
            <w:r>
              <w:rPr/>
              <w:t>广东省土地调查规划院网络安全运营及机房硬件运维服务（2025年）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合同履行期限：合同签订起至验收通过止。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提供经会计师事务所审计的投标人2023年度或2024年度财务状况报告；或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采购包1（广东省土地调查规划院网络安全运营及机房硬件运维服务（2025年））：</w:t>
      </w:r>
      <w:r>
        <w:rPr/>
        <w:t>本项目属于专门面向中小企业采购的项目。供应商须为符合本项目采购标的对应行业（软件和信息技术服务业）划分标准的中小企业（监狱企业、残疾人福利单位视同小型、微型企业）。投标时提供《中小企业声明函（服务）》（见投标文件格式）。监狱企业、残疾人福利单位视同小型、微型企业。 注1：中小企业以供应商填写的《中小企业声明函 （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采购包1（广东省土地调查规划院网络安全运营及机房硬件运维服务（2025年））：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广东省政府采购中心（http://gpcgd.gd.gov.cn/）、广东省自然资源厅（https://nr.gd.gov.cn/）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广东省土地调查规划院</w:t>
      </w:r>
    </w:p>
    <w:p>
      <w:pPr>
        <w:pStyle w:val="null3"/>
        <w:ind w:firstLine="480"/>
      </w:pPr>
      <w:r>
        <w:rPr/>
        <w:t xml:space="preserve"> 地址：</w:t>
      </w:r>
      <w:r>
        <w:rPr/>
        <w:t>广州市环市东路468号</w:t>
      </w:r>
    </w:p>
    <w:p>
      <w:pPr>
        <w:pStyle w:val="null3"/>
        <w:ind w:firstLine="480"/>
      </w:pPr>
      <w:r>
        <w:rPr/>
        <w:t xml:space="preserve"> 联系方式：</w:t>
      </w:r>
      <w:r>
        <w:rPr/>
        <w:t>020-87619839</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《用户需求书》中标注有“★”号的条款必须实质性响应，负偏离任一“★”号条款（不满足要求）将导致报价无效。</w:t>
      </w:r>
    </w:p>
    <w:p>
      <w:pPr>
        <w:pStyle w:val="null3"/>
        <w:ind w:firstLine="420"/>
        <w:jc w:val="both"/>
      </w:pPr>
      <w:r>
        <w:rPr>
          <w:sz w:val="21"/>
        </w:rPr>
        <w:t>《用户需求书》中标注有“▲”的为重要参数指标，投标人若有部分“▲”条款未响应或不满足，将导致其响应性评审扣分。</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号）等。</w:t>
      </w:r>
    </w:p>
    <w:p>
      <w:pPr>
        <w:pStyle w:val="null3"/>
        <w:ind w:firstLine="420"/>
        <w:jc w:val="both"/>
      </w:pPr>
      <w:r>
        <w:rPr>
          <w:sz w:val="21"/>
        </w:rPr>
        <w:t>本项目属于服务类项目，中小企业划分标准所属行业为：软件和信息技术服务业。</w:t>
      </w:r>
    </w:p>
    <w:p>
      <w:pPr>
        <w:pStyle w:val="null3"/>
        <w:jc w:val="center"/>
      </w:pPr>
      <w:r>
        <w:rPr>
          <w:sz w:val="21"/>
          <w:b/>
        </w:rPr>
        <w:t>用户需求书</w:t>
      </w:r>
    </w:p>
    <w:p>
      <w:pPr>
        <w:pStyle w:val="null3"/>
        <w:spacing w:before="120"/>
        <w:jc w:val="both"/>
        <w:outlineLvl w:val="0"/>
      </w:pPr>
      <w:r>
        <w:rPr>
          <w:sz w:val="21"/>
          <w:b/>
        </w:rPr>
        <w:t>一、项目一览表</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42"/>
        <w:gridCol w:w="2483"/>
        <w:gridCol w:w="856"/>
        <w:gridCol w:w="1627"/>
        <w:gridCol w:w="2398"/>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包组号</w:t>
            </w:r>
          </w:p>
        </w:tc>
        <w:tc>
          <w:tcPr>
            <w:tcW w:type="dxa" w:w="24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采购内容</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16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最高限价</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服务期</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2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广东省土地调查规划院网络安全运营及机房硬件运维服务（</w:t>
            </w:r>
            <w:r>
              <w:rPr>
                <w:sz w:val="21"/>
              </w:rPr>
              <w:t>2025</w:t>
            </w:r>
            <w:r>
              <w:rPr>
                <w:sz w:val="21"/>
              </w:rPr>
              <w:t>年）</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项</w:t>
            </w:r>
          </w:p>
        </w:tc>
        <w:tc>
          <w:tcPr>
            <w:tcW w:type="dxa" w:w="16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人民币</w:t>
            </w:r>
            <w:r>
              <w:rPr>
                <w:sz w:val="21"/>
              </w:rPr>
              <w:t>1637400.00</w:t>
            </w:r>
            <w:r>
              <w:rPr>
                <w:sz w:val="21"/>
              </w:rPr>
              <w:t>元</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2025</w:t>
            </w:r>
            <w:r>
              <w:rPr>
                <w:sz w:val="21"/>
              </w:rPr>
              <w:t>年</w:t>
            </w:r>
            <w:r>
              <w:rPr>
                <w:sz w:val="21"/>
              </w:rPr>
              <w:t>6</w:t>
            </w:r>
            <w:r>
              <w:rPr>
                <w:sz w:val="21"/>
              </w:rPr>
              <w:t>月</w:t>
            </w:r>
            <w:r>
              <w:rPr>
                <w:sz w:val="21"/>
              </w:rPr>
              <w:t>16</w:t>
            </w:r>
            <w:r>
              <w:rPr>
                <w:sz w:val="21"/>
              </w:rPr>
              <w:t>日至</w:t>
            </w:r>
            <w:r>
              <w:rPr>
                <w:sz w:val="21"/>
              </w:rPr>
              <w:t>2026</w:t>
            </w:r>
            <w:r>
              <w:rPr>
                <w:sz w:val="21"/>
              </w:rPr>
              <w:t>年</w:t>
            </w:r>
            <w:r>
              <w:rPr>
                <w:sz w:val="21"/>
              </w:rPr>
              <w:t>6</w:t>
            </w:r>
            <w:r>
              <w:rPr>
                <w:sz w:val="21"/>
              </w:rPr>
              <w:t>月</w:t>
            </w:r>
            <w:r>
              <w:rPr>
                <w:sz w:val="21"/>
              </w:rPr>
              <w:t>15</w:t>
            </w:r>
            <w:r>
              <w:rPr>
                <w:sz w:val="21"/>
              </w:rPr>
              <w:t>日</w:t>
            </w:r>
          </w:p>
        </w:tc>
      </w:tr>
    </w:tbl>
    <w:p>
      <w:pPr>
        <w:pStyle w:val="null3"/>
        <w:spacing w:before="120"/>
        <w:jc w:val="both"/>
        <w:outlineLvl w:val="0"/>
      </w:pPr>
      <w:r>
        <w:rPr>
          <w:sz w:val="21"/>
          <w:b/>
        </w:rPr>
        <w:t>二、项目目标</w:t>
      </w:r>
    </w:p>
    <w:p>
      <w:pPr>
        <w:pStyle w:val="null3"/>
        <w:jc w:val="both"/>
      </w:pPr>
      <w:r>
        <w:rPr>
          <w:sz w:val="21"/>
        </w:rPr>
        <w:t>项目周期内提供网络安全运行服务、专项安全测评服务、机房硬件运维服务，保障规划院网络安全及机房运行。</w:t>
      </w:r>
    </w:p>
    <w:p>
      <w:pPr>
        <w:pStyle w:val="null3"/>
        <w:spacing w:before="120"/>
        <w:jc w:val="both"/>
        <w:outlineLvl w:val="0"/>
      </w:pPr>
      <w:r>
        <w:rPr>
          <w:sz w:val="21"/>
          <w:b/>
        </w:rPr>
        <w:t>三、项目内容</w:t>
      </w:r>
    </w:p>
    <w:p>
      <w:pPr>
        <w:pStyle w:val="null3"/>
        <w:jc w:val="both"/>
      </w:pPr>
      <w:r>
        <w:rPr>
          <w:sz w:val="21"/>
        </w:rPr>
        <w:t>（一）网络安全运行服务</w:t>
      </w:r>
    </w:p>
    <w:p>
      <w:pPr>
        <w:pStyle w:val="null3"/>
      </w:pPr>
      <w:r>
        <w:rPr>
          <w:sz w:val="21"/>
        </w:rPr>
        <w:t>▲</w:t>
      </w:r>
      <w:r>
        <w:rPr>
          <w:sz w:val="21"/>
        </w:rPr>
        <w:t>1.</w:t>
      </w:r>
      <w:r>
        <w:rPr>
          <w:sz w:val="21"/>
        </w:rPr>
        <w:t>行业攻防演练驻场服务：协助采购人参与上级单位组织开展的应急演练活动，攻防演练前对采购人网络信息资产的加固整顿，提前做好攻防演练准备。网络安全攻防演练期间，提供网络安全值守服务，协助采购人进行防守。</w:t>
      </w:r>
    </w:p>
    <w:p>
      <w:pPr>
        <w:pStyle w:val="null3"/>
        <w:jc w:val="both"/>
      </w:pPr>
      <w:r>
        <w:rPr>
          <w:sz w:val="21"/>
        </w:rPr>
        <w:t>2.</w:t>
      </w:r>
      <w:r>
        <w:rPr>
          <w:sz w:val="21"/>
        </w:rPr>
        <w:t>应急响应服务：提供网络安全应急响应服务，及时处置网络安全事件。项目周期内开展不少于</w:t>
      </w:r>
      <w:r>
        <w:rPr>
          <w:sz w:val="21"/>
        </w:rPr>
        <w:t>2</w:t>
      </w:r>
      <w:r>
        <w:rPr>
          <w:sz w:val="21"/>
        </w:rPr>
        <w:t>次应急演练。</w:t>
      </w:r>
    </w:p>
    <w:p>
      <w:pPr>
        <w:pStyle w:val="null3"/>
        <w:jc w:val="both"/>
      </w:pPr>
      <w:r>
        <w:rPr>
          <w:sz w:val="21"/>
        </w:rPr>
        <w:t>▲3.</w:t>
      </w:r>
      <w:r>
        <w:rPr>
          <w:sz w:val="21"/>
        </w:rPr>
        <w:t>重保服务：</w:t>
      </w:r>
      <w:r>
        <w:rPr>
          <w:sz w:val="21"/>
          <w:color w:val="000000"/>
        </w:rPr>
        <w:t>为确保采购人国土空间规划</w:t>
      </w:r>
      <w:r>
        <w:rPr>
          <w:sz w:val="21"/>
          <w:color w:val="000000"/>
        </w:rPr>
        <w:t>“</w:t>
      </w:r>
      <w:r>
        <w:rPr>
          <w:sz w:val="21"/>
          <w:color w:val="000000"/>
        </w:rPr>
        <w:t>一张图</w:t>
      </w:r>
      <w:r>
        <w:rPr>
          <w:sz w:val="21"/>
          <w:color w:val="000000"/>
        </w:rPr>
        <w:t>”</w:t>
      </w:r>
      <w:r>
        <w:rPr>
          <w:sz w:val="21"/>
          <w:color w:val="000000"/>
        </w:rPr>
        <w:t>实施监督信息系统业务及网络安全稳定，重大活动期间进行</w:t>
      </w:r>
      <w:r>
        <w:rPr>
          <w:sz w:val="21"/>
          <w:color w:val="000000"/>
        </w:rPr>
        <w:t>7*24</w:t>
      </w:r>
      <w:r>
        <w:rPr>
          <w:sz w:val="21"/>
          <w:color w:val="000000"/>
        </w:rPr>
        <w:t>小时值守，保障重要时期的网络安全</w:t>
      </w:r>
      <w:r>
        <w:rPr>
          <w:sz w:val="21"/>
        </w:rPr>
        <w:t>。</w:t>
      </w:r>
    </w:p>
    <w:p>
      <w:pPr>
        <w:pStyle w:val="null3"/>
        <w:jc w:val="both"/>
      </w:pPr>
      <w:r>
        <w:rPr>
          <w:sz w:val="21"/>
        </w:rPr>
        <w:t>4.</w:t>
      </w:r>
      <w:r>
        <w:rPr>
          <w:sz w:val="21"/>
        </w:rPr>
        <w:t>网络安全监控服务：</w:t>
      </w:r>
      <w:r>
        <w:rPr>
          <w:sz w:val="21"/>
          <w:color w:val="000000"/>
        </w:rPr>
        <w:t>基于人机共智模式，对不同安全设备的安全日志、流量进行关联分析，通过安全专家主动识别网络和主机中的安全威胁，主动响应，协助采购人闭环处置安全事件。</w:t>
      </w:r>
    </w:p>
    <w:p>
      <w:pPr>
        <w:pStyle w:val="null3"/>
        <w:jc w:val="both"/>
      </w:pPr>
      <w:r>
        <w:rPr>
          <w:sz w:val="21"/>
          <w:b/>
        </w:rPr>
        <w:t>★</w:t>
      </w:r>
      <w:r>
        <w:rPr>
          <w:sz w:val="21"/>
          <w:color w:val="000000"/>
        </w:rPr>
        <w:t>基于政务外网，建立威胁</w:t>
      </w:r>
      <w:r>
        <w:rPr>
          <w:sz w:val="21"/>
          <w:color w:val="000000"/>
        </w:rPr>
        <w:t>7*24</w:t>
      </w:r>
      <w:r>
        <w:rPr>
          <w:sz w:val="21"/>
          <w:color w:val="000000"/>
        </w:rPr>
        <w:t>小时的持续监测机制，帮助采购人将信息安全事件关口前移，并提供安全威胁的修复协助与指导。（</w:t>
      </w:r>
      <w:r>
        <w:rPr>
          <w:sz w:val="21"/>
          <w:b/>
        </w:rPr>
        <w:t>供应商提供承诺函，可参照“格式”中《承诺函》格式</w:t>
      </w:r>
      <w:r>
        <w:rPr>
          <w:sz w:val="21"/>
          <w:color w:val="000000"/>
        </w:rPr>
        <w:t>）</w:t>
      </w:r>
    </w:p>
    <w:p>
      <w:pPr>
        <w:pStyle w:val="null3"/>
        <w:jc w:val="both"/>
      </w:pPr>
      <w:r>
        <w:rPr>
          <w:sz w:val="21"/>
        </w:rPr>
        <w:t xml:space="preserve">   供应商应制定网络安全监控服务方案，方案至少包括（</w:t>
      </w:r>
      <w:r>
        <w:rPr>
          <w:sz w:val="21"/>
        </w:rPr>
        <w:t>1</w:t>
      </w:r>
      <w:r>
        <w:rPr>
          <w:sz w:val="21"/>
        </w:rPr>
        <w:t>）网络安全监控服务人员团队配置信息，要求团队不少于</w:t>
      </w:r>
      <w:r>
        <w:rPr>
          <w:sz w:val="21"/>
        </w:rPr>
        <w:t>5</w:t>
      </w:r>
      <w:r>
        <w:rPr>
          <w:sz w:val="21"/>
        </w:rPr>
        <w:t>人，至少一人具有网络工程师或信息安全工程师证书</w:t>
      </w:r>
      <w:r>
        <w:rPr>
          <w:sz w:val="21"/>
        </w:rPr>
        <w:t>（</w:t>
      </w:r>
      <w:r>
        <w:rPr>
          <w:sz w:val="21"/>
        </w:rPr>
        <w:t>2</w:t>
      </w:r>
      <w:r>
        <w:rPr>
          <w:sz w:val="21"/>
        </w:rPr>
        <w:t>）事件处理时效，要求半个小时内响应。</w:t>
      </w:r>
    </w:p>
    <w:p>
      <w:pPr>
        <w:pStyle w:val="null3"/>
        <w:jc w:val="both"/>
      </w:pPr>
      <w:r>
        <w:rPr>
          <w:sz w:val="21"/>
        </w:rPr>
        <w:t>▲</w:t>
      </w:r>
      <w:r>
        <w:rPr>
          <w:sz w:val="21"/>
          <w:color w:val="000000"/>
        </w:rPr>
        <w:t>5.</w:t>
      </w:r>
      <w:r>
        <w:rPr>
          <w:sz w:val="21"/>
          <w:color w:val="000000"/>
        </w:rPr>
        <w:t>漏洞扫描：对采购人的主机、操作系统提供漏洞扫描服务，筛选高可信漏洞，输出漏扫报告。每月开展一次。</w:t>
      </w:r>
    </w:p>
    <w:p>
      <w:pPr>
        <w:pStyle w:val="null3"/>
        <w:jc w:val="both"/>
      </w:pPr>
      <w:r>
        <w:rPr>
          <w:sz w:val="21"/>
          <w:color w:val="000000"/>
        </w:rPr>
        <w:t>6.</w:t>
      </w:r>
      <w:r>
        <w:rPr>
          <w:sz w:val="21"/>
          <w:color w:val="000000"/>
        </w:rPr>
        <w:t>网络安全漏洞修复与整改加固：针对采购人的信息系统或操作系统相关安全检查报告，制定整改加固方案，协助采购人完成整改。</w:t>
      </w:r>
    </w:p>
    <w:p>
      <w:pPr>
        <w:pStyle w:val="null3"/>
        <w:jc w:val="both"/>
      </w:pPr>
      <w:r>
        <w:rPr>
          <w:sz w:val="21"/>
        </w:rPr>
        <w:t>▲</w:t>
      </w:r>
      <w:r>
        <w:rPr>
          <w:sz w:val="21"/>
          <w:color w:val="000000"/>
        </w:rPr>
        <w:t>7.</w:t>
      </w:r>
      <w:r>
        <w:rPr>
          <w:sz w:val="21"/>
        </w:rPr>
        <w:t>网络安全设备病毒库更新服务：对采购人现有的网络安全设备（详见以下清单）提供病毒库更新升级服务（</w:t>
      </w:r>
      <w:r>
        <w:rPr>
          <w:sz w:val="21"/>
        </w:rPr>
        <w:t>1</w:t>
      </w:r>
      <w:r>
        <w:rPr>
          <w:sz w:val="21"/>
        </w:rPr>
        <w:t>年授权）。</w:t>
      </w:r>
    </w:p>
    <w:tbl>
      <w:tblPr>
        <w:tblW w:w="0" w:type="auto"/>
        <w:tblBorders>
          <w:top w:val="single"/>
          <w:left w:val="single"/>
          <w:bottom w:val="single"/>
          <w:right w:val="single"/>
          <w:insideH w:val="single"/>
          <w:insideV w:val="single"/>
        </w:tblBorders>
      </w:tblPr>
      <w:tblGrid>
        <w:gridCol w:w="1526"/>
        <w:gridCol w:w="1865"/>
        <w:gridCol w:w="1526"/>
        <w:gridCol w:w="3390"/>
      </w:tblGrid>
      <w:tr>
        <w:tc>
          <w:tcPr>
            <w:tcW w:type="dxa" w:w="15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w:t>
            </w:r>
          </w:p>
        </w:tc>
        <w:tc>
          <w:tcPr>
            <w:tcW w:type="dxa" w:w="18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型号</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版本</w:t>
            </w:r>
          </w:p>
        </w:tc>
        <w:tc>
          <w:tcPr>
            <w:tcW w:type="dxa" w:w="33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序列号</w:t>
            </w:r>
          </w:p>
        </w:tc>
      </w:tr>
      <w:tr>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AF-2000-FH2250B</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8.0.95</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50FE9F8E</w:t>
            </w:r>
          </w:p>
        </w:tc>
      </w:tr>
      <w:tr>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AF-2000-FH2250B</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8.0.95</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62735995</w:t>
            </w:r>
          </w:p>
        </w:tc>
      </w:tr>
      <w:tr>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上网行为管理</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AC-1000-B2100Y</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13.0.47</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41C4E7A6</w:t>
            </w:r>
          </w:p>
        </w:tc>
      </w:tr>
      <w:tr>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AF-2000-FH2250B</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8.0.75</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E8FD9F08</w:t>
            </w:r>
          </w:p>
        </w:tc>
      </w:tr>
      <w:tr>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AF-2000-B2130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8.0.48</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62ABD227</w:t>
            </w:r>
          </w:p>
        </w:tc>
      </w:tr>
      <w:tr>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EDR</w:t>
            </w:r>
          </w:p>
        </w:tc>
        <w:tc>
          <w:tcPr>
            <w:tcW w:type="dxa" w:w="1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w:t>
            </w:r>
            <w:r>
              <w:rPr>
                <w:sz w:val="21"/>
              </w:rPr>
              <w:t>EDR-V100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3.7.12</w:t>
            </w:r>
          </w:p>
        </w:tc>
        <w:tc>
          <w:tcPr>
            <w:tcW w:type="dxa" w:w="33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1360737625</w:t>
            </w:r>
          </w:p>
        </w:tc>
      </w:tr>
    </w:tbl>
    <w:p>
      <w:pPr>
        <w:pStyle w:val="null3"/>
        <w:jc w:val="both"/>
      </w:pPr>
      <w:r>
        <w:rPr>
          <w:sz w:val="21"/>
          <w:color w:val="000000"/>
        </w:rPr>
        <w:t>（二）专项安全测评服务</w:t>
      </w:r>
    </w:p>
    <w:p>
      <w:pPr>
        <w:pStyle w:val="null3"/>
        <w:jc w:val="both"/>
      </w:pPr>
      <w:r>
        <w:rPr>
          <w:sz w:val="21"/>
        </w:rPr>
        <w:t>▲</w:t>
      </w:r>
      <w:r>
        <w:rPr>
          <w:sz w:val="21"/>
          <w:color w:val="000000"/>
        </w:rPr>
        <w:t>1.</w:t>
      </w:r>
      <w:r>
        <w:rPr>
          <w:sz w:val="21"/>
          <w:color w:val="000000"/>
        </w:rPr>
        <w:t>应用系统渗透测试：对采购人指定的信息系统，开展渗透测试，输出渗透测试报告。每季度开展一次。</w:t>
      </w:r>
    </w:p>
    <w:p>
      <w:pPr>
        <w:pStyle w:val="null3"/>
        <w:jc w:val="both"/>
      </w:pPr>
      <w:r>
        <w:rPr>
          <w:sz w:val="21"/>
        </w:rPr>
        <w:t>▲2.</w:t>
      </w:r>
      <w:r>
        <w:rPr>
          <w:sz w:val="21"/>
          <w:color w:val="000000"/>
        </w:rPr>
        <w:t>信息安全风险评估服务：对采购人的网络环境、信息系统、管理制度进行分析评估，形成评估报告。每季度开展一次。</w:t>
      </w:r>
    </w:p>
    <w:p>
      <w:pPr>
        <w:pStyle w:val="null3"/>
        <w:jc w:val="both"/>
      </w:pPr>
      <w:r>
        <w:rPr>
          <w:sz w:val="21"/>
        </w:rPr>
        <w:t>（三）机房硬件运维服务</w:t>
      </w:r>
    </w:p>
    <w:p>
      <w:pPr>
        <w:pStyle w:val="null3"/>
        <w:jc w:val="both"/>
      </w:pPr>
      <w:r>
        <w:rPr>
          <w:sz w:val="21"/>
        </w:rPr>
        <w:t>▲1.</w:t>
      </w:r>
      <w:r>
        <w:rPr>
          <w:sz w:val="21"/>
        </w:rPr>
        <w:t>机房基础设施巡检：定期对采购人机房基础设施巡检，包括供配电系统、</w:t>
      </w:r>
      <w:r>
        <w:rPr>
          <w:sz w:val="21"/>
        </w:rPr>
        <w:t>UPS</w:t>
      </w:r>
      <w:r>
        <w:rPr>
          <w:sz w:val="21"/>
        </w:rPr>
        <w:t>系统、空调通风系统、综合监控系统（环境监控系统、</w:t>
      </w:r>
      <w:r>
        <w:rPr>
          <w:sz w:val="21"/>
        </w:rPr>
        <w:t>KVM</w:t>
      </w:r>
      <w:r>
        <w:rPr>
          <w:sz w:val="21"/>
        </w:rPr>
        <w:t>系统</w:t>
      </w:r>
      <w:r>
        <w:rPr>
          <w:sz w:val="21"/>
        </w:rPr>
        <w:t>)</w:t>
      </w:r>
      <w:r>
        <w:rPr>
          <w:sz w:val="21"/>
        </w:rPr>
        <w:t>、机柜和综合布线系统、消防系统（火灾自动报警和气体灭火系统</w:t>
      </w:r>
      <w:r>
        <w:rPr>
          <w:sz w:val="21"/>
        </w:rPr>
        <w:t>)</w:t>
      </w:r>
      <w:r>
        <w:rPr>
          <w:sz w:val="21"/>
        </w:rPr>
        <w:t>、接地及防雷系统等，及其附带的各类系统，并对机房环境清洁。至少每月开展两次。</w:t>
      </w:r>
    </w:p>
    <w:p>
      <w:pPr>
        <w:pStyle w:val="null3"/>
        <w:jc w:val="both"/>
      </w:pPr>
      <w:r>
        <w:rPr>
          <w:sz w:val="21"/>
        </w:rPr>
        <w:t>▲2.</w:t>
      </w:r>
      <w:r>
        <w:rPr>
          <w:sz w:val="21"/>
        </w:rPr>
        <w:t>设备巡检：定期对采购人机房内所有生产、网络及安全设备巡检。至少每月开展两次。</w:t>
      </w:r>
    </w:p>
    <w:p>
      <w:pPr>
        <w:pStyle w:val="null3"/>
        <w:jc w:val="both"/>
      </w:pPr>
      <w:r>
        <w:rPr>
          <w:sz w:val="21"/>
        </w:rPr>
        <w:t>3.</w:t>
      </w:r>
      <w:r>
        <w:rPr>
          <w:sz w:val="21"/>
        </w:rPr>
        <w:t>网络线路巡检：定期对采购人机房与各办公室之间的网络线路巡检，确保网络通畅。至少每月开展两次。</w:t>
      </w:r>
    </w:p>
    <w:p>
      <w:pPr>
        <w:pStyle w:val="null3"/>
        <w:jc w:val="both"/>
      </w:pPr>
      <w:r>
        <w:rPr>
          <w:sz w:val="21"/>
        </w:rPr>
        <w:t>4.</w:t>
      </w:r>
      <w:r>
        <w:rPr>
          <w:sz w:val="21"/>
        </w:rPr>
        <w:t>故障处理：在出现故障时，根据故障等级采取相应的措施，及时排除故障。</w:t>
      </w:r>
    </w:p>
    <w:p>
      <w:pPr>
        <w:pStyle w:val="null3"/>
        <w:jc w:val="both"/>
      </w:pPr>
      <w:r>
        <w:rPr>
          <w:sz w:val="21"/>
        </w:rPr>
        <w:t>5.</w:t>
      </w:r>
      <w:r>
        <w:rPr>
          <w:sz w:val="21"/>
        </w:rPr>
        <w:t>资产登记、归档：协助采购人对机房新旧设备进行资产登记、归档，建立并定期维护设备清单台账。</w:t>
      </w:r>
    </w:p>
    <w:p>
      <w:pPr>
        <w:pStyle w:val="null3"/>
        <w:jc w:val="both"/>
      </w:pPr>
      <w:r>
        <w:rPr>
          <w:sz w:val="21"/>
        </w:rPr>
        <w:t>6.</w:t>
      </w:r>
      <w:r>
        <w:rPr>
          <w:sz w:val="21"/>
        </w:rPr>
        <w:t>设备安装：机房内如有新设备需要协助我院工作人员进行安装、上架，并做好详细记录。</w:t>
      </w:r>
    </w:p>
    <w:p>
      <w:pPr>
        <w:pStyle w:val="null3"/>
        <w:jc w:val="both"/>
      </w:pPr>
      <w:r>
        <w:rPr>
          <w:sz w:val="21"/>
        </w:rPr>
        <w:t>7.</w:t>
      </w:r>
      <w:r>
        <w:rPr>
          <w:sz w:val="21"/>
        </w:rPr>
        <w:t>技术支持：主要是解决机房在运行过程中遇到的技术问题，提供咨询、方案编写、技术支援等服务。</w:t>
      </w:r>
    </w:p>
    <w:p>
      <w:pPr>
        <w:pStyle w:val="null3"/>
        <w:jc w:val="both"/>
      </w:pPr>
      <w:r>
        <w:rPr>
          <w:sz w:val="21"/>
        </w:rPr>
        <w:t>8.</w:t>
      </w:r>
      <w:r>
        <w:rPr>
          <w:sz w:val="21"/>
        </w:rPr>
        <w:t>日常事务处理：协助处理台式机、笔记本电脑运维及其他相关事务。</w:t>
      </w:r>
    </w:p>
    <w:p>
      <w:pPr>
        <w:pStyle w:val="null3"/>
        <w:jc w:val="both"/>
      </w:pPr>
      <w:r>
        <w:rPr>
          <w:sz w:val="21"/>
        </w:rPr>
        <w:t>9.</w:t>
      </w:r>
      <w:r>
        <w:rPr>
          <w:sz w:val="21"/>
        </w:rPr>
        <w:t>配件更换服务：</w:t>
      </w:r>
    </w:p>
    <w:p>
      <w:pPr>
        <w:pStyle w:val="null3"/>
        <w:ind w:firstLine="480"/>
        <w:jc w:val="both"/>
      </w:pPr>
      <w:r>
        <w:rPr>
          <w:sz w:val="21"/>
        </w:rPr>
        <w:t>▲（</w:t>
      </w:r>
      <w:r>
        <w:rPr>
          <w:sz w:val="21"/>
        </w:rPr>
        <w:t>1</w:t>
      </w:r>
      <w:r>
        <w:rPr>
          <w:sz w:val="21"/>
        </w:rPr>
        <w:t>）设备故障需要更换配件材料时，由中标供应商负责更换，且不再收取配件材料的成本费、维护费和安装费。所更换的配件应与原产品同等或优于原产品及应符合相关标准，满足设备性能要求，需提供一年的保修服务；</w:t>
      </w:r>
    </w:p>
    <w:p>
      <w:pPr>
        <w:pStyle w:val="null3"/>
        <w:ind w:firstLine="480"/>
        <w:jc w:val="both"/>
      </w:pPr>
      <w:r>
        <w:rPr>
          <w:sz w:val="21"/>
        </w:rPr>
        <w:t>▲（</w:t>
      </w:r>
      <w:r>
        <w:rPr>
          <w:sz w:val="21"/>
        </w:rPr>
        <w:t>2</w:t>
      </w:r>
      <w:r>
        <w:rPr>
          <w:sz w:val="21"/>
        </w:rPr>
        <w:t>）在运维期间，若设备发生故障且两天内难以修复，经双方协商，由中标供应商提供备用机，以保证业主方系统正常使用；</w:t>
      </w:r>
    </w:p>
    <w:p>
      <w:pPr>
        <w:pStyle w:val="null3"/>
        <w:ind w:firstLine="480"/>
        <w:jc w:val="both"/>
      </w:pPr>
      <w:r>
        <w:rPr>
          <w:sz w:val="21"/>
        </w:rPr>
        <w:t>（</w:t>
      </w:r>
      <w:r>
        <w:rPr>
          <w:sz w:val="21"/>
        </w:rPr>
        <w:t>3</w:t>
      </w:r>
      <w:r>
        <w:rPr>
          <w:sz w:val="21"/>
        </w:rPr>
        <w:t>）对于整机设备损坏无法通过更换零部件进行维修的情况，报告业主方，由业主方决定是否更换采购新型设备进行替补；</w:t>
      </w:r>
    </w:p>
    <w:p>
      <w:pPr>
        <w:pStyle w:val="null3"/>
        <w:ind w:firstLine="480"/>
        <w:jc w:val="both"/>
      </w:pPr>
      <w:r>
        <w:rPr>
          <w:sz w:val="21"/>
        </w:rPr>
        <w:t>（</w:t>
      </w:r>
      <w:r>
        <w:rPr>
          <w:sz w:val="21"/>
        </w:rPr>
        <w:t>4</w:t>
      </w:r>
      <w:r>
        <w:rPr>
          <w:sz w:val="21"/>
        </w:rPr>
        <w:t>）在维修约定范围内，中标供应商有义务提供专业意见，解答关于系统问题。</w:t>
      </w:r>
    </w:p>
    <w:p>
      <w:pPr>
        <w:pStyle w:val="null3"/>
        <w:ind w:firstLine="480"/>
      </w:pPr>
      <w:r>
        <w:rPr>
          <w:sz w:val="21"/>
        </w:rPr>
        <w:t>（</w:t>
      </w:r>
      <w:r>
        <w:rPr>
          <w:sz w:val="21"/>
        </w:rPr>
        <w:t>5</w:t>
      </w:r>
      <w:r>
        <w:rPr>
          <w:sz w:val="21"/>
        </w:rPr>
        <w:t>）提供维修服务需形成维修记录表；</w:t>
      </w:r>
    </w:p>
    <w:p>
      <w:pPr>
        <w:pStyle w:val="null3"/>
        <w:ind w:firstLine="480"/>
      </w:pPr>
      <w:r>
        <w:rPr>
          <w:sz w:val="21"/>
        </w:rPr>
        <w:t>供应商应制定配件更换服务方案，方案至少包括</w:t>
      </w:r>
      <w:r>
        <w:rPr>
          <w:sz w:val="21"/>
        </w:rPr>
        <w:t>1</w:t>
      </w:r>
      <w:r>
        <w:rPr>
          <w:sz w:val="21"/>
        </w:rPr>
        <w:t>）维修时间（非响应时间，指从确认问题到完成配件更换的时间，常见配件一般不超过</w:t>
      </w:r>
      <w:r>
        <w:rPr>
          <w:sz w:val="21"/>
        </w:rPr>
        <w:t>6</w:t>
      </w:r>
      <w:r>
        <w:rPr>
          <w:sz w:val="21"/>
        </w:rPr>
        <w:t>小时）和质保承诺（至少一年）</w:t>
      </w:r>
      <w:r>
        <w:rPr>
          <w:sz w:val="21"/>
        </w:rPr>
        <w:t>2</w:t>
      </w:r>
      <w:r>
        <w:rPr>
          <w:sz w:val="21"/>
        </w:rPr>
        <w:t>）供应配件团队人员配置（应有专人负责）。</w:t>
      </w:r>
    </w:p>
    <w:p>
      <w:pPr>
        <w:pStyle w:val="null3"/>
        <w:jc w:val="both"/>
      </w:pPr>
      <w:r>
        <w:rPr>
          <w:sz w:val="21"/>
        </w:rPr>
        <w:t>10.</w:t>
      </w:r>
      <w:r>
        <w:rPr>
          <w:sz w:val="21"/>
        </w:rPr>
        <w:t>维护清单：</w:t>
      </w:r>
    </w:p>
    <w:tbl>
      <w:tblPr>
        <w:tblW w:w="0" w:type="auto"/>
        <w:tblBorders>
          <w:top w:val="none" w:color="000000" w:sz="4"/>
          <w:left w:val="none" w:color="000000" w:sz="4"/>
          <w:bottom w:val="none" w:color="000000" w:sz="4"/>
          <w:right w:val="none" w:color="000000" w:sz="4"/>
          <w:insideH w:val="none"/>
          <w:insideV w:val="none"/>
        </w:tblBorders>
      </w:tblPr>
      <w:tblGrid>
        <w:gridCol w:w="1113"/>
        <w:gridCol w:w="942"/>
        <w:gridCol w:w="1798"/>
        <w:gridCol w:w="1798"/>
        <w:gridCol w:w="2654"/>
      </w:tblGrid>
      <w:tr>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所属机房</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r>
              <w:rPr>
                <w:sz w:val="21"/>
                <w:b/>
              </w:rPr>
              <w:t>/</w:t>
            </w:r>
            <w:r>
              <w:rPr>
                <w:sz w:val="21"/>
                <w:b/>
              </w:rPr>
              <w:t>名称</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r>
              <w:rPr>
                <w:sz w:val="21"/>
                <w:b/>
              </w:rPr>
              <w:t>/</w:t>
            </w:r>
            <w:r>
              <w:rPr>
                <w:sz w:val="21"/>
                <w:b/>
              </w:rPr>
              <w:t>类别</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w:t>
            </w:r>
            <w:r>
              <w:rPr>
                <w:sz w:val="21"/>
              </w:rPr>
              <w:t>一</w:t>
            </w:r>
            <w:r>
              <w:rPr>
                <w:sz w:val="21"/>
              </w:rPr>
              <w:t>)</w:t>
            </w:r>
          </w:p>
        </w:tc>
        <w:tc>
          <w:tcPr>
            <w:tcW w:type="dxa" w:w="71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b/>
              </w:rPr>
              <w:t>机房基础环境运维</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精密空调</w:t>
            </w:r>
            <w:r>
              <w:rPr>
                <w:sz w:val="21"/>
              </w:rPr>
              <w:t>7.5KW-</w:t>
            </w:r>
            <w:r>
              <w:rPr>
                <w:sz w:val="21"/>
              </w:rPr>
              <w:t>科士达</w:t>
            </w:r>
            <w:r>
              <w:rPr>
                <w:sz w:val="21"/>
              </w:rPr>
              <w:t>ST007FAAAAONT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精密空调</w:t>
            </w:r>
            <w:r>
              <w:rPr>
                <w:sz w:val="21"/>
              </w:rPr>
              <w:t>20KW-</w:t>
            </w:r>
            <w:r>
              <w:rPr>
                <w:sz w:val="21"/>
              </w:rPr>
              <w:t>科士达</w:t>
            </w:r>
            <w:r>
              <w:rPr>
                <w:sz w:val="21"/>
              </w:rPr>
              <w:t>ST020FAACAONT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精密空调</w:t>
            </w:r>
            <w:r>
              <w:rPr>
                <w:sz w:val="21"/>
              </w:rPr>
              <w:t>12.5KW-</w:t>
            </w:r>
            <w:r>
              <w:rPr>
                <w:sz w:val="21"/>
              </w:rPr>
              <w:t>科士达</w:t>
            </w:r>
            <w:r>
              <w:rPr>
                <w:sz w:val="21"/>
              </w:rPr>
              <w:t>ST012AACANNT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精密空调</w:t>
            </w:r>
            <w:r>
              <w:rPr>
                <w:sz w:val="21"/>
              </w:rPr>
              <w:t>12.5KW-</w:t>
            </w:r>
            <w:r>
              <w:rPr>
                <w:sz w:val="21"/>
              </w:rPr>
              <w:t>艾默生</w:t>
            </w:r>
            <w:r>
              <w:rPr>
                <w:sz w:val="21"/>
              </w:rPr>
              <w:t xml:space="preserve"> KWDME12MHP5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中央空调</w:t>
            </w:r>
            <w:r>
              <w:rPr>
                <w:sz w:val="21"/>
              </w:rPr>
              <w:t>3</w:t>
            </w:r>
            <w:r>
              <w:rPr>
                <w:sz w:val="21"/>
              </w:rPr>
              <w:t>匹天花机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r>
              <w:rPr>
                <w:sz w:val="21"/>
              </w:rPr>
              <w:t>UPS</w:t>
            </w:r>
            <w:r>
              <w:rPr>
                <w:sz w:val="21"/>
              </w:rPr>
              <w:t>系统</w:t>
            </w:r>
            <w:r>
              <w:rPr>
                <w:sz w:val="21"/>
              </w:rPr>
              <w:t>-YDC3340 40KVA/36kw</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小机房</w:t>
            </w:r>
            <w:r>
              <w:rPr>
                <w:sz w:val="21"/>
              </w:rPr>
              <w:t>UPS</w:t>
            </w:r>
            <w:r>
              <w:rPr>
                <w:sz w:val="21"/>
              </w:rPr>
              <w:t>系统</w:t>
            </w:r>
            <w:r>
              <w:rPr>
                <w:sz w:val="21"/>
              </w:rPr>
              <w:t>-YDC3330H 30KVA/27KW</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r>
              <w:rPr>
                <w:sz w:val="21"/>
              </w:rPr>
              <w:t>UPS</w:t>
            </w:r>
            <w:r>
              <w:rPr>
                <w:sz w:val="21"/>
              </w:rPr>
              <w:t>系统</w:t>
            </w:r>
            <w:r>
              <w:rPr>
                <w:sz w:val="21"/>
              </w:rPr>
              <w:t>-YTR3340-J</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动环系统</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气体消防系统</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金盾</w:t>
            </w:r>
            <w:r>
              <w:rPr>
                <w:sz w:val="21"/>
              </w:rPr>
              <w:t>42U</w:t>
            </w:r>
            <w:r>
              <w:rPr>
                <w:sz w:val="21"/>
              </w:rPr>
              <w:t>（含配电柜</w:t>
            </w:r>
            <w:r>
              <w:rPr>
                <w:sz w:val="21"/>
              </w:rPr>
              <w:t>\PDU</w:t>
            </w:r>
            <w:r>
              <w:rPr>
                <w:sz w:val="21"/>
              </w:rPr>
              <w: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气体消防系统</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机房配电系统（含配电柜）</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机房配电系统（含配电柜）</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迈拓</w:t>
            </w:r>
            <w:r>
              <w:rPr>
                <w:sz w:val="21"/>
              </w:rPr>
              <w:t>kvm</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MT-0801UK-CH</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迈拓</w:t>
            </w:r>
            <w:r>
              <w:rPr>
                <w:sz w:val="21"/>
              </w:rPr>
              <w:t>kvm</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MT-1601UK-CH</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机房人脸识别门禁</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海康威视</w:t>
            </w:r>
            <w:r>
              <w:rPr>
                <w:sz w:val="21"/>
              </w:rPr>
              <w:t>DS_x005f K1T671MF</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KVM</w:t>
            </w: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CL5716M</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w:t>
            </w:r>
            <w:r>
              <w:rPr>
                <w:sz w:val="21"/>
              </w:rPr>
              <w:t>42U</w:t>
            </w:r>
            <w:r>
              <w:rPr>
                <w:sz w:val="21"/>
              </w:rPr>
              <w:t>（含</w:t>
            </w:r>
            <w:r>
              <w:rPr>
                <w:sz w:val="21"/>
              </w:rPr>
              <w:t>PDU</w:t>
            </w:r>
            <w:r>
              <w:rPr>
                <w:sz w:val="21"/>
              </w:rPr>
              <w:t>）</w:t>
            </w:r>
            <w:r>
              <w:rPr>
                <w:sz w:val="21"/>
              </w:rPr>
              <w:t>+</w:t>
            </w:r>
            <w:r>
              <w:rPr>
                <w:sz w:val="21"/>
              </w:rPr>
              <w:t>门禁安防</w:t>
            </w:r>
            <w:r>
              <w:rPr>
                <w:sz w:val="21"/>
              </w:rPr>
              <w:t>+</w:t>
            </w:r>
            <w:r>
              <w:rPr>
                <w:sz w:val="21"/>
              </w:rPr>
              <w:t>防雷系统</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会议室</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r>
              <w:rPr>
                <w:sz w:val="21"/>
              </w:rPr>
              <w:t>寸一体机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安丽</w:t>
            </w:r>
            <w:r>
              <w:rPr>
                <w:sz w:val="21"/>
              </w:rPr>
              <w:t>AL-L98CRD/B</w:t>
            </w:r>
            <w:r>
              <w:rPr>
                <w:sz w:val="21"/>
              </w:rPr>
              <w:t>（含麦克风、录像机、音响设备）</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KVM</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神盾卫士</w:t>
            </w:r>
            <w:r>
              <w:rPr>
                <w:sz w:val="21"/>
              </w:rPr>
              <w:t>SLC-732I</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w:t>
            </w:r>
            <w:r>
              <w:rPr>
                <w:sz w:val="21"/>
              </w:rPr>
              <w:t>二</w:t>
            </w:r>
            <w:r>
              <w:rPr>
                <w:sz w:val="21"/>
              </w:rPr>
              <w:t>)</w:t>
            </w:r>
          </w:p>
        </w:tc>
        <w:tc>
          <w:tcPr>
            <w:tcW w:type="dxa" w:w="71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b/>
              </w:rPr>
              <w:t>硬件设备运维</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ThinkServer RD450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ThinkServer RD450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R730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IBM System X3650 M3</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ThinkServer RD450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ThinkServer RD450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5885H V5</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2288H V5</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MD3800I</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MD1200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R930</w:t>
            </w:r>
            <w:r>
              <w:rPr>
                <w:sz w:val="21"/>
              </w:rPr>
              <w:t>（长城）</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R930</w:t>
            </w:r>
            <w:r>
              <w:rPr>
                <w:sz w:val="21"/>
              </w:rPr>
              <w:t>（宝德</w:t>
            </w:r>
            <w:r>
              <w:rPr>
                <w:sz w:val="21"/>
              </w:rPr>
              <w:t>PR4860R-L</w:t>
            </w:r>
            <w:r>
              <w:rPr>
                <w:sz w:val="21"/>
              </w:rPr>
              <w:t>）</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IBM X3650M4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MD1200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MD1200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MD1400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SCv2020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NF8460M3</w:t>
            </w:r>
            <w:r>
              <w:rPr>
                <w:sz w:val="21"/>
              </w:rPr>
              <w:t>（</w:t>
            </w:r>
            <w:r>
              <w:rPr>
                <w:sz w:val="21"/>
              </w:rPr>
              <w:t>NF5280 M4(Incloud Manager;SSR)</w:t>
            </w:r>
            <w:r>
              <w:rPr>
                <w:sz w:val="21"/>
              </w:rPr>
              <w:t>）</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惠普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HP ProLiant DL585G7</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惠普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HP ProLiant DL580G5</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P510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P510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r>
              <w:rPr>
                <w:sz w:val="21"/>
              </w:rPr>
              <w:t>RS2421RP+</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r>
              <w:rPr>
                <w:sz w:val="21"/>
              </w:rPr>
              <w:t>RS2421xs+</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r>
              <w:rPr>
                <w:sz w:val="21"/>
              </w:rPr>
              <w:t>RS2421xs+</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中科曙光</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中科曙光</w:t>
            </w:r>
            <w:r>
              <w:rPr>
                <w:sz w:val="21"/>
              </w:rPr>
              <w:t>DS600-G20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P510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P510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r>
              <w:rPr>
                <w:sz w:val="21"/>
              </w:rPr>
              <w:t>（云桌面）</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r>
              <w:rPr>
                <w:sz w:val="21"/>
              </w:rPr>
              <w:t>（云桌面）</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72</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DELL R740 </w:t>
            </w:r>
            <w:r>
              <w:rPr>
                <w:sz w:val="21"/>
              </w:rPr>
              <w:t>（</w:t>
            </w:r>
            <w:r>
              <w:rPr>
                <w:sz w:val="21"/>
              </w:rPr>
              <w:t>GPU</w:t>
            </w:r>
            <w:r>
              <w:rPr>
                <w:sz w:val="21"/>
              </w:rPr>
              <w: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DELL R740</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w:t>
            </w:r>
            <w:r>
              <w:rPr>
                <w:sz w:val="21"/>
              </w:rPr>
              <w:t>三</w:t>
            </w:r>
            <w:r>
              <w:rPr>
                <w:sz w:val="21"/>
              </w:rPr>
              <w:t>)</w:t>
            </w:r>
          </w:p>
        </w:tc>
        <w:tc>
          <w:tcPr>
            <w:tcW w:type="dxa" w:w="719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b/>
              </w:rPr>
              <w:t>网络与安全设备</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S5720-56C-EI-AC</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S5720S-28P-SI-AC</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S5720S-28P-SI-AC</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博科</w:t>
            </w:r>
            <w:r>
              <w:rPr>
                <w:sz w:val="21"/>
              </w:rPr>
              <w:t>300</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r>
              <w:rPr>
                <w:sz w:val="21"/>
              </w:rPr>
              <w:t>S5720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S5735S-L48FT4S-A</w:t>
            </w:r>
            <w:r>
              <w:rPr>
                <w:sz w:val="21"/>
              </w:rPr>
              <w:t>以太网交换机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r>
              <w:rPr>
                <w:sz w:val="21"/>
              </w:rPr>
              <w:t>S5735S</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S6730S-S24X6Q-A</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华三</w:t>
            </w:r>
            <w:r>
              <w:rPr>
                <w:sz w:val="21"/>
              </w:rPr>
              <w:t>LS-5120V2-28P-SI</w:t>
            </w:r>
            <w:r>
              <w:rPr>
                <w:sz w:val="21"/>
              </w:rPr>
              <w:t>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Quidway S7706</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Quidway S7706</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戴尔博科</w:t>
            </w:r>
            <w:r>
              <w:rPr>
                <w:sz w:val="21"/>
              </w:rPr>
              <w:t>G610</w:t>
            </w:r>
            <w:r>
              <w:rPr>
                <w:sz w:val="21"/>
              </w:rPr>
              <w:t>存储光纤交换机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戴尔博科</w:t>
            </w:r>
            <w:r>
              <w:rPr>
                <w:sz w:val="21"/>
              </w:rPr>
              <w:t>G610</w:t>
            </w:r>
            <w:r>
              <w:rPr>
                <w:sz w:val="21"/>
              </w:rPr>
              <w:t>存储光纤交换机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S5735S-L48FT4S-A24</w:t>
            </w:r>
            <w:r>
              <w:rPr>
                <w:sz w:val="21"/>
              </w:rPr>
              <w:t>口交换机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S5735S-L48FT4S-A12</w:t>
            </w:r>
            <w:r>
              <w:rPr>
                <w:sz w:val="21"/>
              </w:rPr>
              <w:t>口交换机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S5735S-L48FT4S-A12</w:t>
            </w:r>
            <w:r>
              <w:rPr>
                <w:sz w:val="21"/>
              </w:rPr>
              <w:t>口交换机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S5720-56C-EI-AC48</w:t>
            </w:r>
            <w:r>
              <w:rPr>
                <w:sz w:val="21"/>
              </w:rPr>
              <w:t>口交换机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USG6325E-AC</w:t>
            </w:r>
            <w:r>
              <w:rPr>
                <w:sz w:val="21"/>
              </w:rPr>
              <w:t>防火墙</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USG6325E-AC</w:t>
            </w:r>
            <w:r>
              <w:rPr>
                <w:sz w:val="21"/>
              </w:rPr>
              <w:t>防火墙</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AF-2000 B2130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行为管理</w:t>
            </w:r>
            <w:r>
              <w:rPr>
                <w:sz w:val="21"/>
              </w:rPr>
              <w:t>AC1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AC-1000 B2100y</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安全感知平台</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SIP</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负载均衡</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AD-1000-B2500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S57315-H48T4XC-A</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S5735S-L24T4S-QA2</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S5735S-L24T4S-QA2</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S6720S-26Q-EI-245-AC</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AF-2000-B2130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AF-2000-B2130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AF-2000-B2130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AC</w:t>
            </w:r>
            <w:r>
              <w:rPr>
                <w:sz w:val="21"/>
              </w:rPr>
              <w:t>行为管理</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AC-1000-SK2100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AC</w:t>
            </w:r>
            <w:r>
              <w:rPr>
                <w:sz w:val="21"/>
              </w:rPr>
              <w:t>行为管理</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AC-1000-B1100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网闸</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网闸</w:t>
            </w:r>
            <w:r>
              <w:rPr>
                <w:sz w:val="21"/>
              </w:rPr>
              <w:t xml:space="preserve"> su-gap3000-s0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硬盘录像机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DS-7808N-E2/8N</w:t>
            </w:r>
            <w:r>
              <w:rPr>
                <w:sz w:val="21"/>
              </w:rPr>
              <w:t>安防系统</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FS5900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FS5900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无线控制器</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TL-AC200</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TL-SG3428</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三层交换机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S5720-32P-EI-AC</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三层交换机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S5720-32P-EI-AC</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AC</w:t>
            </w:r>
            <w:r>
              <w:rPr>
                <w:sz w:val="21"/>
              </w:rPr>
              <w:t>控制器</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WX2510H-PWR</w:t>
            </w:r>
            <w:r>
              <w:rPr>
                <w:sz w:val="21"/>
              </w:rPr>
              <w:t>（</w:t>
            </w:r>
            <w:r>
              <w:rPr>
                <w:sz w:val="21"/>
              </w:rPr>
              <w:t>EWP-WA5320-C-FIT 10</w:t>
            </w:r>
            <w:r>
              <w:rPr>
                <w:sz w:val="21"/>
              </w:rPr>
              <w:t>台）</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政务网接入防火墙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SecPath F1000-Ak115</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政务网接入交换机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MS4016-PWR</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MS4016-PWR</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w:t>
            </w:r>
            <w:r>
              <w:rPr>
                <w:sz w:val="21"/>
              </w:rPr>
              <w:t>1</w:t>
            </w:r>
            <w:r>
              <w:rPr>
                <w:sz w:val="21"/>
              </w:rPr>
              <w:t>号楼</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锐捷</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室外全向智能型大功率无线基站</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w:t>
            </w:r>
            <w:r>
              <w:rPr>
                <w:sz w:val="21"/>
              </w:rPr>
              <w:t>1</w:t>
            </w:r>
            <w:r>
              <w:rPr>
                <w:sz w:val="21"/>
              </w:rPr>
              <w:t>号楼</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锐捷</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室外全向智能型大功率无线基站</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南沙办公区</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H3C</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华三</w:t>
            </w:r>
            <w:r>
              <w:rPr>
                <w:sz w:val="21"/>
              </w:rPr>
              <w:t xml:space="preserve">(H3C) S5024PV2-EI </w:t>
            </w:r>
            <w:r>
              <w:rPr>
                <w:sz w:val="21"/>
              </w:rPr>
              <w:t>网管型企业级全千兆交换机</w:t>
            </w:r>
          </w:p>
        </w:tc>
      </w:tr>
      <w:tr>
        <w:tc>
          <w:tcPr>
            <w:tcW w:type="dxa" w:w="11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南沙办公区</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H3C</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华三</w:t>
            </w:r>
            <w:r>
              <w:rPr>
                <w:sz w:val="21"/>
              </w:rPr>
              <w:t xml:space="preserve">(H3C) S5130-28S-SI </w:t>
            </w:r>
            <w:r>
              <w:rPr>
                <w:sz w:val="21"/>
              </w:rPr>
              <w:t>网管型企业级汇聚交换机</w:t>
            </w:r>
          </w:p>
        </w:tc>
      </w:tr>
    </w:tbl>
    <w:p>
      <w:pPr>
        <w:pStyle w:val="null3"/>
        <w:jc w:val="both"/>
      </w:pPr>
      <w:r>
        <w:rPr>
          <w:sz w:val="21"/>
        </w:rPr>
        <w:t>（四）项目实施要求</w:t>
      </w:r>
    </w:p>
    <w:p>
      <w:pPr>
        <w:pStyle w:val="null3"/>
        <w:ind w:firstLine="420"/>
        <w:jc w:val="both"/>
      </w:pPr>
      <w:r>
        <w:rPr>
          <w:sz w:val="21"/>
        </w:rPr>
        <w:t>为使项目按质、按量、按时及有序实施，供应商应根据项目内容（包括但不限于（</w:t>
      </w:r>
      <w:r>
        <w:rPr>
          <w:sz w:val="21"/>
        </w:rPr>
        <w:t>1</w:t>
      </w:r>
      <w:r>
        <w:rPr>
          <w:sz w:val="21"/>
        </w:rPr>
        <w:t>）网络安全攻防演练值守；（</w:t>
      </w:r>
      <w:r>
        <w:rPr>
          <w:sz w:val="21"/>
        </w:rPr>
        <w:t>2</w:t>
      </w:r>
      <w:r>
        <w:rPr>
          <w:sz w:val="21"/>
        </w:rPr>
        <w:t>）网络安全运营；（</w:t>
      </w:r>
      <w:r>
        <w:rPr>
          <w:sz w:val="21"/>
        </w:rPr>
        <w:t>3</w:t>
      </w:r>
      <w:r>
        <w:rPr>
          <w:sz w:val="21"/>
        </w:rPr>
        <w:t>）网络安全设备升级服务；（</w:t>
      </w:r>
      <w:r>
        <w:rPr>
          <w:sz w:val="21"/>
        </w:rPr>
        <w:t>4</w:t>
      </w:r>
      <w:r>
        <w:rPr>
          <w:sz w:val="21"/>
        </w:rPr>
        <w:t>）机房基础设施运维巡检）制定实施方案，包括但不限于建立完善、稳定的项目团队、内部组织管理方式及管理机构、协调机制、技术基础，支撑保障要求及其他相关要求。在项目日常管理和条件保障方面，从行政组织、后勤保障和支撑条件各方面创造良好的服务环境，确保项目的顺利实施。</w:t>
      </w:r>
    </w:p>
    <w:p>
      <w:pPr>
        <w:pStyle w:val="null3"/>
        <w:spacing w:before="120"/>
        <w:jc w:val="both"/>
        <w:outlineLvl w:val="0"/>
      </w:pPr>
      <w:r>
        <w:rPr>
          <w:sz w:val="21"/>
          <w:b/>
        </w:rPr>
        <w:t>四、项目履行期限及工作地点要求</w:t>
      </w:r>
    </w:p>
    <w:p>
      <w:pPr>
        <w:pStyle w:val="null3"/>
        <w:jc w:val="both"/>
      </w:pPr>
      <w:r>
        <w:rPr>
          <w:sz w:val="21"/>
        </w:rPr>
        <w:t>项目履行期限：合同签订起至验收通过止。</w:t>
      </w:r>
    </w:p>
    <w:p>
      <w:pPr>
        <w:pStyle w:val="null3"/>
        <w:jc w:val="both"/>
      </w:pPr>
      <w:r>
        <w:rPr>
          <w:sz w:val="21"/>
        </w:rPr>
        <w:t>运营运维服务期限：自</w:t>
      </w:r>
      <w:r>
        <w:rPr>
          <w:sz w:val="21"/>
        </w:rPr>
        <w:t>2025</w:t>
      </w:r>
      <w:r>
        <w:rPr>
          <w:sz w:val="21"/>
        </w:rPr>
        <w:t>年</w:t>
      </w:r>
      <w:r>
        <w:rPr>
          <w:sz w:val="21"/>
        </w:rPr>
        <w:t>6</w:t>
      </w:r>
      <w:r>
        <w:rPr>
          <w:sz w:val="21"/>
        </w:rPr>
        <w:t>月</w:t>
      </w:r>
      <w:r>
        <w:rPr>
          <w:sz w:val="21"/>
        </w:rPr>
        <w:t>16</w:t>
      </w:r>
      <w:r>
        <w:rPr>
          <w:sz w:val="21"/>
        </w:rPr>
        <w:t>日至</w:t>
      </w:r>
      <w:r>
        <w:rPr>
          <w:sz w:val="21"/>
        </w:rPr>
        <w:t>2026</w:t>
      </w:r>
      <w:r>
        <w:rPr>
          <w:sz w:val="21"/>
        </w:rPr>
        <w:t>年</w:t>
      </w:r>
      <w:r>
        <w:rPr>
          <w:sz w:val="21"/>
        </w:rPr>
        <w:t>6</w:t>
      </w:r>
      <w:r>
        <w:rPr>
          <w:sz w:val="21"/>
        </w:rPr>
        <w:t>月</w:t>
      </w:r>
      <w:r>
        <w:rPr>
          <w:sz w:val="21"/>
        </w:rPr>
        <w:t>15</w:t>
      </w:r>
      <w:r>
        <w:rPr>
          <w:sz w:val="21"/>
        </w:rPr>
        <w:t>日。</w:t>
      </w:r>
    </w:p>
    <w:p>
      <w:pPr>
        <w:pStyle w:val="null3"/>
        <w:jc w:val="both"/>
      </w:pPr>
      <w:r>
        <w:rPr>
          <w:sz w:val="21"/>
        </w:rPr>
        <w:t>工作地点：中标供应商应在双方协定的工作场所开展项目工作。</w:t>
      </w:r>
    </w:p>
    <w:p>
      <w:pPr>
        <w:pStyle w:val="null3"/>
      </w:pPr>
      <w:r>
        <w:rPr>
          <w:sz w:val="24"/>
        </w:rPr>
        <w:t>具体</w:t>
      </w:r>
      <w:r>
        <w:rPr>
          <w:sz w:val="24"/>
        </w:rPr>
        <w:t>运营运维服务</w:t>
      </w:r>
      <w:r>
        <w:rPr>
          <w:sz w:val="24"/>
        </w:rPr>
        <w:t>时间，可根据工作开展实际情况，经双方确认后适当调整。</w:t>
      </w:r>
    </w:p>
    <w:p>
      <w:pPr>
        <w:pStyle w:val="null3"/>
        <w:jc w:val="both"/>
        <w:outlineLvl w:val="0"/>
      </w:pPr>
      <w:r>
        <w:rPr>
          <w:sz w:val="21"/>
          <w:b/>
        </w:rPr>
        <w:t>五、项目成果</w:t>
      </w:r>
    </w:p>
    <w:p>
      <w:pPr>
        <w:pStyle w:val="null3"/>
        <w:ind w:firstLine="480"/>
        <w:jc w:val="both"/>
      </w:pPr>
      <w:r>
        <w:rPr>
          <w:sz w:val="21"/>
        </w:rPr>
        <w:t>1.</w:t>
      </w:r>
      <w:r>
        <w:rPr>
          <w:sz w:val="21"/>
          <w:color w:val="000000"/>
        </w:rPr>
        <w:t>信息安全风险评估报告（</w:t>
      </w:r>
      <w:r>
        <w:rPr>
          <w:sz w:val="21"/>
          <w:color w:val="000000"/>
        </w:rPr>
        <w:t>4</w:t>
      </w:r>
      <w:r>
        <w:rPr>
          <w:sz w:val="21"/>
          <w:color w:val="000000"/>
        </w:rPr>
        <w:t>份）</w:t>
      </w:r>
    </w:p>
    <w:p>
      <w:pPr>
        <w:pStyle w:val="null3"/>
        <w:ind w:firstLine="480"/>
        <w:jc w:val="both"/>
      </w:pPr>
      <w:r>
        <w:rPr>
          <w:sz w:val="21"/>
        </w:rPr>
        <w:t>2.</w:t>
      </w:r>
      <w:r>
        <w:rPr>
          <w:sz w:val="21"/>
        </w:rPr>
        <w:t>网络安全攻防演练值守日报、防守总结报告（根据实际演练次数提供）</w:t>
      </w:r>
    </w:p>
    <w:p>
      <w:pPr>
        <w:pStyle w:val="null3"/>
        <w:ind w:firstLine="480"/>
        <w:jc w:val="both"/>
      </w:pPr>
      <w:r>
        <w:rPr>
          <w:sz w:val="21"/>
        </w:rPr>
        <w:t>3.</w:t>
      </w:r>
      <w:r>
        <w:rPr>
          <w:sz w:val="21"/>
        </w:rPr>
        <w:t>渗透测试报告（</w:t>
      </w:r>
      <w:r>
        <w:rPr>
          <w:sz w:val="21"/>
        </w:rPr>
        <w:t>8</w:t>
      </w:r>
      <w:r>
        <w:rPr>
          <w:sz w:val="21"/>
        </w:rPr>
        <w:t>份）</w:t>
      </w:r>
    </w:p>
    <w:p>
      <w:pPr>
        <w:pStyle w:val="null3"/>
        <w:ind w:firstLine="480"/>
        <w:jc w:val="both"/>
      </w:pPr>
      <w:r>
        <w:rPr>
          <w:sz w:val="21"/>
        </w:rPr>
        <w:t>4.</w:t>
      </w:r>
      <w:r>
        <w:rPr>
          <w:sz w:val="21"/>
        </w:rPr>
        <w:t>漏洞扫描报告（</w:t>
      </w:r>
      <w:r>
        <w:rPr>
          <w:sz w:val="21"/>
        </w:rPr>
        <w:t>12</w:t>
      </w:r>
      <w:r>
        <w:rPr>
          <w:sz w:val="21"/>
        </w:rPr>
        <w:t>份）</w:t>
      </w:r>
    </w:p>
    <w:p>
      <w:pPr>
        <w:pStyle w:val="null3"/>
        <w:ind w:firstLine="480"/>
        <w:jc w:val="both"/>
      </w:pPr>
      <w:r>
        <w:rPr>
          <w:sz w:val="21"/>
        </w:rPr>
        <w:t>5.</w:t>
      </w:r>
      <w:r>
        <w:rPr>
          <w:sz w:val="21"/>
        </w:rPr>
        <w:t>整改加固报告（</w:t>
      </w:r>
      <w:r>
        <w:rPr>
          <w:sz w:val="21"/>
        </w:rPr>
        <w:t>12</w:t>
      </w:r>
      <w:r>
        <w:rPr>
          <w:sz w:val="21"/>
        </w:rPr>
        <w:t>份）</w:t>
      </w:r>
    </w:p>
    <w:p>
      <w:pPr>
        <w:pStyle w:val="null3"/>
        <w:ind w:firstLine="480"/>
        <w:jc w:val="both"/>
      </w:pPr>
      <w:r>
        <w:rPr>
          <w:sz w:val="21"/>
        </w:rPr>
        <w:t>6.</w:t>
      </w:r>
      <w:r>
        <w:rPr>
          <w:sz w:val="21"/>
        </w:rPr>
        <w:t>日常监控服务报告</w:t>
      </w:r>
    </w:p>
    <w:p>
      <w:pPr>
        <w:pStyle w:val="null3"/>
        <w:ind w:firstLine="480"/>
        <w:jc w:val="both"/>
      </w:pPr>
      <w:r>
        <w:rPr>
          <w:sz w:val="21"/>
        </w:rPr>
        <w:t>7.</w:t>
      </w:r>
      <w:r>
        <w:rPr>
          <w:sz w:val="21"/>
        </w:rPr>
        <w:t>日常巡检记录</w:t>
      </w:r>
    </w:p>
    <w:p>
      <w:pPr>
        <w:pStyle w:val="null3"/>
        <w:ind w:firstLine="480"/>
        <w:jc w:val="both"/>
      </w:pPr>
      <w:r>
        <w:rPr>
          <w:sz w:val="21"/>
        </w:rPr>
        <w:t>8.</w:t>
      </w:r>
      <w:r>
        <w:rPr>
          <w:sz w:val="21"/>
        </w:rPr>
        <w:t>运维处置报告</w:t>
      </w:r>
    </w:p>
    <w:p>
      <w:pPr>
        <w:pStyle w:val="null3"/>
        <w:ind w:firstLine="480"/>
        <w:jc w:val="both"/>
      </w:pPr>
      <w:r>
        <w:rPr>
          <w:sz w:val="21"/>
        </w:rPr>
        <w:t>9.</w:t>
      </w:r>
      <w:r>
        <w:rPr>
          <w:sz w:val="21"/>
        </w:rPr>
        <w:t>机房硬件运维月度巡检报告</w:t>
      </w:r>
    </w:p>
    <w:p>
      <w:pPr>
        <w:pStyle w:val="null3"/>
        <w:ind w:firstLine="480"/>
        <w:jc w:val="both"/>
      </w:pPr>
      <w:r>
        <w:rPr>
          <w:sz w:val="21"/>
        </w:rPr>
        <w:t>10.</w:t>
      </w:r>
      <w:r>
        <w:rPr>
          <w:sz w:val="21"/>
        </w:rPr>
        <w:t>项目运维总结报告</w:t>
      </w:r>
    </w:p>
    <w:p>
      <w:pPr>
        <w:pStyle w:val="null3"/>
        <w:ind w:firstLine="480"/>
        <w:jc w:val="both"/>
      </w:pPr>
      <w:r>
        <w:rPr>
          <w:sz w:val="21"/>
        </w:rPr>
        <w:t>上述成果，中标供应商应在服务结束后验收前提供装订成册的纸质文档至少</w:t>
      </w:r>
      <w:r>
        <w:rPr>
          <w:sz w:val="21"/>
        </w:rPr>
        <w:t>1</w:t>
      </w:r>
      <w:r>
        <w:rPr>
          <w:sz w:val="21"/>
        </w:rPr>
        <w:t>套，签字签章版</w:t>
      </w:r>
      <w:r>
        <w:rPr>
          <w:sz w:val="21"/>
        </w:rPr>
        <w:t>PDF</w:t>
      </w:r>
      <w:r>
        <w:rPr>
          <w:sz w:val="21"/>
        </w:rPr>
        <w:t>电子扫描文件</w:t>
      </w:r>
      <w:r>
        <w:rPr>
          <w:sz w:val="21"/>
        </w:rPr>
        <w:t>1</w:t>
      </w:r>
      <w:r>
        <w:rPr>
          <w:sz w:val="21"/>
        </w:rPr>
        <w:t>套。</w:t>
      </w:r>
    </w:p>
    <w:p>
      <w:pPr>
        <w:pStyle w:val="null3"/>
        <w:spacing w:before="120"/>
        <w:jc w:val="both"/>
        <w:outlineLvl w:val="0"/>
      </w:pPr>
      <w:r>
        <w:rPr>
          <w:sz w:val="21"/>
          <w:b/>
        </w:rPr>
        <w:t>六、验收与交付</w:t>
      </w:r>
    </w:p>
    <w:p>
      <w:pPr>
        <w:pStyle w:val="null3"/>
        <w:ind w:firstLine="420"/>
        <w:jc w:val="both"/>
      </w:pPr>
      <w:r>
        <w:rPr>
          <w:sz w:val="21"/>
        </w:rPr>
        <w:t>（一）验收主体：采购人、中标供应商、采购人组织的专家。</w:t>
      </w:r>
    </w:p>
    <w:p>
      <w:pPr>
        <w:pStyle w:val="null3"/>
        <w:ind w:firstLine="420"/>
        <w:jc w:val="both"/>
      </w:pPr>
      <w:r>
        <w:rPr>
          <w:sz w:val="21"/>
        </w:rPr>
        <w:t>（二）验收条件：至少满足下列条件，方可开展验收。</w:t>
      </w:r>
    </w:p>
    <w:p>
      <w:pPr>
        <w:pStyle w:val="null3"/>
        <w:ind w:firstLine="420"/>
        <w:jc w:val="both"/>
      </w:pPr>
      <w:r>
        <w:rPr>
          <w:sz w:val="21"/>
        </w:rPr>
        <w:t>1.</w:t>
      </w:r>
      <w:r>
        <w:rPr>
          <w:sz w:val="21"/>
        </w:rPr>
        <w:t>完成项目规定的全部内容后。</w:t>
      </w:r>
    </w:p>
    <w:p>
      <w:pPr>
        <w:pStyle w:val="null3"/>
        <w:ind w:firstLine="420"/>
        <w:jc w:val="both"/>
      </w:pPr>
      <w:r>
        <w:rPr>
          <w:sz w:val="21"/>
        </w:rPr>
        <w:t>2.</w:t>
      </w:r>
      <w:r>
        <w:rPr>
          <w:sz w:val="21"/>
        </w:rPr>
        <w:t>成果内容符合</w:t>
      </w:r>
      <w:r>
        <w:rPr>
          <w:sz w:val="21"/>
          <w:color w:val="000000"/>
        </w:rPr>
        <w:t>本项目实施过程中双方约定的相关技术要求</w:t>
      </w:r>
      <w:r>
        <w:rPr>
          <w:sz w:val="21"/>
        </w:rPr>
        <w:t>。</w:t>
      </w:r>
    </w:p>
    <w:p>
      <w:pPr>
        <w:pStyle w:val="null3"/>
        <w:ind w:firstLine="420"/>
        <w:jc w:val="both"/>
      </w:pPr>
      <w:r>
        <w:rPr>
          <w:sz w:val="21"/>
        </w:rPr>
        <w:t>3.</w:t>
      </w:r>
      <w:r>
        <w:rPr>
          <w:sz w:val="21"/>
        </w:rPr>
        <w:t>成果报告需做到材料完整、内容齐全。</w:t>
      </w:r>
    </w:p>
    <w:p>
      <w:pPr>
        <w:pStyle w:val="null3"/>
        <w:ind w:firstLine="420"/>
        <w:jc w:val="both"/>
      </w:pPr>
      <w:r>
        <w:rPr>
          <w:sz w:val="21"/>
        </w:rPr>
        <w:t>（三）中标供应商提交项目成果的形式：</w:t>
      </w:r>
      <w:r>
        <w:rPr>
          <w:sz w:val="21"/>
          <w:u w:val="single"/>
        </w:rPr>
        <w:t>纸质文件、电子文件或者采购人要求的其他形式</w:t>
      </w:r>
      <w:r>
        <w:rPr>
          <w:sz w:val="21"/>
        </w:rPr>
        <w:t>。</w:t>
      </w:r>
    </w:p>
    <w:p>
      <w:pPr>
        <w:pStyle w:val="null3"/>
        <w:ind w:firstLine="420"/>
        <w:jc w:val="both"/>
      </w:pPr>
      <w:r>
        <w:rPr>
          <w:sz w:val="21"/>
        </w:rPr>
        <w:t>（四）验收程序：中标供应商应当在符合验收条件后，按照采购人要求的成果形式、数量和时间向采购人交付项目成果并书面提请采购人验收，采购人应在</w:t>
      </w:r>
      <w:r>
        <w:rPr>
          <w:sz w:val="21"/>
        </w:rPr>
        <w:t>7</w:t>
      </w:r>
      <w:r>
        <w:rPr>
          <w:sz w:val="21"/>
        </w:rPr>
        <w:t>日内组织专家验收。验收通过的，中标供应商应根据专家验收意见对项目成果进行修改完善，于专家验收会后</w:t>
      </w:r>
      <w:r>
        <w:rPr>
          <w:sz w:val="21"/>
        </w:rPr>
        <w:t>10</w:t>
      </w:r>
      <w:r>
        <w:rPr>
          <w:sz w:val="21"/>
        </w:rPr>
        <w:t>个工作日内向采购人提交修改完善后的全部项目成果。验收不通过的，中标供应商应当无条件组织进行认真整改至合格，于专家验收会后</w:t>
      </w:r>
      <w:r>
        <w:rPr>
          <w:sz w:val="21"/>
        </w:rPr>
        <w:t>20</w:t>
      </w:r>
      <w:r>
        <w:rPr>
          <w:sz w:val="21"/>
        </w:rPr>
        <w:t>个工作日内提交整改后的全部项目成果并提请采购人再次组织专家验收，中标供应商承担再次组织专家验收的相应费用且应承担延迟提交项目成果的违约责任。如中标供应商提交所有项目成果的时限届满，中标供应商不提出验收申请或者经采购人通知，中标供应商不参加验收会议的，验收会议可以照常进行，验收会议形成的专家验收意见对中标供应商有约束力。</w:t>
      </w:r>
    </w:p>
    <w:p>
      <w:pPr>
        <w:pStyle w:val="null3"/>
        <w:jc w:val="both"/>
        <w:outlineLvl w:val="0"/>
      </w:pPr>
      <w:r>
        <w:rPr>
          <w:sz w:val="21"/>
          <w:b/>
        </w:rPr>
        <w:t>七、知识产权</w:t>
      </w:r>
    </w:p>
    <w:p>
      <w:pPr>
        <w:pStyle w:val="null3"/>
        <w:ind w:firstLine="420"/>
        <w:jc w:val="both"/>
      </w:pPr>
      <w:r>
        <w:rPr>
          <w:sz w:val="21"/>
        </w:rPr>
        <w:t>（一）中标供应商应保证为采购人提供服务时不得侵犯第三方的权利。</w:t>
      </w:r>
    </w:p>
    <w:p>
      <w:pPr>
        <w:pStyle w:val="null3"/>
        <w:ind w:firstLine="420"/>
        <w:jc w:val="both"/>
      </w:pPr>
      <w:r>
        <w:rPr>
          <w:sz w:val="21"/>
        </w:rPr>
        <w:t>（二）中标供应商在为采购人提供服务时所获得成果的知识产权归采购人所有。未经采购人许可，中标供应商不得以任何方式使用，亦不得出于任何目的向第三方披露或许可第三方使用。主要以该项目成果形成的著作、论文或参加各类评奖，应经采购人同意，与采购人共同署名、共同申报。</w:t>
      </w:r>
    </w:p>
    <w:p>
      <w:pPr>
        <w:pStyle w:val="null3"/>
        <w:ind w:firstLine="420"/>
        <w:jc w:val="both"/>
      </w:pPr>
      <w:r>
        <w:rPr>
          <w:sz w:val="21"/>
        </w:rPr>
        <w:t>（三）若中标供应商在为采购人提供服务时侵犯了第三方的权利，致使采购人受到索赔或起诉，由此给采购人造成的一切损失由中标供应商承担，同时采购人有权解除合同，并有权要求中标供应商支付合同总额的</w:t>
      </w:r>
      <w:r>
        <w:rPr>
          <w:sz w:val="21"/>
        </w:rPr>
        <w:t>20%</w:t>
      </w:r>
      <w:r>
        <w:rPr>
          <w:sz w:val="21"/>
        </w:rPr>
        <w:t>的违约金。</w:t>
      </w:r>
    </w:p>
    <w:p>
      <w:pPr>
        <w:pStyle w:val="null3"/>
        <w:ind w:firstLine="420"/>
        <w:jc w:val="both"/>
      </w:pPr>
      <w:r>
        <w:rPr>
          <w:sz w:val="21"/>
        </w:rPr>
        <w:t>（四）若未经采购人许可，中标供应商擅自使用或向第三方披露或许可第三方使用在为采购人提供服务时所获得的成果，采购人有权要求中标供应商或使用方停止使用，同时有权要求中标供应商支付合同总额</w:t>
      </w:r>
      <w:r>
        <w:rPr>
          <w:sz w:val="21"/>
        </w:rPr>
        <w:t>20%</w:t>
      </w:r>
      <w:r>
        <w:rPr>
          <w:sz w:val="21"/>
        </w:rPr>
        <w:t>的违约金。</w:t>
      </w:r>
    </w:p>
    <w:p>
      <w:pPr>
        <w:pStyle w:val="null3"/>
        <w:spacing w:before="120"/>
        <w:jc w:val="both"/>
        <w:outlineLvl w:val="0"/>
      </w:pPr>
      <w:r>
        <w:rPr>
          <w:sz w:val="21"/>
          <w:b/>
        </w:rPr>
        <w:t>八、保密要求</w:t>
      </w:r>
    </w:p>
    <w:p>
      <w:pPr>
        <w:pStyle w:val="null3"/>
        <w:ind w:firstLine="420"/>
        <w:jc w:val="both"/>
      </w:pPr>
      <w:r>
        <w:rPr>
          <w:sz w:val="21"/>
        </w:rPr>
        <w:t>（一）采购人为履行本合同而提供给中标供应商的任何信息，以及中标供应商在履行合同过程中所知悉的采购人的信息，包括本合同的内容，均视为保密信息处理。中标供应商保证应采取适当有效的保密措施保护该等保密信息免受公开，不向任何第三方公开该等保密信息，并且除为履行本合同目的外非经采购人事先书面同意不得使用任何保密信息。因中标供应商泄露或者不正当使用该等保密信息而给采购人造成损失的，中标供应商应当承担相应法律责任并赔偿采购人的所有损失。</w:t>
      </w:r>
    </w:p>
    <w:p>
      <w:pPr>
        <w:pStyle w:val="null3"/>
        <w:ind w:firstLine="420"/>
        <w:jc w:val="both"/>
      </w:pPr>
      <w:r>
        <w:rPr>
          <w:sz w:val="21"/>
        </w:rPr>
        <w:t>（二）中标供应商对于保密信息的保密义务应延续至该等信息因合法的原因而成为公开信息或采购人书面许可准予公开。</w:t>
      </w:r>
    </w:p>
    <w:p>
      <w:pPr>
        <w:pStyle w:val="null3"/>
        <w:ind w:firstLine="420"/>
        <w:jc w:val="both"/>
      </w:pPr>
      <w:r>
        <w:rPr>
          <w:sz w:val="21"/>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spacing w:before="120"/>
        <w:jc w:val="both"/>
        <w:outlineLvl w:val="0"/>
      </w:pPr>
      <w:r>
        <w:rPr>
          <w:sz w:val="21"/>
          <w:b/>
        </w:rPr>
        <w:t>九、售后服务要求</w:t>
      </w:r>
    </w:p>
    <w:p>
      <w:pPr>
        <w:pStyle w:val="null3"/>
        <w:ind w:firstLine="420"/>
        <w:jc w:val="both"/>
      </w:pPr>
      <w:r>
        <w:rPr>
          <w:sz w:val="21"/>
        </w:rPr>
        <w:t>①服务响应：中标供应商提供全省范围内的</w:t>
      </w:r>
      <w:r>
        <w:rPr>
          <w:sz w:val="21"/>
        </w:rPr>
        <w:t>7*24</w:t>
      </w:r>
      <w:r>
        <w:rPr>
          <w:sz w:val="21"/>
        </w:rPr>
        <w:t>小时电话技术支持和售后，电话支持无法解决的，应</w:t>
      </w:r>
      <w:r>
        <w:rPr>
          <w:sz w:val="21"/>
        </w:rPr>
        <w:t>6</w:t>
      </w:r>
      <w:r>
        <w:rPr>
          <w:sz w:val="21"/>
        </w:rPr>
        <w:t>小时之内响应，</w:t>
      </w:r>
      <w:r>
        <w:rPr>
          <w:sz w:val="21"/>
        </w:rPr>
        <w:t xml:space="preserve">48 </w:t>
      </w:r>
      <w:r>
        <w:rPr>
          <w:sz w:val="21"/>
        </w:rPr>
        <w:t>小时之内派专业技术人员到达现场提供现场技术支持；除电话支持外，中标供应商还可提供传真、特快专递、电子邮件等形式远程支持。</w:t>
      </w:r>
      <w:r>
        <w:rPr>
          <w:sz w:val="21"/>
          <w:b/>
        </w:rPr>
        <w:t>需提供承诺函</w:t>
      </w:r>
      <w:r>
        <w:rPr>
          <w:sz w:val="21"/>
          <w:b/>
        </w:rPr>
        <w:t>(</w:t>
      </w:r>
      <w:r>
        <w:rPr>
          <w:sz w:val="21"/>
          <w:b/>
        </w:rPr>
        <w:t>格式自拟</w:t>
      </w:r>
      <w:r>
        <w:rPr>
          <w:sz w:val="21"/>
          <w:b/>
        </w:rPr>
        <w:t>)</w:t>
      </w:r>
      <w:r>
        <w:rPr>
          <w:sz w:val="21"/>
          <w:b/>
        </w:rPr>
        <w:t>，并加盖单位公章。</w:t>
      </w:r>
    </w:p>
    <w:p>
      <w:pPr>
        <w:pStyle w:val="null3"/>
        <w:ind w:firstLine="420"/>
        <w:jc w:val="both"/>
      </w:pPr>
      <w:r>
        <w:rPr>
          <w:sz w:val="21"/>
        </w:rPr>
        <w:t>②售后服务期一年，自项目验收之日起计算。中标供应商提供一年的售后服务，为采购人提供关于本项目的跟踪服务，包括：有关内容的解释、政策咨询、技术支持。费用包含在投标报价内。</w:t>
      </w:r>
    </w:p>
    <w:p>
      <w:pPr>
        <w:pStyle w:val="null3"/>
        <w:spacing w:before="120"/>
        <w:jc w:val="both"/>
        <w:outlineLvl w:val="0"/>
      </w:pPr>
      <w:r>
        <w:rPr>
          <w:sz w:val="21"/>
          <w:b/>
        </w:rPr>
        <w:t>十、进度安排</w:t>
      </w:r>
    </w:p>
    <w:p>
      <w:pPr>
        <w:pStyle w:val="null3"/>
        <w:jc w:val="both"/>
      </w:pPr>
      <w:r>
        <w:rPr>
          <w:sz w:val="21"/>
        </w:rPr>
        <w:t>1.</w:t>
      </w:r>
      <w:r>
        <w:rPr>
          <w:sz w:val="21"/>
        </w:rPr>
        <w:t>中标供应商应于项目合同签订之日起</w:t>
      </w:r>
      <w:r>
        <w:rPr>
          <w:sz w:val="21"/>
        </w:rPr>
        <w:t>15</w:t>
      </w:r>
      <w:r>
        <w:rPr>
          <w:sz w:val="21"/>
        </w:rPr>
        <w:t>日内，向采购人提交详细的项目实施方案并经采购人书面确认。</w:t>
      </w:r>
    </w:p>
    <w:p>
      <w:pPr>
        <w:pStyle w:val="null3"/>
        <w:jc w:val="both"/>
      </w:pPr>
      <w:r>
        <w:rPr>
          <w:sz w:val="21"/>
        </w:rPr>
        <w:t>2.</w:t>
      </w:r>
      <w:r>
        <w:rPr>
          <w:sz w:val="21"/>
        </w:rPr>
        <w:t>服务开展</w:t>
      </w:r>
      <w:r>
        <w:rPr>
          <w:sz w:val="21"/>
        </w:rPr>
        <w:t>6</w:t>
      </w:r>
      <w:r>
        <w:rPr>
          <w:sz w:val="21"/>
        </w:rPr>
        <w:t>个月后，中标供应商交付项目中期运维总结报告并通过采购人书面确认。</w:t>
      </w:r>
    </w:p>
    <w:p>
      <w:pPr>
        <w:pStyle w:val="null3"/>
        <w:jc w:val="both"/>
      </w:pPr>
      <w:r>
        <w:rPr>
          <w:sz w:val="21"/>
        </w:rPr>
        <w:t>3.</w:t>
      </w:r>
      <w:r>
        <w:rPr>
          <w:sz w:val="21"/>
        </w:rPr>
        <w:t>完成</w:t>
      </w:r>
      <w:r>
        <w:rPr>
          <w:sz w:val="21"/>
        </w:rPr>
        <w:t>12</w:t>
      </w:r>
      <w:r>
        <w:rPr>
          <w:sz w:val="21"/>
        </w:rPr>
        <w:t>个月运营运维服务后，中标供应商应在一周内提交项目成果，并提请采购人验收。</w:t>
      </w:r>
    </w:p>
    <w:p>
      <w:pPr>
        <w:pStyle w:val="null3"/>
        <w:spacing w:before="120"/>
        <w:jc w:val="both"/>
        <w:outlineLvl w:val="0"/>
      </w:pPr>
      <w:r>
        <w:rPr>
          <w:sz w:val="21"/>
          <w:b/>
        </w:rPr>
        <w:t>十一、质量保障要求</w:t>
      </w:r>
    </w:p>
    <w:p>
      <w:pPr>
        <w:pStyle w:val="null3"/>
        <w:ind w:firstLine="420"/>
        <w:jc w:val="both"/>
      </w:pPr>
      <w:r>
        <w:rPr>
          <w:sz w:val="21"/>
        </w:rPr>
        <w:t>本项目要求制定一套质量保证方案，确保项目成果具有足够的质量水平。</w:t>
      </w:r>
    </w:p>
    <w:p>
      <w:pPr>
        <w:pStyle w:val="null3"/>
        <w:ind w:firstLine="420"/>
        <w:jc w:val="both"/>
      </w:pPr>
      <w:r>
        <w:rPr>
          <w:sz w:val="21"/>
        </w:rPr>
        <w:t>（一）建立健全的质量管理体系，建立质量管理目标，严格按照要求管理各个工作环节；</w:t>
      </w:r>
    </w:p>
    <w:p>
      <w:pPr>
        <w:pStyle w:val="null3"/>
        <w:ind w:firstLine="420"/>
        <w:jc w:val="both"/>
      </w:pPr>
      <w:r>
        <w:rPr>
          <w:sz w:val="21"/>
        </w:rPr>
        <w:t>（二）建立质量保障组织架构，质量管理团队进行质量把控；</w:t>
      </w:r>
    </w:p>
    <w:p>
      <w:pPr>
        <w:pStyle w:val="null3"/>
        <w:ind w:firstLine="420"/>
        <w:jc w:val="both"/>
      </w:pPr>
      <w:r>
        <w:rPr>
          <w:sz w:val="21"/>
        </w:rPr>
        <w:t>（三）建立质量控制措施，对影响关键质量的环节及阶段工作成果进行及时有效的检查。</w:t>
      </w:r>
    </w:p>
    <w:p>
      <w:pPr>
        <w:pStyle w:val="null3"/>
        <w:spacing w:before="120"/>
        <w:jc w:val="both"/>
        <w:outlineLvl w:val="0"/>
      </w:pPr>
      <w:r>
        <w:rPr>
          <w:sz w:val="21"/>
          <w:b/>
        </w:rPr>
        <w:t>十二、应急预案</w:t>
      </w:r>
    </w:p>
    <w:p>
      <w:pPr>
        <w:pStyle w:val="null3"/>
        <w:ind w:firstLine="420"/>
        <w:jc w:val="both"/>
      </w:pPr>
      <w:r>
        <w:rPr>
          <w:sz w:val="21"/>
        </w:rPr>
        <w:t>为应对项目进展过程中的紧急情况，投标人应对项目进行过程中有可能出现的风险情形进行了预判，并提出具体、合理、可实施性强的应急措施，包括但不限于应对紧急需求变更与汇报的处理方案、其他敏感事件或重大事项快速响应机制。其中应对紧急需求变更与汇报的处理方案需包括响应流程、沟通汇报等，其他敏感事件或重大事项快速响应机制需包括敏感事件识别、应急预案制定等。</w:t>
      </w:r>
    </w:p>
    <w:p>
      <w:pPr>
        <w:pStyle w:val="null3"/>
        <w:spacing w:before="120"/>
        <w:jc w:val="both"/>
        <w:outlineLvl w:val="0"/>
      </w:pPr>
      <w:r>
        <w:rPr>
          <w:sz w:val="21"/>
          <w:b/>
        </w:rPr>
        <w:t>十三、人员及供应商要求</w:t>
      </w:r>
    </w:p>
    <w:p>
      <w:pPr>
        <w:pStyle w:val="null3"/>
        <w:jc w:val="both"/>
      </w:pPr>
      <w:r>
        <w:rPr>
          <w:sz w:val="21"/>
        </w:rPr>
        <w:t>（一）本项目供应商应具备质量管理体系认证证书，认证范围与网络安全运营、硬件运维或信息系统集成相关。</w:t>
      </w:r>
    </w:p>
    <w:p>
      <w:pPr>
        <w:pStyle w:val="null3"/>
        <w:jc w:val="both"/>
      </w:pPr>
      <w:r>
        <w:rPr>
          <w:sz w:val="21"/>
        </w:rPr>
        <w:t>（二）本项目需配备</w:t>
      </w:r>
      <w:r>
        <w:rPr>
          <w:sz w:val="21"/>
        </w:rPr>
        <w:t>1</w:t>
      </w:r>
      <w:r>
        <w:rPr>
          <w:sz w:val="21"/>
        </w:rPr>
        <w:t>名项目负责人。拟投入的项目负责人应具有系统集成项目管理工程师或网络工程师或信息安全工程师或信息系统项目管理师或网络规划设计师证书，具有信息化项目工作经验。</w:t>
      </w:r>
    </w:p>
    <w:p>
      <w:pPr>
        <w:pStyle w:val="null3"/>
        <w:jc w:val="both"/>
      </w:pPr>
      <w:r>
        <w:rPr>
          <w:sz w:val="21"/>
        </w:rPr>
        <w:t>（三）拟投入的项目组成员（项目负责人除外）应具有网络工程师或信息安全工程师或信息系统项目管理师或网络规划设计师证书，具有信息化项目工作经验。</w:t>
      </w:r>
    </w:p>
    <w:p>
      <w:pPr>
        <w:pStyle w:val="null3"/>
        <w:jc w:val="both"/>
      </w:pPr>
      <w:r>
        <w:rPr>
          <w:sz w:val="21"/>
        </w:rPr>
        <w:t>（四）其他人员要求</w:t>
      </w:r>
    </w:p>
    <w:p>
      <w:pPr>
        <w:pStyle w:val="null3"/>
        <w:jc w:val="both"/>
      </w:pPr>
      <w:r>
        <w:rPr>
          <w:sz w:val="21"/>
        </w:rPr>
        <w:t>1.</w:t>
      </w:r>
      <w:r>
        <w:rPr>
          <w:sz w:val="21"/>
        </w:rPr>
        <w:t>投标人与采购人签订合同时，投标人应确定项目人员名单及项目人员背景调查情况，并提供相关材料。</w:t>
      </w:r>
      <w:r>
        <w:br/>
      </w:r>
      <w:r>
        <w:rPr>
          <w:sz w:val="21"/>
        </w:rPr>
        <w:t>（</w:t>
      </w:r>
      <w:r>
        <w:rPr>
          <w:sz w:val="21"/>
        </w:rPr>
        <w:t>1</w:t>
      </w:r>
      <w:r>
        <w:rPr>
          <w:sz w:val="21"/>
        </w:rPr>
        <w:t>）本人基本情况；</w:t>
      </w:r>
      <w:r>
        <w:br/>
      </w:r>
      <w:r>
        <w:rPr>
          <w:sz w:val="21"/>
        </w:rPr>
        <w:t>（</w:t>
      </w:r>
      <w:r>
        <w:rPr>
          <w:sz w:val="21"/>
        </w:rPr>
        <w:t>2</w:t>
      </w:r>
      <w:r>
        <w:rPr>
          <w:sz w:val="21"/>
        </w:rPr>
        <w:t>）近一年参加过安全、保密培训的相关记录。</w:t>
      </w:r>
      <w:r>
        <w:br/>
      </w:r>
      <w:r>
        <w:rPr>
          <w:sz w:val="21"/>
        </w:rPr>
        <w:t xml:space="preserve"> 2.</w:t>
      </w:r>
      <w:r>
        <w:rPr>
          <w:sz w:val="21"/>
        </w:rPr>
        <w:t>投标人拟投入的项目负责人及服务团队成员为投标人正式职工。</w:t>
      </w:r>
      <w:r>
        <w:br/>
      </w:r>
      <w:r>
        <w:rPr>
          <w:sz w:val="21"/>
        </w:rPr>
        <w:t xml:space="preserve"> 3.</w:t>
      </w:r>
      <w:r>
        <w:rPr>
          <w:sz w:val="21"/>
        </w:rPr>
        <w:t>项目人员离职离岗的，投标人应对其进行廉洁保密提醒谈话，与其签订离岗承诺书，并报采购人备案。</w:t>
      </w:r>
      <w:r>
        <w:br/>
      </w:r>
      <w:r>
        <w:rPr>
          <w:sz w:val="21"/>
        </w:rPr>
        <w:t xml:space="preserve"> 4.</w:t>
      </w:r>
      <w:r>
        <w:rPr>
          <w:sz w:val="21"/>
        </w:rPr>
        <w:t>中标供应商应保证资源投入，如需调整项目负责人、项目团队成员的，应书面向采购人提出申请，说明申请理由，经采购人书面同意方可调整团队人员，调入人员的资历和从业经验不低于调出人员，否则视为违约行为，采购人有权终止服务合同。</w:t>
      </w:r>
    </w:p>
    <w:p>
      <w:pPr>
        <w:pStyle w:val="null3"/>
        <w:jc w:val="both"/>
        <w:outlineLvl w:val="0"/>
      </w:pPr>
      <w:r>
        <w:rPr>
          <w:sz w:val="21"/>
          <w:b/>
        </w:rPr>
        <w:t>十四、付款方式</w:t>
      </w:r>
    </w:p>
    <w:p>
      <w:pPr>
        <w:pStyle w:val="null3"/>
        <w:ind w:firstLine="420"/>
        <w:jc w:val="both"/>
      </w:pPr>
      <w:r>
        <w:rPr>
          <w:sz w:val="21"/>
        </w:rPr>
        <w:t>合同经费分三期支付，中标供应商应在采购人支付合同款项前提供合法发票。</w:t>
      </w:r>
    </w:p>
    <w:p>
      <w:pPr>
        <w:pStyle w:val="null3"/>
        <w:ind w:firstLine="420"/>
        <w:jc w:val="both"/>
      </w:pPr>
      <w:r>
        <w:rPr>
          <w:sz w:val="21"/>
        </w:rPr>
        <w:t>首期经费支付：采购人在合同签订并收到中标供应商发票之日起</w:t>
      </w:r>
      <w:r>
        <w:rPr>
          <w:sz w:val="21"/>
        </w:rPr>
        <w:t>5</w:t>
      </w:r>
      <w:r>
        <w:rPr>
          <w:sz w:val="21"/>
        </w:rPr>
        <w:t>个工作日内，采购人支付中标供应商合同价款的</w:t>
      </w:r>
      <w:r>
        <w:rPr>
          <w:sz w:val="21"/>
        </w:rPr>
        <w:t>50%</w:t>
      </w:r>
      <w:r>
        <w:rPr>
          <w:sz w:val="21"/>
        </w:rPr>
        <w:t>。</w:t>
      </w:r>
    </w:p>
    <w:p>
      <w:pPr>
        <w:pStyle w:val="null3"/>
        <w:ind w:firstLine="420"/>
        <w:jc w:val="both"/>
      </w:pPr>
      <w:r>
        <w:rPr>
          <w:sz w:val="21"/>
        </w:rPr>
        <w:t>二期经费支付：中标供应商按合同要求向采购人交付中期运维总结报告并经采购人书面确认后，采购人收到中标供应商发票之日起</w:t>
      </w:r>
      <w:r>
        <w:rPr>
          <w:sz w:val="21"/>
        </w:rPr>
        <w:t>10</w:t>
      </w:r>
      <w:r>
        <w:rPr>
          <w:sz w:val="21"/>
        </w:rPr>
        <w:t>个工作日内，采购人支付中标供应商合同价款的</w:t>
      </w:r>
      <w:r>
        <w:rPr>
          <w:sz w:val="21"/>
        </w:rPr>
        <w:t>30%</w:t>
      </w:r>
      <w:r>
        <w:rPr>
          <w:sz w:val="21"/>
        </w:rPr>
        <w:t>。</w:t>
      </w:r>
    </w:p>
    <w:p>
      <w:pPr>
        <w:pStyle w:val="null3"/>
        <w:ind w:firstLine="420"/>
        <w:jc w:val="both"/>
      </w:pPr>
      <w:r>
        <w:rPr>
          <w:sz w:val="21"/>
        </w:rPr>
        <w:t>三期经费支付：中标供应商按合同要求向采购人交付所有项目成果并通过验收后，采购人收到中标供应商发票之日起</w:t>
      </w:r>
      <w:r>
        <w:rPr>
          <w:sz w:val="21"/>
        </w:rPr>
        <w:t>10</w:t>
      </w:r>
      <w:r>
        <w:rPr>
          <w:sz w:val="21"/>
        </w:rPr>
        <w:t>个工作日内，采购人支付中标供应商合同价款的</w:t>
      </w:r>
      <w:r>
        <w:rPr>
          <w:sz w:val="21"/>
        </w:rPr>
        <w:t>20%</w:t>
      </w:r>
      <w:r>
        <w:rPr>
          <w:sz w:val="21"/>
        </w:rPr>
        <w:t>。</w:t>
      </w:r>
    </w:p>
    <w:p>
      <w:pPr>
        <w:pStyle w:val="null3"/>
        <w:ind w:firstLine="420"/>
        <w:jc w:val="both"/>
      </w:pPr>
      <w:r>
        <w:rPr>
          <w:sz w:val="21"/>
        </w:rPr>
        <w:t>无论何种原因，中标供应商均无权要求采购人增加项目经费。</w:t>
      </w:r>
    </w:p>
    <w:p>
      <w:pPr>
        <w:pStyle w:val="null3"/>
        <w:spacing w:before="120"/>
        <w:jc w:val="both"/>
        <w:outlineLvl w:val="0"/>
      </w:pPr>
      <w:r>
        <w:rPr>
          <w:sz w:val="21"/>
          <w:b/>
        </w:rPr>
        <w:t>十五、其他要求</w:t>
      </w:r>
    </w:p>
    <w:p>
      <w:pPr>
        <w:pStyle w:val="null3"/>
        <w:ind w:firstLine="420"/>
        <w:jc w:val="both"/>
      </w:pPr>
      <w:r>
        <w:rPr>
          <w:sz w:val="21"/>
        </w:rPr>
        <w:t>★</w:t>
      </w:r>
      <w:r>
        <w:rPr>
          <w:sz w:val="21"/>
        </w:rPr>
        <w:t>1.</w:t>
      </w:r>
      <w:r>
        <w:rPr>
          <w:sz w:val="21"/>
        </w:rPr>
        <w:t>本项目不允许合同分包。如供应商在投标</w:t>
      </w:r>
      <w:r>
        <w:rPr>
          <w:sz w:val="21"/>
        </w:rPr>
        <w:t>/</w:t>
      </w:r>
      <w:r>
        <w:rPr>
          <w:sz w:val="21"/>
        </w:rPr>
        <w:t>响应文件中未出现《分包协议意向书》，则视为未采取合同分包。</w:t>
      </w:r>
    </w:p>
    <w:p>
      <w:pPr>
        <w:pStyle w:val="null3"/>
        <w:ind w:firstLine="422"/>
      </w:pPr>
      <w:r>
        <w:rPr>
          <w:sz w:val="21"/>
        </w:rPr>
        <w:t>★</w:t>
      </w:r>
      <w:r>
        <w:rPr>
          <w:sz w:val="21"/>
        </w:rPr>
        <w:t>2.</w:t>
      </w: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供应商提供承诺函，可参照“格式”中《承诺函》格式）</w:t>
      </w:r>
    </w:p>
    <w:p>
      <w:pPr>
        <w:pStyle w:val="null3"/>
        <w:ind w:firstLine="420"/>
        <w:jc w:val="both"/>
      </w:pPr>
      <w:r>
        <w:rPr>
          <w:sz w:val="21"/>
        </w:rPr>
        <w:t>3.</w:t>
      </w:r>
      <w:r>
        <w:rPr>
          <w:sz w:val="21"/>
        </w:rPr>
        <w:t>采购文件所要求的证书、资质等材料，如有有效期限制的，供应商所提供的资质、证书等材料均应处于有效期内，否则按无效材料处理。</w:t>
      </w:r>
    </w:p>
    <w:p>
      <w:pPr>
        <w:pStyle w:val="null3"/>
        <w:ind w:firstLine="420"/>
        <w:jc w:val="both"/>
      </w:pPr>
      <w:r>
        <w:rPr>
          <w:sz w:val="21"/>
        </w:rPr>
        <w:t>4.</w:t>
      </w:r>
      <w:r>
        <w:rPr>
          <w:sz w:val="21"/>
        </w:rPr>
        <w:t>踏勘要求：</w:t>
      </w:r>
    </w:p>
    <w:p>
      <w:pPr>
        <w:pStyle w:val="null3"/>
        <w:ind w:firstLine="420"/>
        <w:jc w:val="both"/>
      </w:pPr>
      <w:r>
        <w:rPr>
          <w:sz w:val="21"/>
        </w:rPr>
        <w:t>本项目投标人应对项目现场进行充分了解，可安排人员（须同时携带：</w:t>
      </w:r>
      <w:r>
        <w:rPr>
          <w:sz w:val="21"/>
          <w:b/>
        </w:rPr>
        <w:t>①</w:t>
      </w:r>
      <w:r>
        <w:rPr>
          <w:sz w:val="21"/>
        </w:rPr>
        <w:t>投标人授权函原件加盖投标人公章，格式自拟。</w:t>
      </w:r>
      <w:r>
        <w:rPr>
          <w:sz w:val="21"/>
          <w:b/>
        </w:rPr>
        <w:t>②</w:t>
      </w:r>
      <w:r>
        <w:rPr>
          <w:sz w:val="21"/>
        </w:rPr>
        <w:t>身份证）到项目现场进行勘查及参加集中答疑。</w:t>
      </w:r>
    </w:p>
    <w:p>
      <w:pPr>
        <w:pStyle w:val="null3"/>
        <w:ind w:firstLine="420"/>
        <w:jc w:val="both"/>
      </w:pPr>
      <w:r>
        <w:rPr>
          <w:sz w:val="21"/>
        </w:rPr>
        <w:t>统一集中踏勘时间：</w:t>
      </w:r>
      <w:r>
        <w:rPr>
          <w:sz w:val="21"/>
          <w:b/>
        </w:rPr>
        <w:t>2025年5月15日10:00，逾时不候</w:t>
      </w:r>
    </w:p>
    <w:p>
      <w:pPr>
        <w:pStyle w:val="null3"/>
        <w:ind w:firstLine="420"/>
        <w:jc w:val="both"/>
      </w:pPr>
      <w:r>
        <w:rPr>
          <w:sz w:val="21"/>
        </w:rPr>
        <w:t>统一集中报到地点：广州市环市东路468号1栋（共两个现场：①广州市环市东路468号1栋；②广州市南沙区市南路东涌段4号广东海洋与水产高科技园1号楼。其中现场②根据现场①的踏勘情况再确定是否前往）</w:t>
      </w:r>
    </w:p>
    <w:p>
      <w:pPr>
        <w:pStyle w:val="null3"/>
        <w:ind w:firstLine="420"/>
        <w:jc w:val="both"/>
      </w:pPr>
      <w:r>
        <w:rPr>
          <w:sz w:val="21"/>
        </w:rPr>
        <w:t>联系人：莫工；联系人电话：020-87619839</w:t>
      </w:r>
    </w:p>
    <w:p>
      <w:pPr>
        <w:pStyle w:val="null3"/>
        <w:ind w:firstLine="420"/>
        <w:jc w:val="both"/>
      </w:pPr>
      <w:r>
        <w:rPr>
          <w:sz w:val="21"/>
        </w:rPr>
        <w:t>采购人只针对本项目相关范围内可公开内容接受供应商咨询。采购人不接受集中踏勘时间外响应供应商自行勘查现场的请求，供应商未参加集中现场勘查将视为其已充分了解项目现场情况及采购人需求，若中标不得以对现场不了解为由而拒绝提供完整服务。</w:t>
      </w:r>
    </w:p>
    <w:p>
      <w:pPr>
        <w:pStyle w:val="null3"/>
      </w:pPr>
      <w:r>
        <w:rPr/>
        <w:t>采购包1（广东省土地调查规划院网络安全运营及机房硬件运维服务（2025年））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自2025年6月16日至2026年6月15日。</w:t>
            </w:r>
          </w:p>
        </w:tc>
      </w:tr>
      <w:tr>
        <w:tc>
          <w:tcPr>
            <w:tcW w:type="dxa" w:w="4153"/>
          </w:tcPr>
          <w:p>
            <w:pPr>
              <w:pStyle w:val="null3"/>
            </w:pPr>
            <w:r>
              <w:rPr/>
              <w:t>标的提供的地点</w:t>
            </w:r>
          </w:p>
        </w:tc>
        <w:tc>
          <w:tcPr>
            <w:tcW w:type="dxa" w:w="4153"/>
          </w:tcPr>
          <w:p>
            <w:pPr>
              <w:pStyle w:val="null3"/>
            </w:pPr>
            <w:r>
              <w:rPr/>
              <w:t>中标供应商应在双方协定的工作场所开展项目工作。</w:t>
            </w:r>
          </w:p>
        </w:tc>
      </w:tr>
      <w:tr/>
      <w:tr/>
      <w:tr>
        <w:tc>
          <w:tcPr>
            <w:tcW w:type="dxa" w:w="4153"/>
          </w:tcPr>
          <w:p>
            <w:pPr>
              <w:pStyle w:val="null3"/>
            </w:pPr>
            <w:r>
              <w:rPr/>
              <w:t>付款方式</w:t>
            </w:r>
          </w:p>
        </w:tc>
        <w:tc>
          <w:tcPr>
            <w:tcW w:type="dxa" w:w="4153"/>
          </w:tcPr>
          <w:p>
            <w:pPr>
              <w:pStyle w:val="null3"/>
            </w:pPr>
            <w:r>
              <w:rPr/>
              <w:t>第1期为(预付款)：支付比例50%，采购人在合同签订并收到中标供应商发票之日起5个工作日内，采购人支付中标供应商合同价款的50%。。</w:t>
            </w:r>
          </w:p>
          <w:p>
            <w:pPr>
              <w:pStyle w:val="null3"/>
            </w:pPr>
            <w:r>
              <w:rPr/>
              <w:t>第2期为(进度款)：支付比例30%，中标供应商按合同要求向采购人交付中期运维总结报告并经采购人书面确认后，采购人收到中标供应商发票之日起10个工作日内，采购人支付中标供应商合同价款的30%。。</w:t>
            </w:r>
          </w:p>
          <w:p>
            <w:pPr>
              <w:pStyle w:val="null3"/>
            </w:pPr>
            <w:r>
              <w:rPr/>
              <w:t>第3期为(尾款)：支付比例20%，中标供应商按合同要求向采购人交付所有项目成果并通过验收后，采购人收到中标供应商发票之日起10个工作日内，采购人支付中标供应商合同价款的20%。。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1期：（一）验收主体：采购人、中标供应商、采购人组织的专家。 （二）验收条件：至少满足下列条件，方可开展验收。 1.完成项目规定的全部内容后。 2.成果内容符合本项目实施过程中双方约定的相关技术要求。 3.成果报告需做到材料完整、内容齐全。 （三）中标供应商提交项目成果的形式：纸质文件、电子文件或者采购人要求的其他形式。 （四）验收程序：中标供应商应当在符合验收条件后，按照采购人要求的成果形式、数量和时间向采购人交付项目成果并书面提请采购人验收，采购人应在7日内组织专家验收。验收通过的，中标供应商应根据专家验收意见对项目成果进行修改完善，于专家验收会后10个工作日内向采购人提交修改完善后的全部项目成果。验收不通过的，中标供应商应当无条件组织进行认真整改至合格，于专家验收会后20个工作日内提交整改后的全部项目成果并提请采购人再次组织专家验收，中标供应商承担再次组织专家验收的相应费用且应承担延迟提交项目成果的违约责任。如中标供应商提交所有项目成果的时限届满，中标供应商不提出验收申请或者经采购人通知，中标供应商不参加验收会议的，验收会议可以照常进行，验收会议形成的专家验收意见对中标供应商有约束力。</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本项目不允许合同分包。</w:t>
            </w:r>
          </w:p>
        </w:tc>
        <w:tc>
          <w:tcPr>
            <w:tcW w:type="dxa" w:w="2076"/>
          </w:tcPr>
          <w:p>
            <w:pPr>
              <w:pStyle w:val="null3"/>
              <w:jc w:val="left"/>
            </w:pPr>
            <w:r>
              <w:rPr/>
              <w:t>如供应商在投标/响应文件中未出现《分包协议意向书》，则视为未采取合同分包。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供应商须保证，如中标，投标文件所提供的材料，如果有效期（包括需要年审、继续教育等完成后才能执业的行政许可、人员证书等情形）未能覆盖项目（包组）合同履行期的，将提前按规定办理延期手续，确保合同顺利履行。</w:t>
            </w:r>
          </w:p>
        </w:tc>
        <w:tc>
          <w:tcPr>
            <w:tcW w:type="dxa" w:w="2076"/>
          </w:tcPr>
          <w:p>
            <w:pPr>
              <w:pStyle w:val="null3"/>
              <w:jc w:val="left"/>
            </w:pPr>
            <w:r>
              <w:rPr/>
              <w:t>（供应商提供承诺函，可参照“格式”中《承诺函》格式）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其他运行维护服务</w:t>
            </w:r>
          </w:p>
        </w:tc>
        <w:tc>
          <w:tcPr>
            <w:tcW w:type="dxa" w:w="933"/>
          </w:tcPr>
          <w:p>
            <w:pPr>
              <w:pStyle w:val="null3"/>
              <w:jc w:val="left"/>
            </w:pPr>
            <w:r>
              <w:rPr/>
              <w:t>广东省土地调查规划院网络安全运营及机房硬件运维服务（2025年）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1,637,400.00</w:t>
            </w:r>
          </w:p>
        </w:tc>
        <w:tc>
          <w:tcPr>
            <w:tcW w:type="dxa" w:w="933"/>
          </w:tcPr>
          <w:p>
            <w:pPr>
              <w:pStyle w:val="null3"/>
              <w:jc w:val="right"/>
            </w:pPr>
            <w:r>
              <w:rPr/>
              <w:t>1,637,400.00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广东省土地调查规划院网络安全运营及机房硬件运维服务（2025年）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基于政务外网，建立威胁</w:t>
            </w:r>
            <w:r>
              <w:rPr>
                <w:sz w:val="21"/>
                <w:color w:val="000000"/>
              </w:rPr>
              <w:t>7*24</w:t>
            </w:r>
            <w:r>
              <w:rPr>
                <w:sz w:val="21"/>
                <w:color w:val="000000"/>
              </w:rPr>
              <w:t>小时的持续监测机制，帮助采购人将信息安全事件关口前移，并提供安全威胁的修复协助与指导。（</w:t>
            </w:r>
            <w:r>
              <w:rPr>
                <w:sz w:val="21"/>
                <w:b/>
              </w:rPr>
              <w:t>供应商提供承诺函，可参照“格式”中《承诺函》格式</w:t>
            </w:r>
            <w:r>
              <w:rPr>
                <w:sz w:val="21"/>
                <w:color w:val="000000"/>
              </w:rPr>
              <w:t>）</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行业攻防演练驻场服务：协助采购人参与上级单位组织开展的应急演练活动，攻防演练前对采购人网络信息资产的加固整顿，提前做好攻防演练准备。网络安全攻防演练期间，提供网络安全值守服务，协助采购人进行防守。</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重保服务：</w:t>
            </w:r>
            <w:r>
              <w:rPr>
                <w:sz w:val="21"/>
                <w:color w:val="000000"/>
              </w:rPr>
              <w:t>为确保采购人国土空间规划</w:t>
            </w:r>
            <w:r>
              <w:rPr>
                <w:sz w:val="21"/>
                <w:color w:val="000000"/>
              </w:rPr>
              <w:t>“</w:t>
            </w:r>
            <w:r>
              <w:rPr>
                <w:sz w:val="21"/>
                <w:color w:val="000000"/>
              </w:rPr>
              <w:t>一张图</w:t>
            </w:r>
            <w:r>
              <w:rPr>
                <w:sz w:val="21"/>
                <w:color w:val="000000"/>
              </w:rPr>
              <w:t>”</w:t>
            </w:r>
            <w:r>
              <w:rPr>
                <w:sz w:val="21"/>
                <w:color w:val="000000"/>
              </w:rPr>
              <w:t>实施监督信息系统业务及网络安全稳定，重大活动期间进行</w:t>
            </w:r>
            <w:r>
              <w:rPr>
                <w:sz w:val="21"/>
                <w:color w:val="000000"/>
              </w:rPr>
              <w:t>7*24</w:t>
            </w:r>
            <w:r>
              <w:rPr>
                <w:sz w:val="21"/>
                <w:color w:val="000000"/>
              </w:rPr>
              <w:t>小时值守，保障重要时期的网络安全</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color w:val="000000"/>
              </w:rPr>
              <w:t>漏洞扫描：对采购人的主机、操作系统提供漏洞扫描服务，筛选高可信漏洞，输出漏扫报告。每月开展一次。</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网络安全设备病毒库更新服务：对采购人现有的网络安全设备（详见以下清单）提供病毒库更新升级服务（</w:t>
            </w:r>
            <w:r>
              <w:rPr>
                <w:sz w:val="21"/>
              </w:rPr>
              <w:t>1</w:t>
            </w:r>
            <w:r>
              <w:rPr>
                <w:sz w:val="21"/>
              </w:rPr>
              <w:t>年授权）。</w:t>
            </w:r>
          </w:p>
          <w:tbl>
            <w:tblGrid>
              <w:gridCol w:w="1028"/>
              <w:gridCol w:w="1257"/>
              <w:gridCol w:w="1028"/>
              <w:gridCol w:w="2285"/>
            </w:tblGrid>
            <w:tr>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w:t>
                  </w:r>
                </w:p>
              </w:tc>
              <w:tc>
                <w:tcPr>
                  <w:tcW w:type="dxa" w:w="12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型号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版本</w:t>
                  </w:r>
                </w:p>
              </w:tc>
              <w:tc>
                <w:tcPr>
                  <w:tcW w:type="dxa" w:w="22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序列号</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AF-2000-FH2250B</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8.0.95</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50FE9F8E</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AF-2000-FH2250B</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8.0.95</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62735995</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上网行为管理</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AC-1000-B2100Y</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13.0.47</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41C4E7A6</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AF-2000-FH2250B</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8.0.75</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E8FD9F08</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AF-2000-B2130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8.0.48</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62ABD227</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EDR</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w:t>
                  </w:r>
                  <w:r>
                    <w:rPr>
                      <w:sz w:val="21"/>
                    </w:rPr>
                    <w:t>EDR-V100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3.7.12</w:t>
                  </w:r>
                </w:p>
              </w:tc>
              <w:tc>
                <w:tcPr>
                  <w:tcW w:type="dxa" w:w="22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1360737625</w:t>
                  </w:r>
                </w:p>
              </w:tc>
            </w:tr>
          </w:tbl>
          <w:p>
            <w:pPr>
              <w:pStyle w:val="null3"/>
              <w:jc w:val="both"/>
            </w:pP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color w:val="000000"/>
              </w:rPr>
              <w:t>应用系统渗透测试：对采购人指定的信息系统，开展渗透测试，输出渗透测试报告。每季度开展一次。</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color w:val="000000"/>
              </w:rPr>
              <w:t>信息安全风险评估服务：对采购人的网络环境、信息系统、管理制度进行分析评估，形成评估报告。每季度开展一次。</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机房基础设施巡检：定期对采购人机房基础设施巡检，包括供配电系统、</w:t>
            </w:r>
            <w:r>
              <w:rPr>
                <w:sz w:val="21"/>
              </w:rPr>
              <w:t>UPS</w:t>
            </w:r>
            <w:r>
              <w:rPr>
                <w:sz w:val="21"/>
              </w:rPr>
              <w:t>系统、空调通风系统、综合监控系统（环境监控系统、</w:t>
            </w:r>
            <w:r>
              <w:rPr>
                <w:sz w:val="21"/>
              </w:rPr>
              <w:t>KVM</w:t>
            </w:r>
            <w:r>
              <w:rPr>
                <w:sz w:val="21"/>
              </w:rPr>
              <w:t>系统</w:t>
            </w:r>
            <w:r>
              <w:rPr>
                <w:sz w:val="21"/>
              </w:rPr>
              <w:t>)</w:t>
            </w:r>
            <w:r>
              <w:rPr>
                <w:sz w:val="21"/>
              </w:rPr>
              <w:t>、机柜和综合布线系统、消防系统（火灾自动报警和气体灭火系统</w:t>
            </w:r>
            <w:r>
              <w:rPr>
                <w:sz w:val="21"/>
              </w:rPr>
              <w:t>)</w:t>
            </w:r>
            <w:r>
              <w:rPr>
                <w:sz w:val="21"/>
              </w:rPr>
              <w:t>、接地及防雷系统等，及其附带的各类系统，并对机房环境清洁。至少每月开展两次。</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设备巡检：定期对采购人机房内所有生产、网络及安全设备巡检。至少每月开展两次。</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rPr>
              <w:t>设备故障需要更换配件材料时，由中标供应商负责更换，且不再收取配件材料的成本费、维护费和安装费。所更换的配件应与原产品同等或优于原产品及应符合相关标准，满足设备性能要求，需提供一年的保修服务；</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1"/>
              </w:rPr>
              <w:t>在运维期间，若设备发生故障且两天内难以修复，经双方协商，由中标供应商提供备用机，以保证业主方系统正常使用；</w:t>
            </w:r>
          </w:p>
        </w:tc>
      </w:tr>
      <w:tr>
        <w:tc>
          <w:tcPr>
            <w:tcW w:type="dxa" w:w="2076"/>
          </w:tcPr>
          <w:p/>
        </w:tc>
        <w:tc>
          <w:tcPr>
            <w:tcW w:type="dxa" w:w="415"/>
          </w:tcPr>
          <w:p>
            <w:pPr>
              <w:pStyle w:val="null3"/>
            </w:pPr>
            <w:r>
              <w:rPr/>
              <w:t>12</w:t>
            </w:r>
          </w:p>
        </w:tc>
        <w:tc>
          <w:tcPr>
            <w:tcW w:type="dxa" w:w="5814"/>
          </w:tcPr>
          <w:p>
            <w:pPr>
              <w:pStyle w:val="null3"/>
            </w:pPr>
            <w:r>
              <w:rPr/>
              <w:t>其他详见用户需求书。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广东省土地调查规划院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踏勘时间：2025-05-15 10:00</w:t>
            </w:r>
          </w:p>
          <w:p>
            <w:pPr>
              <w:pStyle w:val="null3"/>
            </w:pPr>
            <w:r>
              <w:rPr/>
              <w:t>踏勘地点：广州市环市东路468号1栋</w:t>
            </w:r>
          </w:p>
          <w:p>
            <w:pPr>
              <w:pStyle w:val="null3"/>
            </w:pPr>
            <w:r>
              <w:rPr/>
              <w:t>联系人姓名：莫工</w:t>
            </w:r>
          </w:p>
          <w:p>
            <w:pPr>
              <w:pStyle w:val="null3"/>
            </w:pPr>
            <w:r>
              <w:rPr/>
              <w:t>联系人电话：020-87619839</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广东省政府采购中心（http://gpcgd.gd.gov.cn/）、广东省自然资源厅（https://nr.gd.gov.cn/）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广东省政府采购中心（http://gpcgd.gd.gov.cn/）、广东省自然资源厅（https://nr.gd.gov.cn/）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土地调查规划院网络安全运营及机房硬件运维服务（2025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采购包1（广东省土地调查规划院网络安全运营及机房硬件运维服务（2025年））：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采购包1（广东省土地调查规划院网络安全运营及机房硬件运维服务（2025年））：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具有良好的商业信誉和健全的财务会计制度：提供经会计师事务所审计的投标人2023年度或2024年度财务状况报告；或同时提供a.基本开户行出具的资信证明，b.《基本存款账号信息》或《开户许可证》。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须为符合本项目采购标的对应行业（软件和信息技术服务业）划分标准的中小企业（监狱企业、残疾人福利单位视同小型、微型企业）。投标时提供《中小企业声明函（服务）》（见投标文件格式）。监狱企业、残疾人福利单位视同小型、微型企业。 注1：中小企业以供应商填写的《中小企业声明函 （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采购包1（广东省土地调查规划院网络安全运营及机房硬件运维服务（2025年））：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采购包1(广东省土地调查规划院网络安全运营及机房硬件运维服务（2025年）):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▲条款响应情况 (40.0分)</w:t>
            </w:r>
          </w:p>
        </w:tc>
        <w:tc>
          <w:tcPr>
            <w:tcW w:type="dxa" w:w="5076"/>
          </w:tcPr>
          <w:p>
            <w:pPr>
              <w:pStyle w:val="null3"/>
              <w:jc w:val="left"/>
            </w:pPr>
            <w:r>
              <w:rPr/>
              <w:t>根据对照采购需求，本项目的▲条款合计10项，每有一项▲条款完全满足采购文件要求得4分，满分40分。 注： 如用户需求书▲条款中有明确要求提供证明资料的，投标人无提供或未按要求提供证明材料的不得分；如用户需求中无明确证明材料的，以投标人投标文件中的《技术和服务要求响应表》中的投标人填写的“是否偏离”为准，未填写或未响应的视为负偏离。</w:t>
            </w:r>
          </w:p>
        </w:tc>
      </w:tr>
      <w:tr>
        <w:tc>
          <w:tcPr>
            <w:tcW w:type="dxa" w:w="922"/>
            <w:gridSpan w:val="2"/>
            <w:vMerge/>
          </w:tcPr>
          <w:p/>
        </w:tc>
        <w:tc>
          <w:tcPr>
            <w:tcW w:type="dxa" w:w="2307"/>
          </w:tcPr>
          <w:p>
            <w:pPr>
              <w:pStyle w:val="null3"/>
              <w:jc w:val="left"/>
            </w:pPr>
            <w:r>
              <w:rPr/>
              <w:t>应急预案 1 (4.0分)</w:t>
            </w:r>
          </w:p>
        </w:tc>
        <w:tc>
          <w:tcPr>
            <w:tcW w:type="dxa" w:w="5076"/>
          </w:tcPr>
          <w:p>
            <w:pPr>
              <w:pStyle w:val="null3"/>
              <w:jc w:val="left"/>
            </w:pPr>
            <w:r>
              <w:rPr/>
              <w:t>根据但不限于采购需求“十二、应急预案”相关要求，投标人针对本项目拟定的应急预案进行综合评审： （一）应急预案内容包括： （1）应对紧急需求变更与汇报的处理方案 （2）其他敏感事件或重大事项快速响应机制。 具有上述内容，每项得2分，最高得4分。</w:t>
            </w:r>
          </w:p>
        </w:tc>
      </w:tr>
      <w:tr>
        <w:tc>
          <w:tcPr>
            <w:tcW w:type="dxa" w:w="922"/>
            <w:gridSpan w:val="2"/>
            <w:vMerge/>
          </w:tcPr>
          <w:p/>
        </w:tc>
        <w:tc>
          <w:tcPr>
            <w:tcW w:type="dxa" w:w="2307"/>
          </w:tcPr>
          <w:p>
            <w:pPr>
              <w:pStyle w:val="null3"/>
              <w:jc w:val="left"/>
            </w:pPr>
            <w:r>
              <w:rPr/>
              <w:t>应急预案 2 (3.0分)</w:t>
            </w:r>
          </w:p>
        </w:tc>
        <w:tc>
          <w:tcPr>
            <w:tcW w:type="dxa" w:w="5076"/>
          </w:tcPr>
          <w:p>
            <w:pPr>
              <w:pStyle w:val="null3"/>
              <w:jc w:val="left"/>
            </w:pPr>
            <w:r>
              <w:rPr/>
              <w:t>根据但不限于采购需求“十二、应急预案”相关要求，投标人针对本项目拟定的应急预案进行综合评审： （1）完全满足且优于项目要求的，得3分； （2）完全满足项目要求的，得2分； （3）不完全满足项目要求的，得1分； （4）未提供或其他不得分。</w:t>
            </w:r>
          </w:p>
        </w:tc>
      </w:tr>
      <w:tr>
        <w:tc>
          <w:tcPr>
            <w:tcW w:type="dxa" w:w="922"/>
            <w:gridSpan w:val="2"/>
            <w:vMerge/>
          </w:tcPr>
          <w:p/>
        </w:tc>
        <w:tc>
          <w:tcPr>
            <w:tcW w:type="dxa" w:w="2307"/>
          </w:tcPr>
          <w:p>
            <w:pPr>
              <w:pStyle w:val="null3"/>
              <w:jc w:val="left"/>
            </w:pPr>
            <w:r>
              <w:rPr/>
              <w:t>网络安全监控服务方案1 (4.0分)</w:t>
            </w:r>
          </w:p>
        </w:tc>
        <w:tc>
          <w:tcPr>
            <w:tcW w:type="dxa" w:w="5076"/>
          </w:tcPr>
          <w:p>
            <w:pPr>
              <w:pStyle w:val="null3"/>
              <w:jc w:val="left"/>
            </w:pPr>
            <w:r>
              <w:rPr/>
              <w:t>根据但不限于采购需求“三、项目内容”中“4.网络安全监控服务”相关要求，对供应商针对本项目提供的网络安全监控服务方案进行评审： （一）方案内容包括：（1）网络安全监控服务人员团队配置信息；（2）事件处理时效。具有上述内容，每项得2分，最高得4分。 注：（1）项须提供人员配备名单及相关方案。投标文件中提供2025年1月1日以来内任意一个月人员在供应商单位的代缴个税税单或参加社会保险的《投保单》或《社会保险参保人员证明》等（事业单位可提供单位人事部门开具的证明文件）。如属于依法不需要缴交或缓交个税或社保的，则同时提供人员依法不需要缴交或缓交个税或社保的证明及在供应商单位的劳动合同证明；如属于退休返聘人员，则同时提供人员的退休证及与供应商单位的劳动合同（或返聘协议或同类的合同/协议）证明）。</w:t>
            </w:r>
          </w:p>
        </w:tc>
      </w:tr>
      <w:tr>
        <w:tc>
          <w:tcPr>
            <w:tcW w:type="dxa" w:w="922"/>
            <w:gridSpan w:val="2"/>
            <w:vMerge/>
          </w:tcPr>
          <w:p/>
        </w:tc>
        <w:tc>
          <w:tcPr>
            <w:tcW w:type="dxa" w:w="2307"/>
          </w:tcPr>
          <w:p>
            <w:pPr>
              <w:pStyle w:val="null3"/>
              <w:jc w:val="left"/>
            </w:pPr>
            <w:r>
              <w:rPr/>
              <w:t>网络安全监控服务方案2 (3.0分)</w:t>
            </w:r>
          </w:p>
        </w:tc>
        <w:tc>
          <w:tcPr>
            <w:tcW w:type="dxa" w:w="5076"/>
          </w:tcPr>
          <w:p>
            <w:pPr>
              <w:pStyle w:val="null3"/>
              <w:jc w:val="left"/>
            </w:pPr>
            <w:r>
              <w:rPr/>
              <w:t>（二）根据但不限于采购需求“三、项目内容”中“4.网络安全监控服务”相关要求，对供应商针对本项目提供的网络安全监控服务服务方案进行评审： （1）完全满足且优于项目要求的，得3分； （2）完全满足项目要求的，得2分； （3）不完全满足项目要求的，得1分； （4）未提供或其他不得分。</w:t>
            </w:r>
          </w:p>
        </w:tc>
      </w:tr>
      <w:tr>
        <w:tc>
          <w:tcPr>
            <w:tcW w:type="dxa" w:w="922"/>
            <w:gridSpan w:val="2"/>
            <w:vMerge/>
          </w:tcPr>
          <w:p/>
        </w:tc>
        <w:tc>
          <w:tcPr>
            <w:tcW w:type="dxa" w:w="2307"/>
          </w:tcPr>
          <w:p>
            <w:pPr>
              <w:pStyle w:val="null3"/>
              <w:jc w:val="left"/>
            </w:pPr>
            <w:r>
              <w:rPr/>
              <w:t>供应商配件更换服务方案1 (3.0分)</w:t>
            </w:r>
          </w:p>
        </w:tc>
        <w:tc>
          <w:tcPr>
            <w:tcW w:type="dxa" w:w="5076"/>
          </w:tcPr>
          <w:p>
            <w:pPr>
              <w:pStyle w:val="null3"/>
              <w:jc w:val="left"/>
            </w:pPr>
            <w:r>
              <w:rPr/>
              <w:t>根据但不限于采购需求“三、项目内容”中“9.配件更换服务”相关要求（▲号条款除外），对供应商针对本项目提供的供应商配件更换服务方案进行评审： （一）方案内容包括：（1）维修时间（非响应时间，指从确认问题到完成配件更换的时间）和质保承诺；（2）供应配件团队人员配置。具有上述内容，每项得1.5分，最高得3分。 注：（2）项须提供人员配备名单及相关方案。投标文件中提供2025年1月1日以来内任意一个月人员在供应商单位的代缴个税税单或参加社会保险的《投保单》或《社会保险参保人员证明》等（事业单位可提供单位人事部门开具的证明文件）。如属于依法不需要缴交或缓交个税或社保的，则同时提供人员依法不需要缴交或缓交个税或社保的证明及在供应商单位的劳动合同证明；如属于退休返聘人员，则同时提供人员的退休证及与供应商单位的劳动合同（或返聘协议或同类的合同/协议）证明）。</w:t>
            </w:r>
          </w:p>
        </w:tc>
      </w:tr>
      <w:tr>
        <w:tc>
          <w:tcPr>
            <w:tcW w:type="dxa" w:w="922"/>
            <w:gridSpan w:val="2"/>
            <w:vMerge/>
          </w:tcPr>
          <w:p/>
        </w:tc>
        <w:tc>
          <w:tcPr>
            <w:tcW w:type="dxa" w:w="2307"/>
          </w:tcPr>
          <w:p>
            <w:pPr>
              <w:pStyle w:val="null3"/>
              <w:jc w:val="left"/>
            </w:pPr>
            <w:r>
              <w:rPr/>
              <w:t>供应商配件更换服务方案2 (3.0分)</w:t>
            </w:r>
          </w:p>
        </w:tc>
        <w:tc>
          <w:tcPr>
            <w:tcW w:type="dxa" w:w="5076"/>
          </w:tcPr>
          <w:p>
            <w:pPr>
              <w:pStyle w:val="null3"/>
              <w:jc w:val="left"/>
            </w:pPr>
            <w:r>
              <w:rPr/>
              <w:t>根据但不限于采购需求“三、项目内容”中“9.配件更换服务”相关要求（▲号条款除外），对供应商针对本项目提供的供应商配件更换服务方案进行评审： （1）完全满足且优于项目要求的，得3分； （2）完全满足项目要求的，得2分； （3）不完全满足项目要求的，得1分；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供应商体系认证 (4.0分)</w:t>
            </w:r>
          </w:p>
        </w:tc>
        <w:tc>
          <w:tcPr>
            <w:tcW w:type="dxa" w:w="5076"/>
          </w:tcPr>
          <w:p>
            <w:pPr>
              <w:pStyle w:val="null3"/>
              <w:jc w:val="left"/>
            </w:pPr>
            <w:r>
              <w:rPr/>
              <w:t>供应商具有质量管理体系认证证书，认证范围与网络安全运营、硬件运维或信息系统集成相关的得4分； 注：须同时提供认证证书复印件及国家认证认可监督管理委员会的“全国认证认可信息公共服务平台”（http://cx.cnca.cn）查询结果截图。证书处于失效、撤销或暂停状态的，该证书不得分。供应商因成立时间不足三个月无法获得证书的，可得分。</w:t>
            </w:r>
          </w:p>
        </w:tc>
      </w:tr>
      <w:tr>
        <w:tc>
          <w:tcPr>
            <w:tcW w:type="dxa" w:w="922"/>
            <w:gridSpan w:val="2"/>
            <w:vMerge/>
          </w:tcPr>
          <w:p/>
        </w:tc>
        <w:tc>
          <w:tcPr>
            <w:tcW w:type="dxa" w:w="2307"/>
          </w:tcPr>
          <w:p>
            <w:pPr>
              <w:pStyle w:val="null3"/>
              <w:jc w:val="left"/>
            </w:pPr>
            <w:r>
              <w:rPr/>
              <w:t>本项目项目负责人的资质情况 (5.0分)</w:t>
            </w:r>
          </w:p>
        </w:tc>
        <w:tc>
          <w:tcPr>
            <w:tcW w:type="dxa" w:w="5076"/>
          </w:tcPr>
          <w:p>
            <w:pPr>
              <w:pStyle w:val="null3"/>
              <w:jc w:val="left"/>
            </w:pPr>
            <w:r>
              <w:rPr/>
              <w:t>拟投入的项目负责人（1人）： 1.具有计算机技术与软件专业技术资格（水平）证书：信息系统项目管理师或网络规划设计师证书的，得2分；提供证书复印件； 2.具有计算机技术与软件专业技术资格（水平）证书：系统集成项目管理工程师或网络工程师或信息安全工程师证书的，得1分；提供证书复印件； 3.具有信息化项目负责人（项目经理）工作经验得2分；提供信息化项目业绩证明资料，项目经验证明材料以项目验收报告或项目合同关键页（显示项目名称、主要内容、参与项目人员信息等）复印件（或扫描件）并加盖投标人公章；如证明材料体现不了项目负责人（项目经理）的，则需提供甲方或甲方项目主管部门盖章的证明资料。 1.2.项注：本项最高得5分。须同时提供2025年1月1日以来任意一个月人员在供应商单位的代缴个税税单或参加社会保险的《投保单》或《社会保险参保人员证明》等（事业单位可提供单位人事部门开具的证明文件。如属于依法不需要缴交或缓交个税或社保的，则同时提供人员依法不需要缴交或缓交个税或社保的证明及在供应商单位的劳动合同证明；如属于退休返聘人员，则同时提供人员的退休证及与供应商单位的劳动合同（或返聘协议或同类的合同/协议）证明）。未提供证明材料，或提供的证明材料不全，或提供的证明材料均不能反映相关评审内容的，对应评审项不得分。</w:t>
            </w:r>
          </w:p>
        </w:tc>
      </w:tr>
      <w:tr>
        <w:tc>
          <w:tcPr>
            <w:tcW w:type="dxa" w:w="922"/>
            <w:gridSpan w:val="2"/>
            <w:vMerge/>
          </w:tcPr>
          <w:p/>
        </w:tc>
        <w:tc>
          <w:tcPr>
            <w:tcW w:type="dxa" w:w="2307"/>
          </w:tcPr>
          <w:p>
            <w:pPr>
              <w:pStyle w:val="null3"/>
              <w:jc w:val="left"/>
            </w:pPr>
            <w:r>
              <w:rPr/>
              <w:t>拟投入的项目团队成员（项目负责人除外）情况 (6.0分)</w:t>
            </w:r>
          </w:p>
        </w:tc>
        <w:tc>
          <w:tcPr>
            <w:tcW w:type="dxa" w:w="5076"/>
          </w:tcPr>
          <w:p>
            <w:pPr>
              <w:pStyle w:val="null3"/>
              <w:jc w:val="left"/>
            </w:pPr>
            <w:r>
              <w:rPr/>
              <w:t>根据投标人提供的拟投入的项目团队成员（项目负责人除外）情况进行评审： 1.具有网络工程师或信息安全工程师或信息系统项目管理师或网络规划设计师证书，每提供一人得1分，本项最高得3分； 提供证书复印件，以总得分最高的原则同一人提供多项证书只计一次分。 2.具有信息化项目工作经验的，每提供一人得1分，本项最高得3分。.项目经验证明材料以项目验收报告或项目合同关键页（显示项目名称、主要内容、参与项目人员信息等）复印件（或扫描件）并加盖投标人公章；如证明材料体现不了项目人员姓名的，则需提供甲方或甲方项目主管部门盖章的证明资料。 1.2.项注：本项最高得6分。同一人员同时符合1和2的，可计两次分。须提供对应人员自2025年1月1日以来任意一个月人员在供应商单位的代缴个税税单或参加社会保险的《投保单》或《社会保险参保人员证明》等（事业单位可提供单位人事部门开具的证明文件。如属于依法不需要缴交或缓交个税或社保的，则同时提供人员依法不需要缴交或缓交个税或社保的证明及在供应商单位的劳动合同证明；如属于退休返聘人员，则同时提供人员的退休证及与供应商单位的劳动合同（或返聘协议或同类的合同/协议）证明）。未提供证明材料，或提供的证明材料不全，或提供的证明材料均不能反映相关评审内容的，对应评审项不得分。</w:t>
            </w:r>
          </w:p>
        </w:tc>
      </w:tr>
      <w:tr>
        <w:tc>
          <w:tcPr>
            <w:tcW w:type="dxa" w:w="922"/>
            <w:gridSpan w:val="2"/>
            <w:vMerge/>
          </w:tcPr>
          <w:p/>
        </w:tc>
        <w:tc>
          <w:tcPr>
            <w:tcW w:type="dxa" w:w="2307"/>
          </w:tcPr>
          <w:p>
            <w:pPr>
              <w:pStyle w:val="null3"/>
              <w:jc w:val="left"/>
            </w:pPr>
            <w:r>
              <w:rPr/>
              <w:t>供应商同类业绩 (6.0分)</w:t>
            </w:r>
          </w:p>
        </w:tc>
        <w:tc>
          <w:tcPr>
            <w:tcW w:type="dxa" w:w="5076"/>
          </w:tcPr>
          <w:p>
            <w:pPr>
              <w:pStyle w:val="null3"/>
              <w:jc w:val="left"/>
            </w:pPr>
            <w:r>
              <w:rPr/>
              <w:t>供应商2021年至今承担过同类项目（同类项目指网络安全运营或硬件运维）案例。每提供一个得2分，最高得6分。注：投标人需提供合同关键页（含签订合同双方的单位名称、合同项目名称与含签订合同双方的落款盖章、签订日期的关键页）扫描件作为证明资料，并加盖公章，不提供不得分。</w:t>
            </w:r>
          </w:p>
        </w:tc>
      </w:tr>
      <w:tr>
        <w:tc>
          <w:tcPr>
            <w:tcW w:type="dxa" w:w="922"/>
            <w:gridSpan w:val="2"/>
            <w:vMerge/>
          </w:tcPr>
          <w:p/>
        </w:tc>
        <w:tc>
          <w:tcPr>
            <w:tcW w:type="dxa" w:w="2307"/>
          </w:tcPr>
          <w:p>
            <w:pPr>
              <w:pStyle w:val="null3"/>
              <w:jc w:val="left"/>
            </w:pPr>
            <w:r>
              <w:rPr/>
              <w:t>满意度评价 (3.0分)</w:t>
            </w:r>
          </w:p>
        </w:tc>
        <w:tc>
          <w:tcPr>
            <w:tcW w:type="dxa" w:w="5076"/>
          </w:tcPr>
          <w:p>
            <w:pPr>
              <w:pStyle w:val="null3"/>
              <w:jc w:val="left"/>
            </w:pPr>
            <w:r>
              <w:rPr/>
              <w:t>上述（投标人同类项目业绩）有效计分的业绩中获得正面评价（优秀、优良、良好、满意或相当于正面评价），且评价文件体现评价单位联系人及联系方式的（如未体现的，供应商须另行提供评价单位的联系人及联系方式）。每份得1分，最高得3分。 注：同一项目按一份计算，不重复计算分数。提供合同甲方或甲方项目主管部门盖章的评价文件。评价文件未体现评价单位联系人及联系方式且供应商未提供评价单位的联系人及联系方式，对应的评价文件不得分。</w:t>
            </w:r>
          </w:p>
        </w:tc>
      </w:tr>
      <w:tr>
        <w:tc>
          <w:tcPr>
            <w:tcW w:type="dxa" w:w="922"/>
            <w:gridSpan w:val="2"/>
            <w:vMerge/>
          </w:tcPr>
          <w:p/>
        </w:tc>
        <w:tc>
          <w:tcPr>
            <w:tcW w:type="dxa" w:w="2307"/>
          </w:tcPr>
          <w:p>
            <w:pPr>
              <w:pStyle w:val="null3"/>
              <w:jc w:val="left"/>
            </w:pPr>
            <w:r>
              <w:rPr/>
              <w:t>售后服务响应时间 (6.0分)</w:t>
            </w:r>
          </w:p>
        </w:tc>
        <w:tc>
          <w:tcPr>
            <w:tcW w:type="dxa" w:w="5076"/>
          </w:tcPr>
          <w:p>
            <w:pPr>
              <w:pStyle w:val="null3"/>
              <w:jc w:val="left"/>
            </w:pPr>
            <w:r>
              <w:rPr/>
              <w:t>投标人在采购人提出服务要求后承诺的响应（给予解答、指导、并排除有关问题）时间速度： （1）收到采购人通知（电话或书面）后1小时内（含1小时）响应的，得6分； （2）收到采购人通知（电话或书面）后超过1小时且不超过2小时内（含2小时）响应的，得4分； （3）收到采购人通知（电话或书面）后超过2小时且不超过3小时内（含3小时）响应的，得1分；（4）收到采购人通知（电话或书面）后超过3小时且6小时内（含6小时）响应的，得0.5分； （5）收到采购人通知（电话或书面）后超过6小时（不含6小时）响应的，不得分。注：需提供加盖投标人公章的服务承诺函（可参考“投标文件格式”中《承诺函》格式，函中须清晰注明响应时间）。</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ind w:firstLine="3150"/>
        <w:jc w:val="both"/>
      </w:pPr>
      <w:r>
        <w:rPr>
          <w:sz w:val="21"/>
        </w:rPr>
        <w:t>合同编号：</w:t>
      </w:r>
    </w:p>
    <w:p>
      <w:pPr>
        <w:pStyle w:val="null3"/>
        <w:jc w:val="both"/>
      </w:pPr>
      <w:r>
        <w:rPr>
          <w:sz w:val="21"/>
          <w:b/>
        </w:rPr>
        <w:t>广东省土地调查规划院</w:t>
      </w:r>
    </w:p>
    <w:p>
      <w:pPr>
        <w:pStyle w:val="null3"/>
        <w:jc w:val="center"/>
      </w:pPr>
      <w:r>
        <w:rPr>
          <w:sz w:val="21"/>
          <w:b/>
        </w:rPr>
        <w:t>委托合同</w:t>
      </w:r>
    </w:p>
    <w:p>
      <w:pPr>
        <w:pStyle w:val="null3"/>
        <w:jc w:val="both"/>
      </w:pPr>
      <w:r>
        <w:rPr>
          <w:sz w:val="21"/>
        </w:rPr>
        <w:t>项目名称：</w:t>
      </w:r>
      <w:r>
        <w:rPr>
          <w:sz w:val="21"/>
          <w:u w:val="single"/>
        </w:rPr>
        <w:t>广东省土地调查规划院网络安全运营及机房硬件运维服务（2025年）</w:t>
      </w:r>
    </w:p>
    <w:p>
      <w:pPr>
        <w:pStyle w:val="null3"/>
        <w:ind w:left="1110"/>
        <w:jc w:val="left"/>
      </w:pPr>
      <w:r>
        <w:rPr>
          <w:sz w:val="21"/>
        </w:rPr>
        <w:t>项目起止时间：</w:t>
      </w:r>
      <w:r>
        <w:rPr>
          <w:sz w:val="21"/>
          <w:u w:val="single"/>
        </w:rPr>
        <w:t xml:space="preserve"> 2025年6月16日至 2026年6月15日</w:t>
      </w:r>
    </w:p>
    <w:p>
      <w:pPr>
        <w:pStyle w:val="null3"/>
        <w:ind w:left="1110"/>
        <w:jc w:val="left"/>
      </w:pPr>
      <w:r>
        <w:rPr>
          <w:sz w:val="21"/>
        </w:rPr>
        <w:t>委托方（甲方）：</w:t>
      </w:r>
      <w:r>
        <w:rPr>
          <w:sz w:val="21"/>
          <w:u w:val="single"/>
        </w:rPr>
        <w:t>广东省土地调查规划院</w:t>
      </w:r>
    </w:p>
    <w:p>
      <w:pPr>
        <w:pStyle w:val="null3"/>
        <w:ind w:left="1110"/>
        <w:jc w:val="left"/>
      </w:pPr>
      <w:r>
        <w:rPr>
          <w:sz w:val="21"/>
        </w:rPr>
        <w:t>受托方（乙方）：</w:t>
      </w:r>
    </w:p>
    <w:p>
      <w:pPr>
        <w:pStyle w:val="null3"/>
        <w:jc w:val="both"/>
      </w:pPr>
      <w:r>
        <w:rPr>
          <w:sz w:val="21"/>
        </w:rPr>
        <w:t>委托方（甲方）：</w:t>
      </w:r>
      <w:r>
        <w:rPr>
          <w:sz w:val="21"/>
          <w:u w:val="single"/>
        </w:rPr>
        <w:t>广东省土地调查规划院</w:t>
      </w:r>
    </w:p>
    <w:p>
      <w:pPr>
        <w:pStyle w:val="null3"/>
        <w:jc w:val="both"/>
      </w:pPr>
      <w:r>
        <w:rPr>
          <w:sz w:val="21"/>
        </w:rPr>
        <w:t>联系人：</w:t>
      </w:r>
      <w:r>
        <w:rPr>
          <w:sz w:val="21"/>
          <w:u w:val="single"/>
        </w:rPr>
        <w:t xml:space="preserve">  莫登海 </w:t>
      </w:r>
    </w:p>
    <w:p>
      <w:pPr>
        <w:pStyle w:val="null3"/>
        <w:jc w:val="both"/>
      </w:pPr>
      <w:r>
        <w:rPr>
          <w:sz w:val="21"/>
        </w:rPr>
        <w:t>联系电话：</w:t>
      </w:r>
      <w:r>
        <w:rPr>
          <w:sz w:val="21"/>
          <w:u w:val="single"/>
        </w:rPr>
        <w:t xml:space="preserve">  15975578317  </w:t>
      </w:r>
    </w:p>
    <w:p>
      <w:pPr>
        <w:pStyle w:val="null3"/>
        <w:jc w:val="both"/>
      </w:pPr>
      <w:r>
        <w:rPr>
          <w:sz w:val="21"/>
        </w:rPr>
        <w:t>传真：</w:t>
      </w:r>
    </w:p>
    <w:p>
      <w:pPr>
        <w:pStyle w:val="null3"/>
        <w:jc w:val="both"/>
      </w:pPr>
      <w:r>
        <w:rPr>
          <w:sz w:val="21"/>
        </w:rPr>
        <w:t>电子邮箱：</w:t>
      </w:r>
    </w:p>
    <w:p>
      <w:pPr>
        <w:pStyle w:val="null3"/>
        <w:jc w:val="both"/>
      </w:pPr>
      <w:r>
        <w:rPr>
          <w:sz w:val="21"/>
        </w:rPr>
        <w:t>受托方（乙方）：</w:t>
      </w:r>
    </w:p>
    <w:p>
      <w:pPr>
        <w:pStyle w:val="null3"/>
        <w:jc w:val="both"/>
      </w:pPr>
      <w:r>
        <w:rPr>
          <w:sz w:val="21"/>
        </w:rPr>
        <w:t>联系人：</w:t>
      </w:r>
    </w:p>
    <w:p>
      <w:pPr>
        <w:pStyle w:val="null3"/>
        <w:jc w:val="both"/>
      </w:pPr>
      <w:r>
        <w:rPr>
          <w:sz w:val="21"/>
        </w:rPr>
        <w:t>联系电话：</w:t>
      </w:r>
    </w:p>
    <w:p>
      <w:pPr>
        <w:pStyle w:val="null3"/>
        <w:jc w:val="both"/>
      </w:pPr>
      <w:r>
        <w:rPr>
          <w:sz w:val="21"/>
        </w:rPr>
        <w:t>传真：/</w:t>
      </w:r>
    </w:p>
    <w:p>
      <w:pPr>
        <w:pStyle w:val="null3"/>
        <w:jc w:val="both"/>
      </w:pPr>
      <w:r>
        <w:rPr>
          <w:sz w:val="21"/>
        </w:rPr>
        <w:t>电子邮箱：</w:t>
      </w:r>
    </w:p>
    <w:p>
      <w:pPr>
        <w:pStyle w:val="null3"/>
        <w:jc w:val="both"/>
      </w:pPr>
      <w:r>
        <w:rPr>
          <w:sz w:val="21"/>
          <w:u w:val="single"/>
        </w:rPr>
        <w:t>根据《中华人民共和国民法典》及其他有关法律、法规规定，在平等、自愿、协商一致的基础上，甲、乙双方就乙方承担甲方</w:t>
      </w:r>
      <w:r>
        <w:rPr>
          <w:sz w:val="21"/>
          <w:u w:val="single"/>
        </w:rPr>
        <w:t>广东省土地调查规划院网络安全运营及机房硬件运维服务（2025年）项目有关事务达成以下协议：</w:t>
      </w:r>
    </w:p>
    <w:p>
      <w:pPr>
        <w:pStyle w:val="null3"/>
        <w:ind w:firstLine="422"/>
        <w:jc w:val="both"/>
      </w:pPr>
      <w:r>
        <w:rPr>
          <w:sz w:val="21"/>
          <w:b/>
        </w:rPr>
        <w:t>第一条 技术服务目标和内容</w:t>
      </w:r>
    </w:p>
    <w:p>
      <w:pPr>
        <w:pStyle w:val="null3"/>
        <w:jc w:val="both"/>
      </w:pPr>
      <w:r>
        <w:rPr>
          <w:sz w:val="21"/>
        </w:rPr>
        <w:t>项目周期内提供网络安全运行服务、专项安全测评服务、机房硬件运维服务，保障规划院网络安全及机房运行。</w:t>
      </w:r>
    </w:p>
    <w:p>
      <w:pPr>
        <w:pStyle w:val="null3"/>
        <w:jc w:val="both"/>
      </w:pPr>
      <w:r>
        <w:rPr>
          <w:sz w:val="21"/>
          <w:color w:val="000000"/>
        </w:rPr>
        <w:t>（一）网络安全运行服务</w:t>
      </w:r>
    </w:p>
    <w:p>
      <w:pPr>
        <w:pStyle w:val="null3"/>
        <w:jc w:val="both"/>
      </w:pPr>
      <w:r>
        <w:rPr>
          <w:sz w:val="21"/>
          <w:color w:val="000000"/>
        </w:rPr>
        <w:t>1.</w:t>
      </w:r>
      <w:r>
        <w:rPr>
          <w:sz w:val="21"/>
          <w:color w:val="000000"/>
        </w:rPr>
        <w:t>行业攻防演练驻场服务：协助甲方参与上级单位组织开展的应急演练活动，攻防演练前对甲方网络信息资产的加固整顿，提前做好攻防演练准备。网络安全攻防演练期间，提供</w:t>
      </w:r>
      <w:r>
        <w:rPr>
          <w:sz w:val="21"/>
        </w:rPr>
        <w:t>网络安全值守服务，协助甲方进行防守。</w:t>
      </w:r>
    </w:p>
    <w:p>
      <w:pPr>
        <w:pStyle w:val="null3"/>
        <w:jc w:val="both"/>
      </w:pPr>
      <w:r>
        <w:rPr>
          <w:sz w:val="21"/>
        </w:rPr>
        <w:t>2.</w:t>
      </w:r>
      <w:r>
        <w:rPr>
          <w:sz w:val="21"/>
        </w:rPr>
        <w:t>应急响应服务：提供网络安全应急响应服务，及时处置网络安全事件。项目周期内开展不少于</w:t>
      </w:r>
      <w:r>
        <w:rPr>
          <w:sz w:val="21"/>
        </w:rPr>
        <w:t>2</w:t>
      </w:r>
      <w:r>
        <w:rPr>
          <w:sz w:val="21"/>
        </w:rPr>
        <w:t>次应急演练。</w:t>
      </w:r>
    </w:p>
    <w:p>
      <w:pPr>
        <w:pStyle w:val="null3"/>
        <w:jc w:val="both"/>
      </w:pPr>
      <w:r>
        <w:rPr>
          <w:sz w:val="21"/>
        </w:rPr>
        <w:t>3.</w:t>
      </w:r>
      <w:r>
        <w:rPr>
          <w:sz w:val="21"/>
        </w:rPr>
        <w:t>重保服务：</w:t>
      </w:r>
      <w:r>
        <w:rPr>
          <w:sz w:val="21"/>
          <w:color w:val="000000"/>
        </w:rPr>
        <w:t>为确保甲方国土空间规划</w:t>
      </w:r>
      <w:r>
        <w:rPr>
          <w:sz w:val="21"/>
          <w:color w:val="000000"/>
        </w:rPr>
        <w:t>“</w:t>
      </w:r>
      <w:r>
        <w:rPr>
          <w:sz w:val="21"/>
          <w:color w:val="000000"/>
        </w:rPr>
        <w:t>一张图</w:t>
      </w:r>
      <w:r>
        <w:rPr>
          <w:sz w:val="21"/>
          <w:color w:val="000000"/>
        </w:rPr>
        <w:t>”</w:t>
      </w:r>
      <w:r>
        <w:rPr>
          <w:sz w:val="21"/>
          <w:color w:val="000000"/>
        </w:rPr>
        <w:t>实施监督信息系统业务及网络安全稳定，重大活动期间进行</w:t>
      </w:r>
      <w:r>
        <w:rPr>
          <w:sz w:val="21"/>
          <w:color w:val="000000"/>
        </w:rPr>
        <w:t>7*24</w:t>
      </w:r>
      <w:r>
        <w:rPr>
          <w:sz w:val="21"/>
          <w:color w:val="000000"/>
        </w:rPr>
        <w:t>小时值守，保障重要时期的网络安全</w:t>
      </w:r>
      <w:r>
        <w:rPr>
          <w:sz w:val="21"/>
        </w:rPr>
        <w:t>。</w:t>
      </w:r>
    </w:p>
    <w:p>
      <w:pPr>
        <w:pStyle w:val="null3"/>
        <w:jc w:val="both"/>
      </w:pPr>
      <w:r>
        <w:rPr>
          <w:sz w:val="21"/>
        </w:rPr>
        <w:t>4.</w:t>
      </w:r>
      <w:r>
        <w:rPr>
          <w:sz w:val="21"/>
        </w:rPr>
        <w:t>网络安全监控服务：</w:t>
      </w:r>
      <w:r>
        <w:rPr>
          <w:sz w:val="21"/>
          <w:color w:val="000000"/>
        </w:rPr>
        <w:t>基于人机共智模式，对不同安全设备的安全日志、流量进行关联分析，通过安全专家主动识别网络和主机中的安全威胁，主动响应，协助甲方闭环处置安全事件。基于政务外网，建立威胁</w:t>
      </w:r>
      <w:r>
        <w:rPr>
          <w:sz w:val="21"/>
          <w:color w:val="000000"/>
        </w:rPr>
        <w:t>7*24</w:t>
      </w:r>
      <w:r>
        <w:rPr>
          <w:sz w:val="21"/>
          <w:color w:val="000000"/>
        </w:rPr>
        <w:t>小时的持续监测机制，帮助甲方将信息安全事件关口前移，并提供安全威胁的修复协助与指导。</w:t>
      </w:r>
    </w:p>
    <w:p>
      <w:pPr>
        <w:pStyle w:val="null3"/>
        <w:jc w:val="both"/>
      </w:pPr>
      <w:r>
        <w:rPr>
          <w:sz w:val="21"/>
          <w:color w:val="000000"/>
        </w:rPr>
        <w:t>5.</w:t>
      </w:r>
      <w:r>
        <w:rPr>
          <w:sz w:val="21"/>
          <w:color w:val="000000"/>
        </w:rPr>
        <w:t>漏洞扫描：对甲方的主机、操作系统（约</w:t>
      </w:r>
      <w:r>
        <w:rPr>
          <w:sz w:val="21"/>
          <w:color w:val="000000"/>
        </w:rPr>
        <w:t>200</w:t>
      </w:r>
      <w:r>
        <w:rPr>
          <w:sz w:val="21"/>
          <w:color w:val="000000"/>
        </w:rPr>
        <w:t>个操作系统）提供漏洞扫描服务，筛选高可信漏洞，输出漏扫报告。至少每两个月开展一次。</w:t>
      </w:r>
    </w:p>
    <w:p>
      <w:pPr>
        <w:pStyle w:val="null3"/>
        <w:jc w:val="both"/>
      </w:pPr>
      <w:r>
        <w:rPr>
          <w:sz w:val="21"/>
          <w:color w:val="000000"/>
        </w:rPr>
        <w:t>6.</w:t>
      </w:r>
      <w:r>
        <w:rPr>
          <w:sz w:val="21"/>
          <w:color w:val="000000"/>
        </w:rPr>
        <w:t>网络安全漏洞修复与整改加固：针对甲方的信息系统或操作系统相关安全检查报告，制定整改加固方案，协助甲方完成整改。</w:t>
      </w:r>
    </w:p>
    <w:p>
      <w:pPr>
        <w:pStyle w:val="null3"/>
        <w:jc w:val="both"/>
      </w:pPr>
      <w:r>
        <w:rPr>
          <w:sz w:val="21"/>
          <w:color w:val="000000"/>
        </w:rPr>
        <w:t>7.</w:t>
      </w:r>
      <w:r>
        <w:rPr>
          <w:sz w:val="21"/>
        </w:rPr>
        <w:t>网络安全设备病毒库更新服务：对甲方现有的网络安全设备（详见以下清单）提供病毒库更新升级服务（</w:t>
      </w:r>
      <w:r>
        <w:rPr>
          <w:sz w:val="21"/>
        </w:rPr>
        <w:t>1</w:t>
      </w:r>
      <w:r>
        <w:rPr>
          <w:sz w:val="21"/>
        </w:rPr>
        <w:t>年授权）。</w:t>
      </w:r>
    </w:p>
    <w:tbl>
      <w:tblPr>
        <w:tblW w:w="0" w:type="auto"/>
        <w:tblBorders>
          <w:top w:val="single"/>
          <w:left w:val="single"/>
          <w:bottom w:val="single"/>
          <w:right w:val="single"/>
          <w:insideH w:val="single"/>
          <w:insideV w:val="single"/>
        </w:tblBorders>
      </w:tblPr>
      <w:tblGrid>
        <w:gridCol w:w="1510"/>
        <w:gridCol w:w="2014"/>
        <w:gridCol w:w="1510"/>
        <w:gridCol w:w="3272"/>
      </w:tblGrid>
      <w:tr>
        <w:tc>
          <w:tcPr>
            <w:tcW w:type="dxa" w:w="15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设备</w:t>
            </w:r>
          </w:p>
        </w:tc>
        <w:tc>
          <w:tcPr>
            <w:tcW w:type="dxa" w:w="20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型号</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版本</w:t>
            </w:r>
          </w:p>
        </w:tc>
        <w:tc>
          <w:tcPr>
            <w:tcW w:type="dxa" w:w="32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序列号</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2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AF-2000-FH2250B</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8.0.95</w:t>
            </w:r>
          </w:p>
        </w:tc>
        <w:tc>
          <w:tcPr>
            <w:tcW w:type="dxa" w:w="3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50FE9F8E</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2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AF-2000-FH2250B</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8.0.95</w:t>
            </w:r>
          </w:p>
        </w:tc>
        <w:tc>
          <w:tcPr>
            <w:tcW w:type="dxa" w:w="3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62735995</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上网行为管理</w:t>
            </w:r>
          </w:p>
        </w:tc>
        <w:tc>
          <w:tcPr>
            <w:tcW w:type="dxa" w:w="2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AC-1000-B2100Y</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13.0.47</w:t>
            </w:r>
          </w:p>
        </w:tc>
        <w:tc>
          <w:tcPr>
            <w:tcW w:type="dxa" w:w="3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41C4E7A6</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2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AF-2000-FH2250B</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8.0.75</w:t>
            </w:r>
          </w:p>
        </w:tc>
        <w:tc>
          <w:tcPr>
            <w:tcW w:type="dxa" w:w="3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E8FD9F08</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防火墙</w:t>
            </w:r>
          </w:p>
        </w:tc>
        <w:tc>
          <w:tcPr>
            <w:tcW w:type="dxa" w:w="2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AF-2000-B2130</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8.0.48</w:t>
            </w:r>
          </w:p>
        </w:tc>
        <w:tc>
          <w:tcPr>
            <w:tcW w:type="dxa" w:w="3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62ABD227</w:t>
            </w:r>
          </w:p>
        </w:tc>
      </w:tr>
      <w:tr>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EDR</w:t>
            </w:r>
          </w:p>
        </w:tc>
        <w:tc>
          <w:tcPr>
            <w:tcW w:type="dxa" w:w="20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w:t>
            </w:r>
            <w:r>
              <w:rPr>
                <w:sz w:val="21"/>
              </w:rPr>
              <w:t>EDR-V100</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3.7.12</w:t>
            </w:r>
          </w:p>
        </w:tc>
        <w:tc>
          <w:tcPr>
            <w:tcW w:type="dxa" w:w="3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1360737625</w:t>
            </w:r>
          </w:p>
        </w:tc>
      </w:tr>
    </w:tbl>
    <w:p>
      <w:pPr>
        <w:pStyle w:val="null3"/>
        <w:jc w:val="both"/>
      </w:pPr>
      <w:r>
        <w:rPr>
          <w:sz w:val="21"/>
          <w:color w:val="000000"/>
        </w:rPr>
        <w:t>（二）专项安全测评服务</w:t>
      </w:r>
    </w:p>
    <w:p>
      <w:pPr>
        <w:pStyle w:val="null3"/>
        <w:jc w:val="both"/>
      </w:pPr>
      <w:r>
        <w:rPr>
          <w:sz w:val="21"/>
          <w:color w:val="000000"/>
        </w:rPr>
        <w:t>1.</w:t>
      </w:r>
      <w:r>
        <w:rPr>
          <w:sz w:val="21"/>
          <w:color w:val="000000"/>
        </w:rPr>
        <w:t>应用系统渗透测试：对甲方指定的信息系统，开展渗透测试，输出渗透测试报告。每季度开展一次。</w:t>
      </w:r>
    </w:p>
    <w:p>
      <w:pPr>
        <w:pStyle w:val="null3"/>
        <w:jc w:val="both"/>
      </w:pPr>
      <w:r>
        <w:rPr>
          <w:sz w:val="21"/>
        </w:rPr>
        <w:t>2.</w:t>
      </w:r>
      <w:r>
        <w:rPr>
          <w:sz w:val="21"/>
          <w:color w:val="000000"/>
        </w:rPr>
        <w:t>信息安全风险评估服务：对甲方的网络环境、信息系统、管理制度进行分析评估，形成评估报告。每季度开展一次。</w:t>
      </w:r>
    </w:p>
    <w:p>
      <w:pPr>
        <w:pStyle w:val="null3"/>
        <w:jc w:val="both"/>
      </w:pPr>
      <w:r>
        <w:rPr>
          <w:sz w:val="21"/>
        </w:rPr>
        <w:t>（三）机房硬件运维服务</w:t>
      </w:r>
    </w:p>
    <w:p>
      <w:pPr>
        <w:pStyle w:val="null3"/>
        <w:jc w:val="both"/>
      </w:pPr>
      <w:r>
        <w:rPr>
          <w:sz w:val="21"/>
        </w:rPr>
        <w:t>1.</w:t>
      </w:r>
      <w:r>
        <w:rPr>
          <w:sz w:val="21"/>
        </w:rPr>
        <w:t>机房基础设施巡检：定期对甲方机房基础设施巡检，包括供配电系统、</w:t>
      </w:r>
      <w:r>
        <w:rPr>
          <w:sz w:val="21"/>
        </w:rPr>
        <w:t>UPS</w:t>
      </w:r>
      <w:r>
        <w:rPr>
          <w:sz w:val="21"/>
        </w:rPr>
        <w:t>系统、空调通风系统、综合监控系统（环境监控系统、</w:t>
      </w:r>
      <w:r>
        <w:rPr>
          <w:sz w:val="21"/>
        </w:rPr>
        <w:t>KVM</w:t>
      </w:r>
      <w:r>
        <w:rPr>
          <w:sz w:val="21"/>
        </w:rPr>
        <w:t>系统</w:t>
      </w:r>
      <w:r>
        <w:rPr>
          <w:sz w:val="21"/>
        </w:rPr>
        <w:t>)</w:t>
      </w:r>
      <w:r>
        <w:rPr>
          <w:sz w:val="21"/>
        </w:rPr>
        <w:t>、机柜和综合布线系统、消防系统（火灾自动报警和气体灭火系统</w:t>
      </w:r>
      <w:r>
        <w:rPr>
          <w:sz w:val="21"/>
        </w:rPr>
        <w:t>)</w:t>
      </w:r>
      <w:r>
        <w:rPr>
          <w:sz w:val="21"/>
        </w:rPr>
        <w:t>、接地及防雷系统等，及其附带的各类系统，并对机房环境清洁。至少每月开展两次。</w:t>
      </w:r>
    </w:p>
    <w:p>
      <w:pPr>
        <w:pStyle w:val="null3"/>
        <w:jc w:val="both"/>
      </w:pPr>
      <w:r>
        <w:rPr>
          <w:sz w:val="21"/>
        </w:rPr>
        <w:t>2.</w:t>
      </w:r>
      <w:r>
        <w:rPr>
          <w:sz w:val="21"/>
        </w:rPr>
        <w:t>设备巡检：定期对甲方机房内所有生产、网络及安全设备巡检。至少每月开展两次。</w:t>
      </w:r>
    </w:p>
    <w:p>
      <w:pPr>
        <w:pStyle w:val="null3"/>
        <w:jc w:val="both"/>
      </w:pPr>
      <w:r>
        <w:rPr>
          <w:sz w:val="21"/>
        </w:rPr>
        <w:t>3.</w:t>
      </w:r>
      <w:r>
        <w:rPr>
          <w:sz w:val="21"/>
        </w:rPr>
        <w:t>网络线路巡检：定期对甲方机房与各办公室之间的网络线路巡检，确保网络通畅。至少每月开展两次。</w:t>
      </w:r>
    </w:p>
    <w:p>
      <w:pPr>
        <w:pStyle w:val="null3"/>
        <w:jc w:val="both"/>
      </w:pPr>
      <w:r>
        <w:rPr>
          <w:sz w:val="21"/>
        </w:rPr>
        <w:t>4.</w:t>
      </w:r>
      <w:r>
        <w:rPr>
          <w:sz w:val="21"/>
        </w:rPr>
        <w:t>故障处理：在出现故障时，根据故障等级采取相应的措施，及时排除故障。</w:t>
      </w:r>
    </w:p>
    <w:p>
      <w:pPr>
        <w:pStyle w:val="null3"/>
        <w:jc w:val="both"/>
      </w:pPr>
      <w:r>
        <w:rPr>
          <w:sz w:val="21"/>
        </w:rPr>
        <w:t>5.</w:t>
      </w:r>
      <w:r>
        <w:rPr>
          <w:sz w:val="21"/>
        </w:rPr>
        <w:t>资产登记、归档：协助甲方对机房新旧设备进行资产登记、归档，建立并定期维护设备清单台账。</w:t>
      </w:r>
    </w:p>
    <w:p>
      <w:pPr>
        <w:pStyle w:val="null3"/>
        <w:jc w:val="both"/>
      </w:pPr>
      <w:r>
        <w:rPr>
          <w:sz w:val="21"/>
        </w:rPr>
        <w:t>6.</w:t>
      </w:r>
      <w:r>
        <w:rPr>
          <w:sz w:val="21"/>
        </w:rPr>
        <w:t>设备安装：机房内如有新设备需要协助我院工作人员进行安装、上架，并做好详细记录。</w:t>
      </w:r>
    </w:p>
    <w:p>
      <w:pPr>
        <w:pStyle w:val="null3"/>
        <w:jc w:val="both"/>
      </w:pPr>
      <w:r>
        <w:rPr>
          <w:sz w:val="21"/>
        </w:rPr>
        <w:t>7.</w:t>
      </w:r>
      <w:r>
        <w:rPr>
          <w:sz w:val="21"/>
        </w:rPr>
        <w:t>技术支持：主要是解决机房在运行过程中遇到的技术问题，提供咨询、方案编写、技术支援等服务。</w:t>
      </w:r>
    </w:p>
    <w:p>
      <w:pPr>
        <w:pStyle w:val="null3"/>
        <w:jc w:val="both"/>
      </w:pPr>
      <w:r>
        <w:rPr>
          <w:sz w:val="21"/>
        </w:rPr>
        <w:t>8.</w:t>
      </w:r>
      <w:r>
        <w:rPr>
          <w:sz w:val="21"/>
        </w:rPr>
        <w:t>日常事务处理：协助处理台式机、笔记本电脑运维及其他相关事务。</w:t>
      </w:r>
    </w:p>
    <w:p>
      <w:pPr>
        <w:pStyle w:val="null3"/>
        <w:jc w:val="both"/>
      </w:pPr>
      <w:r>
        <w:rPr>
          <w:sz w:val="21"/>
        </w:rPr>
        <w:t>9.</w:t>
      </w:r>
      <w:r>
        <w:rPr>
          <w:sz w:val="21"/>
        </w:rPr>
        <w:t>配件更换服务：</w:t>
      </w:r>
    </w:p>
    <w:p>
      <w:pPr>
        <w:pStyle w:val="null3"/>
        <w:ind w:firstLine="480"/>
        <w:jc w:val="both"/>
      </w:pPr>
      <w:r>
        <w:rPr>
          <w:sz w:val="21"/>
        </w:rPr>
        <w:t>（</w:t>
      </w:r>
      <w:r>
        <w:rPr>
          <w:sz w:val="21"/>
        </w:rPr>
        <w:t>1</w:t>
      </w:r>
      <w:r>
        <w:rPr>
          <w:sz w:val="21"/>
        </w:rPr>
        <w:t>）设备故障需要更换配件材料时，由乙方（成交人）负责更换，且不再收取配件材料的成本费、维护费和安装费。所更换的配件应与原产品同等或优于原产品及应符合相关标准，满足设备性能要求，需提供一年的保修服务；</w:t>
      </w:r>
    </w:p>
    <w:p>
      <w:pPr>
        <w:pStyle w:val="null3"/>
        <w:ind w:firstLine="480"/>
        <w:jc w:val="both"/>
      </w:pPr>
      <w:r>
        <w:rPr>
          <w:sz w:val="21"/>
        </w:rPr>
        <w:t>（</w:t>
      </w:r>
      <w:r>
        <w:rPr>
          <w:sz w:val="21"/>
        </w:rPr>
        <w:t>2</w:t>
      </w:r>
      <w:r>
        <w:rPr>
          <w:sz w:val="21"/>
        </w:rPr>
        <w:t>）在运维期间，若设备发生故障且两天内难以修复，经双方协商，由乙方（成交人）提供备用机，以保证业主方系统正常使用；</w:t>
      </w:r>
    </w:p>
    <w:p>
      <w:pPr>
        <w:pStyle w:val="null3"/>
        <w:ind w:firstLine="480"/>
        <w:jc w:val="both"/>
      </w:pPr>
      <w:r>
        <w:rPr>
          <w:sz w:val="21"/>
        </w:rPr>
        <w:t>（</w:t>
      </w:r>
      <w:r>
        <w:rPr>
          <w:sz w:val="21"/>
        </w:rPr>
        <w:t>3</w:t>
      </w:r>
      <w:r>
        <w:rPr>
          <w:sz w:val="21"/>
        </w:rPr>
        <w:t>）对于整机设备损坏无法通过更换零部件进行维修的情况，报告业主方，由业主方决定是否更换采购新型设备进行替补；</w:t>
      </w:r>
    </w:p>
    <w:p>
      <w:pPr>
        <w:pStyle w:val="null3"/>
        <w:ind w:firstLine="480"/>
        <w:jc w:val="both"/>
      </w:pPr>
      <w:r>
        <w:rPr>
          <w:sz w:val="21"/>
        </w:rPr>
        <w:t>（</w:t>
      </w:r>
      <w:r>
        <w:rPr>
          <w:sz w:val="21"/>
        </w:rPr>
        <w:t>4</w:t>
      </w:r>
      <w:r>
        <w:rPr>
          <w:sz w:val="21"/>
        </w:rPr>
        <w:t>）在维修约定范围内，乙方（成交人）有义务提供专业意见，解答关于系统问题。</w:t>
      </w:r>
    </w:p>
    <w:p>
      <w:pPr>
        <w:pStyle w:val="null3"/>
        <w:ind w:firstLine="480"/>
      </w:pPr>
      <w:r>
        <w:rPr>
          <w:sz w:val="21"/>
        </w:rPr>
        <w:t>（</w:t>
      </w:r>
      <w:r>
        <w:rPr>
          <w:sz w:val="21"/>
        </w:rPr>
        <w:t>5</w:t>
      </w:r>
      <w:r>
        <w:rPr>
          <w:sz w:val="21"/>
        </w:rPr>
        <w:t>）提供维修服务需形成维修记录表；</w:t>
      </w:r>
    </w:p>
    <w:p>
      <w:pPr>
        <w:pStyle w:val="null3"/>
        <w:jc w:val="both"/>
      </w:pPr>
      <w:r>
        <w:rPr>
          <w:sz w:val="21"/>
        </w:rPr>
        <w:t>10.</w:t>
      </w:r>
      <w:r>
        <w:rPr>
          <w:sz w:val="21"/>
        </w:rPr>
        <w:t>维护清单：</w:t>
      </w:r>
    </w:p>
    <w:tbl>
      <w:tblPr>
        <w:tblW w:w="0" w:type="auto"/>
        <w:tblBorders>
          <w:top w:val="none" w:color="000000" w:sz="4"/>
          <w:left w:val="none" w:color="000000" w:sz="4"/>
          <w:bottom w:val="none" w:color="000000" w:sz="4"/>
          <w:right w:val="none" w:color="000000" w:sz="4"/>
          <w:insideH w:val="none"/>
          <w:insideV w:val="none"/>
        </w:tblBorders>
      </w:tblPr>
      <w:tblGrid>
        <w:gridCol w:w="1028"/>
        <w:gridCol w:w="942"/>
        <w:gridCol w:w="1884"/>
        <w:gridCol w:w="1798"/>
        <w:gridCol w:w="2654"/>
      </w:tblGrid>
      <w:tr>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所属机房</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r>
              <w:rPr>
                <w:sz w:val="21"/>
                <w:b/>
              </w:rPr>
              <w:t>/</w:t>
            </w:r>
            <w:r>
              <w:rPr>
                <w:sz w:val="21"/>
                <w:b/>
              </w:rPr>
              <w:t>名称</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r>
              <w:rPr>
                <w:sz w:val="21"/>
                <w:b/>
              </w:rPr>
              <w:t>/</w:t>
            </w:r>
            <w:r>
              <w:rPr>
                <w:sz w:val="21"/>
                <w:b/>
              </w:rPr>
              <w:t>类别</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w:t>
            </w:r>
            <w:r>
              <w:rPr>
                <w:sz w:val="21"/>
              </w:rPr>
              <w:t>一</w:t>
            </w:r>
            <w:r>
              <w:rPr>
                <w:sz w:val="21"/>
              </w:rPr>
              <w:t>)</w:t>
            </w:r>
          </w:p>
        </w:tc>
        <w:tc>
          <w:tcPr>
            <w:tcW w:type="dxa" w:w="72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b/>
              </w:rPr>
              <w:t>机房基础环境运维</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精密空调</w:t>
            </w:r>
            <w:r>
              <w:rPr>
                <w:sz w:val="21"/>
              </w:rPr>
              <w:t>7.5KW-</w:t>
            </w:r>
            <w:r>
              <w:rPr>
                <w:sz w:val="21"/>
              </w:rPr>
              <w:t>科士达</w:t>
            </w:r>
            <w:r>
              <w:rPr>
                <w:sz w:val="21"/>
              </w:rPr>
              <w:t>ST007FAAAAONT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精密空调</w:t>
            </w:r>
            <w:r>
              <w:rPr>
                <w:sz w:val="21"/>
              </w:rPr>
              <w:t>20KW-</w:t>
            </w:r>
            <w:r>
              <w:rPr>
                <w:sz w:val="21"/>
              </w:rPr>
              <w:t>科士达</w:t>
            </w:r>
            <w:r>
              <w:rPr>
                <w:sz w:val="21"/>
              </w:rPr>
              <w:t>ST020FAACAONT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精密空调</w:t>
            </w:r>
            <w:r>
              <w:rPr>
                <w:sz w:val="21"/>
              </w:rPr>
              <w:t>12.5KW-</w:t>
            </w:r>
            <w:r>
              <w:rPr>
                <w:sz w:val="21"/>
              </w:rPr>
              <w:t>科士达</w:t>
            </w:r>
            <w:r>
              <w:rPr>
                <w:sz w:val="21"/>
              </w:rPr>
              <w:t>ST012AACANNT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精密空调</w:t>
            </w:r>
            <w:r>
              <w:rPr>
                <w:sz w:val="21"/>
              </w:rPr>
              <w:t>12.5KW-</w:t>
            </w:r>
            <w:r>
              <w:rPr>
                <w:sz w:val="21"/>
              </w:rPr>
              <w:t>艾默生</w:t>
            </w:r>
            <w:r>
              <w:rPr>
                <w:sz w:val="21"/>
              </w:rPr>
              <w:t xml:space="preserve"> KWDME12MHP5</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中央空调</w:t>
            </w:r>
            <w:r>
              <w:rPr>
                <w:sz w:val="21"/>
              </w:rPr>
              <w:t>3</w:t>
            </w:r>
            <w:r>
              <w:rPr>
                <w:sz w:val="21"/>
              </w:rPr>
              <w:t>匹天花机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r>
              <w:rPr>
                <w:sz w:val="21"/>
              </w:rPr>
              <w:t>UPS</w:t>
            </w:r>
            <w:r>
              <w:rPr>
                <w:sz w:val="21"/>
              </w:rPr>
              <w:t>系统</w:t>
            </w:r>
            <w:r>
              <w:rPr>
                <w:sz w:val="21"/>
              </w:rPr>
              <w:t>-YDC3340 40KVA/36kw</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小机房</w:t>
            </w:r>
            <w:r>
              <w:rPr>
                <w:sz w:val="21"/>
              </w:rPr>
              <w:t>UPS</w:t>
            </w:r>
            <w:r>
              <w:rPr>
                <w:sz w:val="21"/>
              </w:rPr>
              <w:t>系统</w:t>
            </w:r>
            <w:r>
              <w:rPr>
                <w:sz w:val="21"/>
              </w:rPr>
              <w:t>-YDC3330H 30KVA/27KW</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r>
              <w:rPr>
                <w:sz w:val="21"/>
              </w:rPr>
              <w:t>UPS</w:t>
            </w:r>
            <w:r>
              <w:rPr>
                <w:sz w:val="21"/>
              </w:rPr>
              <w:t>系统</w:t>
            </w:r>
            <w:r>
              <w:rPr>
                <w:sz w:val="21"/>
              </w:rPr>
              <w:t>-YTR3340-J</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动环系统</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气体消防系统</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金盾</w:t>
            </w:r>
            <w:r>
              <w:rPr>
                <w:sz w:val="21"/>
              </w:rPr>
              <w:t>42U</w:t>
            </w:r>
            <w:r>
              <w:rPr>
                <w:sz w:val="21"/>
              </w:rPr>
              <w:t>（含配电柜</w:t>
            </w:r>
            <w:r>
              <w:rPr>
                <w:sz w:val="21"/>
              </w:rPr>
              <w:t>\PDU</w:t>
            </w:r>
            <w:r>
              <w:rPr>
                <w:sz w:val="21"/>
              </w:rPr>
              <w: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气体消防系统</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机房配电系统（含配电柜）</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机房配电系统（含配电柜）</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迈拓</w:t>
            </w:r>
            <w:r>
              <w:rPr>
                <w:sz w:val="21"/>
              </w:rPr>
              <w:t>kvm</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MT-0801UK-CH</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迈拓</w:t>
            </w:r>
            <w:r>
              <w:rPr>
                <w:sz w:val="21"/>
              </w:rPr>
              <w:t>kvm</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MT-1601UK-CH</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机房人脸识别门禁</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海康威视</w:t>
            </w:r>
            <w:r>
              <w:rPr>
                <w:sz w:val="21"/>
              </w:rPr>
              <w:t>DS_x005f K1T671MF</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KVM</w:t>
            </w: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CL5716M</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w:t>
            </w:r>
            <w:r>
              <w:rPr>
                <w:sz w:val="21"/>
              </w:rPr>
              <w:t>42U</w:t>
            </w:r>
            <w:r>
              <w:rPr>
                <w:sz w:val="21"/>
              </w:rPr>
              <w:t>（含</w:t>
            </w:r>
            <w:r>
              <w:rPr>
                <w:sz w:val="21"/>
              </w:rPr>
              <w:t>PDU</w:t>
            </w:r>
            <w:r>
              <w:rPr>
                <w:sz w:val="21"/>
              </w:rPr>
              <w:t>）</w:t>
            </w:r>
            <w:r>
              <w:rPr>
                <w:sz w:val="21"/>
              </w:rPr>
              <w:t>+</w:t>
            </w:r>
            <w:r>
              <w:rPr>
                <w:sz w:val="21"/>
              </w:rPr>
              <w:t>门禁安防</w:t>
            </w:r>
            <w:r>
              <w:rPr>
                <w:sz w:val="21"/>
              </w:rPr>
              <w:t>+</w:t>
            </w:r>
            <w:r>
              <w:rPr>
                <w:sz w:val="21"/>
              </w:rPr>
              <w:t>防雷系统</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机房环境设施</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会议室</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98</w:t>
            </w:r>
            <w:r>
              <w:rPr>
                <w:sz w:val="21"/>
              </w:rPr>
              <w:t>寸一体机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安丽</w:t>
            </w:r>
            <w:r>
              <w:rPr>
                <w:sz w:val="21"/>
              </w:rPr>
              <w:t>AL-L98CRD/B</w:t>
            </w:r>
            <w:r>
              <w:rPr>
                <w:sz w:val="21"/>
              </w:rPr>
              <w:t>（含麦克风、录像机、音响设备）</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21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KVM</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神盾卫士</w:t>
            </w:r>
            <w:r>
              <w:rPr>
                <w:sz w:val="21"/>
              </w:rPr>
              <w:t>SLC-732I</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w:t>
            </w:r>
            <w:r>
              <w:rPr>
                <w:sz w:val="21"/>
              </w:rPr>
              <w:t>二</w:t>
            </w:r>
            <w:r>
              <w:rPr>
                <w:sz w:val="21"/>
              </w:rPr>
              <w:t>)</w:t>
            </w:r>
          </w:p>
        </w:tc>
        <w:tc>
          <w:tcPr>
            <w:tcW w:type="dxa" w:w="72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b/>
              </w:rPr>
              <w:t>硬件设备运维</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ThinkServer RD450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ThinkServer RD450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R730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IBM System X3650 M3</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ThinkServer RD450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ThinkServer RD450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5885H V5</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2288H V5</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MD3800I</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MD1200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R930</w:t>
            </w:r>
            <w:r>
              <w:rPr>
                <w:sz w:val="21"/>
              </w:rPr>
              <w:t>（长城）</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R930</w:t>
            </w:r>
            <w:r>
              <w:rPr>
                <w:sz w:val="21"/>
              </w:rPr>
              <w:t>（宝德</w:t>
            </w:r>
            <w:r>
              <w:rPr>
                <w:sz w:val="21"/>
              </w:rPr>
              <w:t>PR4860R-L</w:t>
            </w:r>
            <w:r>
              <w:rPr>
                <w:sz w:val="21"/>
              </w:rPr>
              <w:t>）</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IBM X3650M4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MD1200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MD1200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MD1400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SCv2020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NF8460M3</w:t>
            </w:r>
            <w:r>
              <w:rPr>
                <w:sz w:val="21"/>
              </w:rPr>
              <w:t>（</w:t>
            </w:r>
            <w:r>
              <w:rPr>
                <w:sz w:val="21"/>
              </w:rPr>
              <w:t>NF5280 M4(Incloud Manager;SSR)</w:t>
            </w:r>
            <w:r>
              <w:rPr>
                <w:sz w:val="21"/>
              </w:rPr>
              <w:t>）</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NF8480M4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惠普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HP ProLiant DL585G7</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惠普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HP ProLiant DL580G5</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NF5280M4</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P510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P510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r>
              <w:rPr>
                <w:sz w:val="21"/>
              </w:rPr>
              <w:t>RS2421RP+</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r>
              <w:rPr>
                <w:sz w:val="21"/>
              </w:rPr>
              <w:t>RS2421xs+</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synology</w:t>
            </w:r>
            <w:r>
              <w:rPr>
                <w:sz w:val="21"/>
              </w:rPr>
              <w:t>群晖科技</w:t>
            </w:r>
            <w:r>
              <w:rPr>
                <w:sz w:val="21"/>
              </w:rPr>
              <w:t>RS2421xs+</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中科曙光</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中科曙光</w:t>
            </w:r>
            <w:r>
              <w:rPr>
                <w:sz w:val="21"/>
              </w:rPr>
              <w:t>DS600-G20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P510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联想</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P510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深信服超融合</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aServer-R-2305-L</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59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aStor-EDS1150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r>
              <w:rPr>
                <w:sz w:val="21"/>
              </w:rPr>
              <w:t>（云桌面）</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71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r>
              <w:rPr>
                <w:sz w:val="21"/>
              </w:rPr>
              <w:t>（云桌面）</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DELL R750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xml:space="preserve">DELL R740 </w:t>
            </w:r>
            <w:r>
              <w:rPr>
                <w:sz w:val="21"/>
              </w:rPr>
              <w:t>（</w:t>
            </w:r>
            <w:r>
              <w:rPr>
                <w:sz w:val="21"/>
              </w:rPr>
              <w:t>GPU</w:t>
            </w:r>
            <w:r>
              <w:rPr>
                <w:sz w:val="21"/>
              </w:rPr>
              <w:t>）</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DELL R740</w:t>
            </w:r>
          </w:p>
        </w:tc>
      </w:tr>
      <w:tr>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w:t>
            </w:r>
            <w:r>
              <w:rPr>
                <w:sz w:val="21"/>
              </w:rPr>
              <w:t>三</w:t>
            </w:r>
            <w:r>
              <w:rPr>
                <w:sz w:val="21"/>
              </w:rPr>
              <w:t>)</w:t>
            </w:r>
          </w:p>
        </w:tc>
        <w:tc>
          <w:tcPr>
            <w:tcW w:type="dxa" w:w="72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b/>
              </w:rPr>
              <w:t>网络与安全设备</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S5720-56C-EI-AC</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S5720S-28P-SI-AC</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S5720S-28P-SI-AC</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博科</w:t>
            </w:r>
            <w:r>
              <w:rPr>
                <w:sz w:val="21"/>
              </w:rPr>
              <w:t>300</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r>
              <w:rPr>
                <w:sz w:val="21"/>
              </w:rPr>
              <w:t>S5720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S5720S</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S5735S-L48FT4S-A</w:t>
            </w:r>
            <w:r>
              <w:rPr>
                <w:sz w:val="21"/>
              </w:rPr>
              <w:t>以太网交换机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r>
              <w:rPr>
                <w:sz w:val="21"/>
              </w:rPr>
              <w:t>S5735S</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S6730S-S24X6Q-A</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华三</w:t>
            </w:r>
            <w:r>
              <w:rPr>
                <w:sz w:val="21"/>
              </w:rPr>
              <w:t>LS-5120V2-28P-SI</w:t>
            </w:r>
            <w:r>
              <w:rPr>
                <w:sz w:val="21"/>
              </w:rPr>
              <w:t>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Quidway S7706</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Quidway S7706</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戴尔博科</w:t>
            </w:r>
            <w:r>
              <w:rPr>
                <w:sz w:val="21"/>
              </w:rPr>
              <w:t>G610</w:t>
            </w:r>
            <w:r>
              <w:rPr>
                <w:sz w:val="21"/>
              </w:rPr>
              <w:t>存储光纤交换机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戴尔博科</w:t>
            </w:r>
            <w:r>
              <w:rPr>
                <w:sz w:val="21"/>
              </w:rPr>
              <w:t>G610</w:t>
            </w:r>
            <w:r>
              <w:rPr>
                <w:sz w:val="21"/>
              </w:rPr>
              <w:t>存储光纤交换机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S5735S-L48FT4S-A24</w:t>
            </w:r>
            <w:r>
              <w:rPr>
                <w:sz w:val="21"/>
              </w:rPr>
              <w:t>口交换机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S5735S-L48FT4S-A12</w:t>
            </w:r>
            <w:r>
              <w:rPr>
                <w:sz w:val="21"/>
              </w:rPr>
              <w:t>口交换机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S5735S-L48FT4S-A12</w:t>
            </w:r>
            <w:r>
              <w:rPr>
                <w:sz w:val="21"/>
              </w:rPr>
              <w:t>口交换机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S5720-56C-EI-AC48</w:t>
            </w:r>
            <w:r>
              <w:rPr>
                <w:sz w:val="21"/>
              </w:rPr>
              <w:t>口交换机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USG6325E-AC</w:t>
            </w:r>
            <w:r>
              <w:rPr>
                <w:sz w:val="21"/>
              </w:rPr>
              <w:t>防火墙</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r>
              <w:rPr>
                <w:sz w:val="21"/>
              </w:rPr>
              <w:t>USG6325E-AC</w:t>
            </w:r>
            <w:r>
              <w:rPr>
                <w:sz w:val="21"/>
              </w:rPr>
              <w:t>防火墙</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AF-2000 B2130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行为管理</w:t>
            </w:r>
            <w:r>
              <w:rPr>
                <w:sz w:val="21"/>
              </w:rPr>
              <w:t>AC1</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AC-1000 B2100y</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安全感知平台</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SIP</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负载均衡</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AD-1000-B2500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S57315-H48T4XC-A</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S5735S-L24T4S-QA2</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S5735S-L24T4S-QA2</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S6720S-26Q-EI-245-AC</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AF-2000-B2130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AF-2000-B2130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AF-2000-B2130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AC</w:t>
            </w:r>
            <w:r>
              <w:rPr>
                <w:sz w:val="21"/>
              </w:rPr>
              <w:t>行为管理</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AC-1000-SK2100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深信服</w:t>
            </w:r>
            <w:r>
              <w:rPr>
                <w:sz w:val="21"/>
              </w:rPr>
              <w:t>AC</w:t>
            </w:r>
            <w:r>
              <w:rPr>
                <w:sz w:val="21"/>
              </w:rPr>
              <w:t>行为管理</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AC-1000-B1100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网闸</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网闸</w:t>
            </w:r>
            <w:r>
              <w:rPr>
                <w:sz w:val="21"/>
              </w:rPr>
              <w:t xml:space="preserve"> su-gap3000-s0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硬盘录像机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DS-7808N-E2/8N</w:t>
            </w:r>
            <w:r>
              <w:rPr>
                <w:sz w:val="21"/>
              </w:rPr>
              <w:t>安防系统</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FS5900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浪潮交换机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FS5900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无线控制器</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TL-AC200</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TL-SG3428</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三层交换机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S5720-32P-EI-AC</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三层交换机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S5720-32P-EI-AC</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AC</w:t>
            </w:r>
            <w:r>
              <w:rPr>
                <w:sz w:val="21"/>
              </w:rPr>
              <w:t>控制器</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WX2510H-PWR</w:t>
            </w:r>
            <w:r>
              <w:rPr>
                <w:sz w:val="21"/>
              </w:rPr>
              <w:t>（</w:t>
            </w:r>
            <w:r>
              <w:rPr>
                <w:sz w:val="21"/>
              </w:rPr>
              <w:t>EWP-WA5320-C-FIT 10</w:t>
            </w:r>
            <w:r>
              <w:rPr>
                <w:sz w:val="21"/>
              </w:rPr>
              <w:t>台）</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政务网接入防火墙</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SecPath F1000-Ak115</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政务网接入交换机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MS4016-PWR</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南沙机房</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交换机</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MS4016-PWR</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w:t>
            </w:r>
            <w:r>
              <w:rPr>
                <w:sz w:val="21"/>
              </w:rPr>
              <w:t>1</w:t>
            </w:r>
            <w:r>
              <w:rPr>
                <w:sz w:val="21"/>
              </w:rPr>
              <w:t>号楼</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锐捷</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室外全向智能型大功率无线基站</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w:t>
            </w:r>
            <w:r>
              <w:rPr>
                <w:sz w:val="21"/>
              </w:rPr>
              <w:t>1</w:t>
            </w:r>
            <w:r>
              <w:rPr>
                <w:sz w:val="21"/>
              </w:rPr>
              <w:t>号楼</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锐捷</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室外全向智能型大功率无线基站</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南沙办公区</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H3C</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华三</w:t>
            </w:r>
            <w:r>
              <w:rPr>
                <w:sz w:val="21"/>
              </w:rPr>
              <w:t xml:space="preserve">(H3C) S5024PV2-EI </w:t>
            </w:r>
            <w:r>
              <w:rPr>
                <w:sz w:val="21"/>
              </w:rPr>
              <w:t>网管型企业级全千兆交换机</w:t>
            </w:r>
          </w:p>
        </w:tc>
      </w:tr>
      <w:tr>
        <w:tc>
          <w:tcPr>
            <w:tcW w:type="dxa" w:w="10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南沙办公区</w:t>
            </w:r>
          </w:p>
        </w:tc>
        <w:tc>
          <w:tcPr>
            <w:tcW w:type="dxa" w:w="9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H3C</w:t>
            </w:r>
          </w:p>
        </w:tc>
        <w:tc>
          <w:tcPr>
            <w:tcW w:type="dxa" w:w="17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6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华三</w:t>
            </w:r>
            <w:r>
              <w:rPr>
                <w:sz w:val="21"/>
              </w:rPr>
              <w:t xml:space="preserve">(H3C) S5130-28S-SI </w:t>
            </w:r>
            <w:r>
              <w:rPr>
                <w:sz w:val="21"/>
              </w:rPr>
              <w:t>网管型企业级汇聚交换机</w:t>
            </w:r>
          </w:p>
        </w:tc>
      </w:tr>
    </w:tbl>
    <w:p>
      <w:pPr>
        <w:pStyle w:val="null3"/>
        <w:jc w:val="both"/>
      </w:pPr>
      <w:r>
        <w:rPr>
          <w:sz w:val="21"/>
          <w:b/>
        </w:rPr>
        <w:t>第二条 技术服务要求</w:t>
      </w:r>
    </w:p>
    <w:p>
      <w:pPr>
        <w:pStyle w:val="null3"/>
        <w:outlineLvl w:val="1"/>
      </w:pPr>
      <w:r>
        <w:rPr>
          <w:sz w:val="21"/>
          <w:b/>
        </w:rPr>
        <w:t>（一）服务周期</w:t>
      </w:r>
    </w:p>
    <w:p>
      <w:pPr>
        <w:pStyle w:val="null3"/>
        <w:jc w:val="both"/>
      </w:pPr>
      <w:r>
        <w:rPr>
          <w:sz w:val="21"/>
        </w:rPr>
        <w:t>项目履行期限：合同签订起至验收通过止。</w:t>
      </w:r>
    </w:p>
    <w:p>
      <w:pPr>
        <w:pStyle w:val="null3"/>
        <w:jc w:val="both"/>
      </w:pPr>
      <w:r>
        <w:rPr>
          <w:sz w:val="21"/>
        </w:rPr>
        <w:t>运营运维服务期限：自</w:t>
      </w:r>
      <w:r>
        <w:rPr>
          <w:sz w:val="21"/>
        </w:rPr>
        <w:t>2025</w:t>
      </w:r>
      <w:r>
        <w:rPr>
          <w:sz w:val="21"/>
        </w:rPr>
        <w:t>年</w:t>
      </w:r>
      <w:r>
        <w:rPr>
          <w:sz w:val="21"/>
        </w:rPr>
        <w:t>6</w:t>
      </w:r>
      <w:r>
        <w:rPr>
          <w:sz w:val="21"/>
        </w:rPr>
        <w:t>月</w:t>
      </w:r>
      <w:r>
        <w:rPr>
          <w:sz w:val="21"/>
        </w:rPr>
        <w:t>16</w:t>
      </w:r>
      <w:r>
        <w:rPr>
          <w:sz w:val="21"/>
        </w:rPr>
        <w:t>日至</w:t>
      </w:r>
      <w:r>
        <w:rPr>
          <w:sz w:val="21"/>
        </w:rPr>
        <w:t>2026</w:t>
      </w:r>
      <w:r>
        <w:rPr>
          <w:sz w:val="21"/>
        </w:rPr>
        <w:t>年</w:t>
      </w:r>
      <w:r>
        <w:rPr>
          <w:sz w:val="21"/>
        </w:rPr>
        <w:t>6</w:t>
      </w:r>
      <w:r>
        <w:rPr>
          <w:sz w:val="21"/>
        </w:rPr>
        <w:t>月</w:t>
      </w:r>
      <w:r>
        <w:rPr>
          <w:sz w:val="21"/>
        </w:rPr>
        <w:t>15</w:t>
      </w:r>
      <w:r>
        <w:rPr>
          <w:sz w:val="21"/>
        </w:rPr>
        <w:t>日。</w:t>
      </w:r>
    </w:p>
    <w:p>
      <w:pPr>
        <w:pStyle w:val="null3"/>
        <w:jc w:val="both"/>
      </w:pPr>
      <w:r>
        <w:rPr>
          <w:sz w:val="21"/>
        </w:rPr>
        <w:t>工作地点：乙方应在双方协定的工作场所开展项目工作。</w:t>
      </w:r>
    </w:p>
    <w:p>
      <w:pPr>
        <w:pStyle w:val="null3"/>
      </w:pPr>
      <w:r>
        <w:rPr>
          <w:sz w:val="24"/>
        </w:rPr>
        <w:t>具体</w:t>
      </w:r>
      <w:r>
        <w:rPr>
          <w:sz w:val="24"/>
        </w:rPr>
        <w:t>运营运维服务</w:t>
      </w:r>
      <w:r>
        <w:rPr>
          <w:sz w:val="24"/>
        </w:rPr>
        <w:t>时间，可根据工作开展实际情况，经双方确认后适当调整。</w:t>
      </w:r>
    </w:p>
    <w:p>
      <w:pPr>
        <w:pStyle w:val="null3"/>
        <w:outlineLvl w:val="1"/>
      </w:pPr>
      <w:r>
        <w:rPr>
          <w:sz w:val="21"/>
          <w:b/>
        </w:rPr>
        <w:t>（二）进度安排</w:t>
      </w:r>
    </w:p>
    <w:p>
      <w:pPr>
        <w:pStyle w:val="null3"/>
        <w:jc w:val="both"/>
      </w:pPr>
      <w:r>
        <w:rPr>
          <w:sz w:val="21"/>
        </w:rPr>
        <w:t>1.</w:t>
      </w:r>
      <w:r>
        <w:rPr>
          <w:sz w:val="21"/>
          <w:color w:val="000000"/>
        </w:rPr>
        <w:t>乙方应于项目合同签订之日起</w:t>
      </w:r>
      <w:r>
        <w:rPr>
          <w:sz w:val="21"/>
          <w:color w:val="000000"/>
        </w:rPr>
        <w:t>15</w:t>
      </w:r>
      <w:r>
        <w:rPr>
          <w:sz w:val="21"/>
          <w:color w:val="000000"/>
        </w:rPr>
        <w:t>日内，向甲方提交详细的项目实施方案并经甲方书面确认。</w:t>
      </w:r>
    </w:p>
    <w:p>
      <w:pPr>
        <w:pStyle w:val="null3"/>
        <w:jc w:val="both"/>
      </w:pPr>
      <w:r>
        <w:rPr>
          <w:sz w:val="21"/>
        </w:rPr>
        <w:t>2.</w:t>
      </w:r>
      <w:r>
        <w:rPr>
          <w:sz w:val="21"/>
        </w:rPr>
        <w:t>服务开展</w:t>
      </w:r>
      <w:r>
        <w:rPr>
          <w:sz w:val="21"/>
        </w:rPr>
        <w:t>6</w:t>
      </w:r>
      <w:r>
        <w:rPr>
          <w:sz w:val="21"/>
        </w:rPr>
        <w:t>个月后，乙方</w:t>
      </w:r>
      <w:r>
        <w:rPr>
          <w:sz w:val="21"/>
        </w:rPr>
        <w:t>交付项目中期运维总结报告并通过甲方书面确认。</w:t>
      </w:r>
    </w:p>
    <w:p>
      <w:pPr>
        <w:pStyle w:val="null3"/>
        <w:jc w:val="both"/>
      </w:pPr>
      <w:r>
        <w:rPr>
          <w:sz w:val="21"/>
        </w:rPr>
        <w:t>3.</w:t>
      </w:r>
      <w:r>
        <w:rPr>
          <w:sz w:val="21"/>
        </w:rPr>
        <w:t>完成12个月运营运维服务后，乙方应在一周内提交项目成果，并提请甲方验收。</w:t>
      </w:r>
    </w:p>
    <w:p>
      <w:pPr>
        <w:pStyle w:val="null3"/>
        <w:jc w:val="both"/>
        <w:outlineLvl w:val="1"/>
      </w:pPr>
      <w:r>
        <w:rPr>
          <w:sz w:val="21"/>
          <w:b/>
        </w:rPr>
        <w:t>（三）售后服务要求</w:t>
      </w:r>
    </w:p>
    <w:p>
      <w:pPr>
        <w:pStyle w:val="null3"/>
        <w:ind w:firstLine="420"/>
        <w:jc w:val="both"/>
      </w:pPr>
      <w:r>
        <w:rPr>
          <w:sz w:val="21"/>
        </w:rPr>
        <w:t>①服务响应：乙方提供全省范围内的</w:t>
      </w:r>
      <w:r>
        <w:rPr>
          <w:sz w:val="21"/>
        </w:rPr>
        <w:t>7*24</w:t>
      </w:r>
      <w:r>
        <w:rPr>
          <w:sz w:val="21"/>
        </w:rPr>
        <w:t>小时电话技术支持和售后，电话支持无法解决的，须</w:t>
      </w:r>
      <w:r>
        <w:rPr>
          <w:sz w:val="21"/>
        </w:rPr>
        <w:t>6</w:t>
      </w:r>
      <w:r>
        <w:rPr>
          <w:sz w:val="21"/>
        </w:rPr>
        <w:t>小时之内响应，</w:t>
      </w:r>
      <w:r>
        <w:rPr>
          <w:sz w:val="21"/>
        </w:rPr>
        <w:t xml:space="preserve">48 </w:t>
      </w:r>
      <w:r>
        <w:rPr>
          <w:sz w:val="21"/>
        </w:rPr>
        <w:t>小时之内派专业技术人员到达现场提供现场技术支持；除电话支持外，乙方还可提供传真、特快专递、电子邮件等形式远程支持。</w:t>
      </w:r>
      <w:r>
        <w:rPr>
          <w:sz w:val="21"/>
          <w:b/>
        </w:rPr>
        <w:t>需提供承诺函</w:t>
      </w:r>
      <w:r>
        <w:rPr>
          <w:sz w:val="21"/>
          <w:b/>
        </w:rPr>
        <w:t>(</w:t>
      </w:r>
      <w:r>
        <w:rPr>
          <w:sz w:val="21"/>
          <w:b/>
        </w:rPr>
        <w:t>格式自拟</w:t>
      </w:r>
      <w:r>
        <w:rPr>
          <w:sz w:val="21"/>
          <w:b/>
        </w:rPr>
        <w:t>)</w:t>
      </w:r>
      <w:r>
        <w:rPr>
          <w:sz w:val="21"/>
          <w:b/>
        </w:rPr>
        <w:t>，并加盖单位公章。</w:t>
      </w:r>
    </w:p>
    <w:p>
      <w:pPr>
        <w:pStyle w:val="null3"/>
        <w:jc w:val="both"/>
      </w:pPr>
      <w:r>
        <w:rPr>
          <w:sz w:val="21"/>
          <w:b/>
        </w:rPr>
        <w:t>第三条 人员要求</w:t>
      </w:r>
    </w:p>
    <w:p>
      <w:pPr>
        <w:pStyle w:val="null3"/>
        <w:ind w:firstLine="480"/>
        <w:jc w:val="both"/>
      </w:pPr>
      <w:r>
        <w:rPr>
          <w:sz w:val="21"/>
        </w:rPr>
        <w:t>1.</w:t>
      </w:r>
      <w:r>
        <w:rPr>
          <w:sz w:val="21"/>
        </w:rPr>
        <w:t>乙方与甲方签订合同时，乙方应确定项目人员名单及项目人员背景调查情况提供至甲方处。</w:t>
      </w:r>
    </w:p>
    <w:p>
      <w:pPr>
        <w:pStyle w:val="null3"/>
        <w:ind w:firstLine="480"/>
        <w:jc w:val="both"/>
      </w:pPr>
      <w:r>
        <w:rPr>
          <w:sz w:val="21"/>
        </w:rPr>
        <w:t>（</w:t>
      </w:r>
      <w:r>
        <w:rPr>
          <w:sz w:val="21"/>
        </w:rPr>
        <w:t>1</w:t>
      </w:r>
      <w:r>
        <w:rPr>
          <w:sz w:val="21"/>
        </w:rPr>
        <w:t>）本人基本情况</w:t>
      </w:r>
      <w:r>
        <w:rPr>
          <w:sz w:val="21"/>
        </w:rPr>
        <w:t>(</w:t>
      </w:r>
      <w:r>
        <w:rPr>
          <w:sz w:val="21"/>
        </w:rPr>
        <w:t>包括姓名、性别、年龄、政治面貌、文化程度、政治表现、无犯罪记录等</w:t>
      </w:r>
      <w:r>
        <w:rPr>
          <w:sz w:val="21"/>
        </w:rPr>
        <w:t>);</w:t>
      </w:r>
    </w:p>
    <w:p>
      <w:pPr>
        <w:pStyle w:val="null3"/>
        <w:ind w:firstLine="480"/>
        <w:jc w:val="both"/>
      </w:pPr>
      <w:r>
        <w:rPr>
          <w:sz w:val="21"/>
        </w:rPr>
        <w:t>（</w:t>
      </w:r>
      <w:r>
        <w:rPr>
          <w:sz w:val="21"/>
        </w:rPr>
        <w:t>2</w:t>
      </w:r>
      <w:r>
        <w:rPr>
          <w:sz w:val="21"/>
        </w:rPr>
        <w:t>）近一年参加过安全、保密培训的相关记录。</w:t>
      </w:r>
    </w:p>
    <w:p>
      <w:pPr>
        <w:pStyle w:val="null3"/>
        <w:ind w:firstLine="480"/>
        <w:jc w:val="both"/>
      </w:pPr>
      <w:r>
        <w:rPr>
          <w:sz w:val="21"/>
        </w:rPr>
        <w:t>2.</w:t>
      </w:r>
      <w:r>
        <w:rPr>
          <w:sz w:val="21"/>
        </w:rPr>
        <w:t>乙方的服务团队所有成员必须为乙方正式职工。</w:t>
      </w:r>
    </w:p>
    <w:p>
      <w:pPr>
        <w:pStyle w:val="null3"/>
        <w:ind w:firstLine="480"/>
        <w:jc w:val="both"/>
      </w:pPr>
      <w:r>
        <w:rPr>
          <w:sz w:val="21"/>
        </w:rPr>
        <w:t>3.</w:t>
      </w:r>
      <w:r>
        <w:rPr>
          <w:sz w:val="21"/>
        </w:rPr>
        <w:t>项目人员离职离岗的，乙方应对其进行廉洁保密提醒谈话，与其签订离岗承诺书，并报甲方备案。</w:t>
      </w:r>
    </w:p>
    <w:p>
      <w:pPr>
        <w:pStyle w:val="null3"/>
        <w:ind w:firstLine="480"/>
        <w:jc w:val="both"/>
      </w:pPr>
      <w:r>
        <w:rPr>
          <w:sz w:val="21"/>
        </w:rPr>
        <w:t>4.</w:t>
      </w:r>
      <w:r>
        <w:rPr>
          <w:sz w:val="21"/>
        </w:rPr>
        <w:t>乙方应保证资源投入，如须调整项目负责人、项目团队成员的，须书面向甲方提出申请，说明申请理由，经甲方书面同意方可调整团队人员，调入人员的资历和从业经验不低于调出人员，否则视为违约行为，甲方有权终止服务合同。</w:t>
      </w:r>
    </w:p>
    <w:p>
      <w:pPr>
        <w:pStyle w:val="null3"/>
        <w:ind w:firstLine="420"/>
        <w:jc w:val="both"/>
      </w:pPr>
      <w:r>
        <w:rPr>
          <w:sz w:val="21"/>
          <w:b/>
        </w:rPr>
        <w:t>第四条 经费与支付</w:t>
      </w:r>
    </w:p>
    <w:p>
      <w:pPr>
        <w:pStyle w:val="null3"/>
        <w:ind w:firstLine="420"/>
        <w:jc w:val="both"/>
      </w:pPr>
      <w:r>
        <w:rPr>
          <w:sz w:val="21"/>
        </w:rPr>
        <w:t>1.</w:t>
      </w:r>
      <w:r>
        <w:rPr>
          <w:sz w:val="21"/>
        </w:rPr>
        <w:t>甲方应支付乙方的合同总金额为（大写）人民币 元整（小写：¥ ），其中。</w:t>
      </w:r>
    </w:p>
    <w:p>
      <w:pPr>
        <w:pStyle w:val="null3"/>
        <w:ind w:firstLine="420"/>
        <w:jc w:val="both"/>
      </w:pPr>
      <w:r>
        <w:rPr>
          <w:sz w:val="21"/>
        </w:rPr>
        <w:t>2.</w:t>
      </w:r>
      <w:r>
        <w:rPr>
          <w:sz w:val="21"/>
        </w:rPr>
        <w:t>合同经费分</w:t>
      </w:r>
      <w:r>
        <w:rPr>
          <w:sz w:val="21"/>
          <w:u w:val="single"/>
        </w:rPr>
        <w:t xml:space="preserve"> 三 </w:t>
      </w:r>
      <w:r>
        <w:rPr>
          <w:sz w:val="21"/>
        </w:rPr>
        <w:t>期支付，乙方应在甲方支付合同款项前提供合法发票。</w:t>
      </w:r>
    </w:p>
    <w:p>
      <w:pPr>
        <w:pStyle w:val="null3"/>
        <w:ind w:firstLine="420"/>
        <w:jc w:val="both"/>
      </w:pPr>
      <w:r>
        <w:rPr>
          <w:sz w:val="21"/>
        </w:rPr>
        <w:t>1</w:t>
      </w:r>
      <w:r>
        <w:rPr>
          <w:sz w:val="21"/>
        </w:rPr>
        <w:t>）首期经费支付：甲方在合同签订并收到乙方发票之日起5个工作日内，甲方支付乙方合同价款的</w:t>
      </w:r>
      <w:r>
        <w:rPr>
          <w:sz w:val="21"/>
          <w:u w:val="single"/>
        </w:rPr>
        <w:t>50%</w:t>
      </w:r>
      <w:r>
        <w:rPr>
          <w:sz w:val="21"/>
        </w:rPr>
        <w:t>，即（大写）人民币   元整（小写：   ¥ ）。</w:t>
      </w:r>
    </w:p>
    <w:p>
      <w:pPr>
        <w:pStyle w:val="null3"/>
        <w:ind w:firstLine="420"/>
        <w:jc w:val="both"/>
      </w:pPr>
      <w:r>
        <w:rPr>
          <w:sz w:val="21"/>
        </w:rPr>
        <w:t>2</w:t>
      </w:r>
      <w:r>
        <w:rPr>
          <w:sz w:val="21"/>
        </w:rPr>
        <w:t>）二期经费支付：运维工作开展6个月后，乙方向甲方交付项目中期运维总结报告并通过甲方确认后，甲方收到乙方发票之日起15日内，甲方支付乙方合同价款的</w:t>
      </w:r>
      <w:r>
        <w:rPr>
          <w:sz w:val="21"/>
          <w:u w:val="single"/>
        </w:rPr>
        <w:t>30%</w:t>
      </w:r>
      <w:r>
        <w:rPr>
          <w:sz w:val="21"/>
        </w:rPr>
        <w:t>，即（大写）    元整（小写：  ¥ ）。</w:t>
      </w:r>
    </w:p>
    <w:p>
      <w:pPr>
        <w:pStyle w:val="null3"/>
        <w:ind w:firstLine="420"/>
        <w:jc w:val="both"/>
      </w:pPr>
      <w:r>
        <w:rPr>
          <w:sz w:val="21"/>
        </w:rPr>
        <w:t>3</w:t>
      </w:r>
      <w:r>
        <w:rPr>
          <w:sz w:val="21"/>
        </w:rPr>
        <w:t>）三期经费支付：乙方按合同要求向甲方交付所有项目运维成果并通过甲方验收后，甲方收到乙方发票之日起10个工作日内，甲方支付乙方合同价款的</w:t>
      </w:r>
      <w:r>
        <w:rPr>
          <w:sz w:val="21"/>
          <w:u w:val="single"/>
        </w:rPr>
        <w:t>20%</w:t>
      </w:r>
      <w:r>
        <w:rPr>
          <w:sz w:val="21"/>
        </w:rPr>
        <w:t>，即（大写）  元整（小写：  ¥ ）。</w:t>
      </w:r>
    </w:p>
    <w:p>
      <w:pPr>
        <w:pStyle w:val="null3"/>
        <w:ind w:firstLine="420"/>
        <w:jc w:val="both"/>
      </w:pPr>
      <w:r>
        <w:rPr>
          <w:sz w:val="21"/>
        </w:rPr>
        <w:t>4</w:t>
      </w:r>
      <w:r>
        <w:rPr>
          <w:sz w:val="21"/>
        </w:rPr>
        <w:t>）无论何种原因，乙方均无权要求甲方增加项目经费。</w:t>
      </w:r>
    </w:p>
    <w:p>
      <w:pPr>
        <w:pStyle w:val="null3"/>
        <w:ind w:firstLine="420"/>
        <w:jc w:val="both"/>
      </w:pPr>
      <w:r>
        <w:rPr>
          <w:sz w:val="21"/>
        </w:rPr>
        <w:t>3.</w:t>
      </w:r>
      <w:r>
        <w:rPr>
          <w:sz w:val="21"/>
        </w:rPr>
        <w:t>付款方式：采用银行转账方式。</w:t>
      </w:r>
    </w:p>
    <w:p>
      <w:pPr>
        <w:pStyle w:val="null3"/>
        <w:ind w:firstLine="420"/>
        <w:jc w:val="both"/>
      </w:pPr>
      <w:r>
        <w:rPr>
          <w:sz w:val="21"/>
        </w:rPr>
        <w:t>4.</w:t>
      </w:r>
      <w:r>
        <w:rPr>
          <w:sz w:val="21"/>
        </w:rPr>
        <w:t>甲方向乙方指定账户汇出款项后，即视为已履行付款义务，在汇款过程中，因乙方账户的原因（包括但不限于账号被注销、被冻结等）导致其无法收取款项的，由乙方承担相应后果。如甲方未按合同约定向乙方支付款项的，除应当支付合同约定的款项外，还应当每日按应付款项的</w:t>
      </w:r>
      <w:r>
        <w:rPr>
          <w:sz w:val="21"/>
          <w:u w:val="single"/>
        </w:rPr>
        <w:t>5‱（万分之五）</w:t>
      </w:r>
      <w:r>
        <w:rPr>
          <w:sz w:val="21"/>
        </w:rPr>
        <w:t>向乙方支付逾期付款违约金。</w:t>
      </w:r>
    </w:p>
    <w:p>
      <w:pPr>
        <w:pStyle w:val="null3"/>
        <w:ind w:firstLine="422"/>
        <w:jc w:val="both"/>
      </w:pPr>
      <w:r>
        <w:rPr>
          <w:sz w:val="21"/>
          <w:b/>
        </w:rPr>
        <w:t>第五条 项目运维成果的交付</w:t>
      </w:r>
    </w:p>
    <w:p>
      <w:pPr>
        <w:pStyle w:val="null3"/>
        <w:ind w:firstLine="422"/>
        <w:jc w:val="both"/>
      </w:pPr>
      <w:r>
        <w:rPr>
          <w:sz w:val="21"/>
          <w:b/>
        </w:rPr>
        <w:t>（一）交付的运维成果及形式</w:t>
      </w:r>
    </w:p>
    <w:p>
      <w:pPr>
        <w:pStyle w:val="null3"/>
        <w:ind w:firstLine="480"/>
        <w:jc w:val="both"/>
      </w:pPr>
      <w:r>
        <w:rPr>
          <w:sz w:val="21"/>
        </w:rPr>
        <w:t>1.</w:t>
      </w:r>
      <w:r>
        <w:rPr>
          <w:sz w:val="21"/>
          <w:color w:val="000000"/>
        </w:rPr>
        <w:t>信息安全风险评估报告（</w:t>
      </w:r>
      <w:r>
        <w:rPr>
          <w:sz w:val="21"/>
          <w:color w:val="000000"/>
        </w:rPr>
        <w:t>4</w:t>
      </w:r>
      <w:r>
        <w:rPr>
          <w:sz w:val="21"/>
          <w:color w:val="000000"/>
        </w:rPr>
        <w:t>份）</w:t>
      </w:r>
    </w:p>
    <w:p>
      <w:pPr>
        <w:pStyle w:val="null3"/>
        <w:ind w:firstLine="480"/>
        <w:jc w:val="both"/>
      </w:pPr>
      <w:r>
        <w:rPr>
          <w:sz w:val="21"/>
        </w:rPr>
        <w:t>2.</w:t>
      </w:r>
      <w:r>
        <w:rPr>
          <w:sz w:val="21"/>
        </w:rPr>
        <w:t>网络安全攻防演练值守日报、防守总结报告（根据实际演练次数提供）</w:t>
      </w:r>
    </w:p>
    <w:p>
      <w:pPr>
        <w:pStyle w:val="null3"/>
        <w:ind w:firstLine="480"/>
        <w:jc w:val="both"/>
      </w:pPr>
      <w:r>
        <w:rPr>
          <w:sz w:val="21"/>
        </w:rPr>
        <w:t>3.</w:t>
      </w:r>
      <w:r>
        <w:rPr>
          <w:sz w:val="21"/>
        </w:rPr>
        <w:t>渗透测试报告（</w:t>
      </w:r>
      <w:r>
        <w:rPr>
          <w:sz w:val="21"/>
        </w:rPr>
        <w:t>8</w:t>
      </w:r>
      <w:r>
        <w:rPr>
          <w:sz w:val="21"/>
        </w:rPr>
        <w:t>份）</w:t>
      </w:r>
    </w:p>
    <w:p>
      <w:pPr>
        <w:pStyle w:val="null3"/>
        <w:ind w:firstLine="480"/>
        <w:jc w:val="both"/>
      </w:pPr>
      <w:r>
        <w:rPr>
          <w:sz w:val="21"/>
        </w:rPr>
        <w:t>4.</w:t>
      </w:r>
      <w:r>
        <w:rPr>
          <w:sz w:val="21"/>
        </w:rPr>
        <w:t>漏洞扫描报告（</w:t>
      </w:r>
      <w:r>
        <w:rPr>
          <w:sz w:val="21"/>
        </w:rPr>
        <w:t>12</w:t>
      </w:r>
      <w:r>
        <w:rPr>
          <w:sz w:val="21"/>
        </w:rPr>
        <w:t>份）</w:t>
      </w:r>
    </w:p>
    <w:p>
      <w:pPr>
        <w:pStyle w:val="null3"/>
        <w:ind w:firstLine="480"/>
        <w:jc w:val="both"/>
      </w:pPr>
      <w:r>
        <w:rPr>
          <w:sz w:val="21"/>
        </w:rPr>
        <w:t>5.</w:t>
      </w:r>
      <w:r>
        <w:rPr>
          <w:sz w:val="21"/>
        </w:rPr>
        <w:t>整改加固报告（</w:t>
      </w:r>
      <w:r>
        <w:rPr>
          <w:sz w:val="21"/>
        </w:rPr>
        <w:t>12</w:t>
      </w:r>
      <w:r>
        <w:rPr>
          <w:sz w:val="21"/>
        </w:rPr>
        <w:t>份）</w:t>
      </w:r>
    </w:p>
    <w:p>
      <w:pPr>
        <w:pStyle w:val="null3"/>
        <w:ind w:firstLine="480"/>
        <w:jc w:val="both"/>
      </w:pPr>
      <w:r>
        <w:rPr>
          <w:sz w:val="21"/>
        </w:rPr>
        <w:t>6.</w:t>
      </w:r>
      <w:r>
        <w:rPr>
          <w:sz w:val="21"/>
        </w:rPr>
        <w:t>日常监控服务报告</w:t>
      </w:r>
    </w:p>
    <w:p>
      <w:pPr>
        <w:pStyle w:val="null3"/>
        <w:ind w:firstLine="480"/>
        <w:jc w:val="both"/>
      </w:pPr>
      <w:r>
        <w:rPr>
          <w:sz w:val="21"/>
        </w:rPr>
        <w:t>7.</w:t>
      </w:r>
      <w:r>
        <w:rPr>
          <w:sz w:val="21"/>
        </w:rPr>
        <w:t>日常巡检记录</w:t>
      </w:r>
    </w:p>
    <w:p>
      <w:pPr>
        <w:pStyle w:val="null3"/>
        <w:ind w:firstLine="480"/>
        <w:jc w:val="both"/>
      </w:pPr>
      <w:r>
        <w:rPr>
          <w:sz w:val="21"/>
        </w:rPr>
        <w:t>8.</w:t>
      </w:r>
      <w:r>
        <w:rPr>
          <w:sz w:val="21"/>
        </w:rPr>
        <w:t>运维处置报告</w:t>
      </w:r>
    </w:p>
    <w:p>
      <w:pPr>
        <w:pStyle w:val="null3"/>
        <w:ind w:firstLine="480"/>
        <w:jc w:val="both"/>
      </w:pPr>
      <w:r>
        <w:rPr>
          <w:sz w:val="21"/>
        </w:rPr>
        <w:t>9.</w:t>
      </w:r>
      <w:r>
        <w:rPr>
          <w:sz w:val="21"/>
        </w:rPr>
        <w:t>机房硬件运维月度巡检报告</w:t>
      </w:r>
    </w:p>
    <w:p>
      <w:pPr>
        <w:pStyle w:val="null3"/>
        <w:ind w:firstLine="480"/>
        <w:jc w:val="both"/>
      </w:pPr>
      <w:r>
        <w:rPr>
          <w:sz w:val="21"/>
        </w:rPr>
        <w:t>10.</w:t>
      </w:r>
      <w:r>
        <w:rPr>
          <w:sz w:val="21"/>
        </w:rPr>
        <w:t>项目运维总结报告</w:t>
      </w:r>
    </w:p>
    <w:p>
      <w:pPr>
        <w:pStyle w:val="null3"/>
        <w:ind w:firstLine="480"/>
        <w:jc w:val="both"/>
      </w:pPr>
      <w:r>
        <w:rPr>
          <w:sz w:val="21"/>
        </w:rPr>
        <w:t>上述成果，乙方应在服务结束后验收前提供装订成册的纸质文档至少</w:t>
      </w:r>
      <w:r>
        <w:rPr>
          <w:sz w:val="21"/>
        </w:rPr>
        <w:t>1</w:t>
      </w:r>
      <w:r>
        <w:rPr>
          <w:sz w:val="21"/>
        </w:rPr>
        <w:t>套，签字签章版</w:t>
      </w:r>
      <w:r>
        <w:rPr>
          <w:sz w:val="21"/>
        </w:rPr>
        <w:t>PDF</w:t>
      </w:r>
      <w:r>
        <w:rPr>
          <w:sz w:val="21"/>
        </w:rPr>
        <w:t>电子扫描文件</w:t>
      </w:r>
      <w:r>
        <w:rPr>
          <w:sz w:val="21"/>
        </w:rPr>
        <w:t>1</w:t>
      </w:r>
      <w:r>
        <w:rPr>
          <w:sz w:val="21"/>
        </w:rPr>
        <w:t>套。</w:t>
      </w:r>
    </w:p>
    <w:p>
      <w:pPr>
        <w:pStyle w:val="null3"/>
        <w:ind w:firstLine="480"/>
        <w:jc w:val="both"/>
      </w:pPr>
      <w:r>
        <w:rPr>
          <w:sz w:val="21"/>
          <w:b/>
        </w:rPr>
        <w:t>（二）交付地点：甲方办公场所。</w:t>
      </w:r>
    </w:p>
    <w:p>
      <w:pPr>
        <w:pStyle w:val="null3"/>
        <w:ind w:firstLine="422"/>
        <w:jc w:val="both"/>
      </w:pPr>
      <w:r>
        <w:rPr>
          <w:sz w:val="21"/>
          <w:b/>
        </w:rPr>
        <w:t>第六条 项目验收</w:t>
      </w:r>
    </w:p>
    <w:p>
      <w:pPr>
        <w:pStyle w:val="null3"/>
        <w:ind w:firstLine="420"/>
        <w:jc w:val="both"/>
      </w:pPr>
      <w:r>
        <w:rPr>
          <w:sz w:val="21"/>
        </w:rPr>
        <w:t>（一）验收主体：甲方、乙方、甲方组织的专家。</w:t>
      </w:r>
    </w:p>
    <w:p>
      <w:pPr>
        <w:pStyle w:val="null3"/>
        <w:ind w:firstLine="420"/>
        <w:jc w:val="both"/>
      </w:pPr>
      <w:r>
        <w:rPr>
          <w:sz w:val="21"/>
        </w:rPr>
        <w:t>（二）验收条件：至少满足下列条件，方可开展验收。</w:t>
      </w:r>
    </w:p>
    <w:p>
      <w:pPr>
        <w:pStyle w:val="null3"/>
        <w:ind w:firstLine="420"/>
        <w:jc w:val="both"/>
      </w:pPr>
      <w:r>
        <w:rPr>
          <w:sz w:val="21"/>
        </w:rPr>
        <w:t>1.</w:t>
      </w:r>
      <w:r>
        <w:rPr>
          <w:sz w:val="21"/>
        </w:rPr>
        <w:t>完成项目规定的全部内容后。</w:t>
      </w:r>
    </w:p>
    <w:p>
      <w:pPr>
        <w:pStyle w:val="null3"/>
        <w:ind w:firstLine="420"/>
        <w:jc w:val="both"/>
      </w:pPr>
      <w:r>
        <w:rPr>
          <w:sz w:val="21"/>
        </w:rPr>
        <w:t>2.</w:t>
      </w:r>
      <w:r>
        <w:rPr>
          <w:sz w:val="21"/>
        </w:rPr>
        <w:t>成果内容须符合</w:t>
      </w:r>
      <w:r>
        <w:rPr>
          <w:sz w:val="21"/>
          <w:color w:val="000000"/>
        </w:rPr>
        <w:t>本项目实施过程中双方约定的相关技术要求</w:t>
      </w:r>
      <w:r>
        <w:rPr>
          <w:sz w:val="21"/>
        </w:rPr>
        <w:t>。</w:t>
      </w:r>
    </w:p>
    <w:p>
      <w:pPr>
        <w:pStyle w:val="null3"/>
        <w:ind w:firstLine="420"/>
        <w:jc w:val="both"/>
      </w:pPr>
      <w:r>
        <w:rPr>
          <w:sz w:val="21"/>
        </w:rPr>
        <w:t>3.</w:t>
      </w:r>
      <w:r>
        <w:rPr>
          <w:sz w:val="21"/>
        </w:rPr>
        <w:t>成果报告需做到材料完整、内容齐全。</w:t>
      </w:r>
    </w:p>
    <w:p>
      <w:pPr>
        <w:pStyle w:val="null3"/>
        <w:ind w:firstLine="420"/>
        <w:jc w:val="both"/>
      </w:pPr>
      <w:r>
        <w:rPr>
          <w:sz w:val="21"/>
        </w:rPr>
        <w:t>（三）乙方提交项目成果的形式：</w:t>
      </w:r>
      <w:r>
        <w:rPr>
          <w:sz w:val="21"/>
          <w:u w:val="single"/>
        </w:rPr>
        <w:t>纸质文件、电子文件或者甲方要求的其他形式</w:t>
      </w:r>
      <w:r>
        <w:rPr>
          <w:sz w:val="21"/>
        </w:rPr>
        <w:t>。</w:t>
      </w:r>
    </w:p>
    <w:p>
      <w:pPr>
        <w:pStyle w:val="null3"/>
        <w:ind w:firstLine="420"/>
        <w:jc w:val="both"/>
      </w:pPr>
      <w:r>
        <w:rPr>
          <w:sz w:val="21"/>
        </w:rPr>
        <w:t>（四）验收程序：乙方应当在符合验收条件后，按照甲方要求的成果形式、数量和时间向甲方交付项目成果并书面提请甲方验收，甲方应在</w:t>
      </w:r>
      <w:r>
        <w:rPr>
          <w:sz w:val="21"/>
        </w:rPr>
        <w:t>7</w:t>
      </w:r>
      <w:r>
        <w:rPr>
          <w:sz w:val="21"/>
        </w:rPr>
        <w:t>日内组织专家验收。验收通过的，乙方应根据专家验收意见对项目成果进行修改完善，于专家验收会后</w:t>
      </w:r>
      <w:r>
        <w:rPr>
          <w:sz w:val="21"/>
        </w:rPr>
        <w:t>10</w:t>
      </w:r>
      <w:r>
        <w:rPr>
          <w:sz w:val="21"/>
        </w:rPr>
        <w:t>个工作日内向甲方提交修改完善后的全部项目成果。验收不通过的，乙方应当无条件组织进行认真整改至合格，于专家验收会后</w:t>
      </w:r>
      <w:r>
        <w:rPr>
          <w:sz w:val="21"/>
        </w:rPr>
        <w:t>20</w:t>
      </w:r>
      <w:r>
        <w:rPr>
          <w:sz w:val="21"/>
        </w:rPr>
        <w:t>个工作日内提交整改后的全部项目成果并提请甲方再次组织专家验收，乙方承担再次组织专家验收的相应费用且应承担延迟提交项目成果的违约责任。如乙方提交所有项目成果的时限届满，乙方不提出验收申请或者经甲方通知，乙方不参加验收会议的，验收会议可以照常进行，验收会议形成的专家验收意见对乙方有约束力。</w:t>
      </w:r>
    </w:p>
    <w:p>
      <w:pPr>
        <w:pStyle w:val="null3"/>
        <w:ind w:firstLine="422"/>
        <w:jc w:val="both"/>
      </w:pPr>
      <w:r>
        <w:rPr>
          <w:sz w:val="21"/>
          <w:b/>
        </w:rPr>
        <w:t>第七条 权利和义务</w:t>
      </w:r>
    </w:p>
    <w:p>
      <w:pPr>
        <w:pStyle w:val="null3"/>
        <w:ind w:firstLine="420"/>
        <w:jc w:val="both"/>
      </w:pPr>
      <w:r>
        <w:rPr>
          <w:sz w:val="21"/>
        </w:rPr>
        <w:t>（一）甲方的权利与义务</w:t>
      </w:r>
    </w:p>
    <w:p>
      <w:pPr>
        <w:pStyle w:val="null3"/>
        <w:ind w:firstLine="420"/>
        <w:jc w:val="both"/>
      </w:pPr>
      <w:r>
        <w:rPr>
          <w:sz w:val="21"/>
        </w:rPr>
        <w:t>1.</w:t>
      </w:r>
      <w:r>
        <w:rPr>
          <w:sz w:val="21"/>
        </w:rPr>
        <w:t>甲方应按本合同约定付款。</w:t>
      </w:r>
    </w:p>
    <w:p>
      <w:pPr>
        <w:pStyle w:val="null3"/>
        <w:ind w:firstLine="420"/>
        <w:jc w:val="both"/>
      </w:pPr>
      <w:r>
        <w:rPr>
          <w:sz w:val="21"/>
        </w:rPr>
        <w:t>2.</w:t>
      </w:r>
      <w:r>
        <w:rPr>
          <w:sz w:val="21"/>
        </w:rPr>
        <w:t>甲方对乙方提供的工作成果进行验收，如发现与合同约定不符或不满足甲方需求，有权拒绝接受该工作成果。</w:t>
      </w:r>
    </w:p>
    <w:p>
      <w:pPr>
        <w:pStyle w:val="null3"/>
        <w:ind w:firstLine="420"/>
        <w:jc w:val="both"/>
      </w:pPr>
      <w:r>
        <w:rPr>
          <w:sz w:val="21"/>
        </w:rPr>
        <w:t>3.</w:t>
      </w:r>
      <w:r>
        <w:rPr>
          <w:sz w:val="21"/>
        </w:rPr>
        <w:t>甲方将向乙方提供为完成服务工作所需要的信息、资料和其他相关协助。</w:t>
      </w:r>
    </w:p>
    <w:p>
      <w:pPr>
        <w:pStyle w:val="null3"/>
        <w:ind w:firstLine="420"/>
        <w:jc w:val="both"/>
      </w:pPr>
      <w:r>
        <w:rPr>
          <w:sz w:val="21"/>
        </w:rPr>
        <w:t>4.</w:t>
      </w:r>
      <w:r>
        <w:rPr>
          <w:sz w:val="21"/>
        </w:rPr>
        <w:t>甲方有权随时了解乙方的工作进展情况，并有权单方面自行委托第三方对乙方的工作进行监督，甲方委托的第三方向乙方提出的意见或者要求，均视为甲方的意见或者要求。在对乙方的工作监督中，如发现乙方存在违约行为应当赔付违约金的，甲方有权在应付的经费中直接扣除。</w:t>
      </w:r>
    </w:p>
    <w:p>
      <w:pPr>
        <w:pStyle w:val="null3"/>
        <w:ind w:firstLine="420"/>
        <w:jc w:val="both"/>
      </w:pPr>
      <w:r>
        <w:rPr>
          <w:sz w:val="21"/>
        </w:rPr>
        <w:t>（二）乙方的权利与义务</w:t>
      </w:r>
    </w:p>
    <w:p>
      <w:pPr>
        <w:pStyle w:val="null3"/>
        <w:ind w:firstLine="420"/>
        <w:jc w:val="both"/>
      </w:pPr>
      <w:r>
        <w:rPr>
          <w:sz w:val="21"/>
        </w:rPr>
        <w:t>1.</w:t>
      </w:r>
      <w:r>
        <w:rPr>
          <w:sz w:val="21"/>
        </w:rPr>
        <w:t>乙方应根据本合同的约定提供服务并提交最终工作成果。</w:t>
      </w:r>
    </w:p>
    <w:p>
      <w:pPr>
        <w:pStyle w:val="null3"/>
        <w:ind w:firstLine="420"/>
        <w:jc w:val="both"/>
      </w:pPr>
      <w:r>
        <w:rPr>
          <w:sz w:val="21"/>
        </w:rPr>
        <w:t>2.</w:t>
      </w:r>
      <w:r>
        <w:rPr>
          <w:sz w:val="21"/>
        </w:rPr>
        <w:t>乙方应根据本合同的约定提交相关文件、资料。</w:t>
      </w:r>
    </w:p>
    <w:p>
      <w:pPr>
        <w:pStyle w:val="null3"/>
        <w:ind w:firstLine="420"/>
        <w:jc w:val="both"/>
      </w:pPr>
      <w:r>
        <w:rPr>
          <w:sz w:val="21"/>
        </w:rPr>
        <w:t>3.</w:t>
      </w:r>
      <w:r>
        <w:rPr>
          <w:sz w:val="21"/>
        </w:rPr>
        <w:t>乙方应如实报告工作进展情况并主动接受甲方或者甲方自行委托的第三人的监督。</w:t>
      </w:r>
    </w:p>
    <w:p>
      <w:pPr>
        <w:pStyle w:val="null3"/>
        <w:ind w:firstLine="420"/>
        <w:jc w:val="both"/>
      </w:pPr>
      <w:r>
        <w:rPr>
          <w:sz w:val="21"/>
        </w:rPr>
        <w:t>4.</w:t>
      </w:r>
      <w:r>
        <w:rPr>
          <w:sz w:val="21"/>
        </w:rPr>
        <w:t>在合同履行期间及工作成果提交后，对甲方提出的与委托项目相关的任何问题，乙方有义务提供免费咨询。</w:t>
      </w:r>
    </w:p>
    <w:p>
      <w:pPr>
        <w:pStyle w:val="null3"/>
        <w:ind w:firstLine="420"/>
        <w:jc w:val="both"/>
      </w:pPr>
      <w:r>
        <w:rPr>
          <w:sz w:val="21"/>
        </w:rPr>
        <w:t>5.</w:t>
      </w:r>
      <w:r>
        <w:rPr>
          <w:sz w:val="21"/>
        </w:rPr>
        <w:t>乙方应在甲方支付合同款项前提供合法发票，否则甲方有权拒绝支付。</w:t>
      </w:r>
    </w:p>
    <w:p>
      <w:pPr>
        <w:pStyle w:val="null3"/>
        <w:ind w:firstLine="422"/>
        <w:jc w:val="both"/>
      </w:pPr>
      <w:r>
        <w:rPr>
          <w:sz w:val="21"/>
          <w:b/>
        </w:rPr>
        <w:t>第八条 知识产权</w:t>
      </w:r>
    </w:p>
    <w:p>
      <w:pPr>
        <w:pStyle w:val="null3"/>
        <w:ind w:firstLine="420"/>
        <w:jc w:val="both"/>
      </w:pPr>
      <w:r>
        <w:rPr>
          <w:sz w:val="21"/>
        </w:rPr>
        <w:t>（一）乙方应保证为甲方提供服务时不得侵犯第三方的权利。</w:t>
      </w:r>
    </w:p>
    <w:p>
      <w:pPr>
        <w:pStyle w:val="null3"/>
        <w:ind w:firstLine="420"/>
        <w:jc w:val="both"/>
      </w:pPr>
      <w:r>
        <w:rPr>
          <w:sz w:val="21"/>
        </w:rPr>
        <w:t>（二）乙方在为甲方提供服务时所获得成果的知识产权归甲方所有。未经甲方许可，乙方不得以任何方式使用，亦不得出于任何目的向第三方披露或许可第三方使用。主要以该项目成果形成的著作、论文或参加各类评奖，应经甲方同意，与甲方共同署名、共同申报。</w:t>
      </w:r>
    </w:p>
    <w:p>
      <w:pPr>
        <w:pStyle w:val="null3"/>
        <w:ind w:firstLine="420"/>
        <w:jc w:val="both"/>
      </w:pPr>
      <w:r>
        <w:rPr>
          <w:sz w:val="21"/>
        </w:rPr>
        <w:t>（三）若乙方在为甲方提供服务时侵犯了第三方的权利，致使甲方受到索赔或起诉，由此给甲方造成的一切损失由乙方承担，同时甲方有权解除合同，并有权要求乙方支付合同总额的</w:t>
      </w:r>
      <w:r>
        <w:rPr>
          <w:sz w:val="21"/>
        </w:rPr>
        <w:t>20%</w:t>
      </w:r>
      <w:r>
        <w:rPr>
          <w:sz w:val="21"/>
        </w:rPr>
        <w:t>的违约金。</w:t>
      </w:r>
    </w:p>
    <w:p>
      <w:pPr>
        <w:pStyle w:val="null3"/>
        <w:ind w:firstLine="420"/>
        <w:jc w:val="both"/>
      </w:pPr>
      <w:r>
        <w:rPr>
          <w:sz w:val="21"/>
        </w:rPr>
        <w:t>（四）若未经甲方许可，乙方擅自使用或向第三方披露或许可第三方使用在为甲方提供服务时所获得的成果，甲方有权要求乙方或使用方停止使用，同时有权要求乙方支付合同总额</w:t>
      </w:r>
      <w:r>
        <w:rPr>
          <w:sz w:val="21"/>
        </w:rPr>
        <w:t>20%</w:t>
      </w:r>
      <w:r>
        <w:rPr>
          <w:sz w:val="21"/>
        </w:rPr>
        <w:t>的违约金。</w:t>
      </w:r>
    </w:p>
    <w:p>
      <w:pPr>
        <w:pStyle w:val="null3"/>
        <w:ind w:firstLine="422"/>
        <w:jc w:val="both"/>
      </w:pPr>
      <w:r>
        <w:rPr>
          <w:sz w:val="21"/>
          <w:b/>
        </w:rPr>
        <w:t xml:space="preserve">第九条 </w:t>
      </w:r>
      <w:r>
        <w:rPr>
          <w:sz w:val="21"/>
          <w:b/>
        </w:rPr>
        <w:t>保密约定</w:t>
      </w:r>
    </w:p>
    <w:p>
      <w:pPr>
        <w:pStyle w:val="null3"/>
        <w:ind w:firstLine="420"/>
        <w:jc w:val="both"/>
      </w:pPr>
      <w:r>
        <w:rPr>
          <w:sz w:val="21"/>
        </w:rPr>
        <w:t>（一）甲方为履行本合同而提供给乙方的任何信息，以及乙方在履行合同过程中所知悉的甲方的信息，包括本合同的内容，均视为保密信息处理。乙方保证应采取适当有效的保密措施保护该等保密信息免受公开，不向任何第三方公开该等保密信息，并且除为履行本合同目的外非经甲方事先书面同意不得使用任何保密信息。因乙方泄露或者不正当使用该等保密信息而给甲方造成损失的，乙方应当承担相应法律责任并赔偿甲方的所有损失。</w:t>
      </w:r>
    </w:p>
    <w:p>
      <w:pPr>
        <w:pStyle w:val="null3"/>
        <w:ind w:firstLine="420"/>
        <w:jc w:val="both"/>
      </w:pPr>
      <w:r>
        <w:rPr>
          <w:sz w:val="21"/>
        </w:rPr>
        <w:t>（二）乙方对于保密信息的保密义务应延续至该等信息因合法的原因而成为公开信息或甲方书面许可准予公开。</w:t>
      </w:r>
    </w:p>
    <w:p>
      <w:pPr>
        <w:pStyle w:val="null3"/>
        <w:ind w:firstLine="420"/>
        <w:jc w:val="both"/>
      </w:pPr>
      <w:r>
        <w:rPr>
          <w:sz w:val="21"/>
        </w:rPr>
        <w:t>（三）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ind w:firstLine="422"/>
        <w:jc w:val="both"/>
      </w:pPr>
      <w:r>
        <w:rPr>
          <w:sz w:val="21"/>
          <w:b/>
        </w:rPr>
        <w:t>第十条 违约责任</w:t>
      </w:r>
      <w:r>
        <w:rPr>
          <w:sz w:val="21"/>
          <w:b/>
        </w:rPr>
        <w:t>与赔偿</w:t>
      </w:r>
    </w:p>
    <w:p>
      <w:pPr>
        <w:pStyle w:val="null3"/>
        <w:ind w:firstLine="420"/>
        <w:jc w:val="both"/>
      </w:pPr>
      <w:r>
        <w:rPr>
          <w:sz w:val="21"/>
        </w:rPr>
        <w:t>（一）乙方不履行合同的违约责任</w:t>
      </w:r>
    </w:p>
    <w:p>
      <w:pPr>
        <w:pStyle w:val="null3"/>
        <w:ind w:firstLine="420"/>
        <w:jc w:val="both"/>
      </w:pPr>
      <w:r>
        <w:rPr>
          <w:sz w:val="21"/>
        </w:rPr>
        <w:t>1.</w:t>
      </w:r>
      <w:r>
        <w:rPr>
          <w:sz w:val="21"/>
        </w:rPr>
        <w:t>乙方应保证资源投入，更换项目负责人和团队主要成员的须经甲方书面同意，后任人员从业履历和资格能力应不低于前任。乙方擅自更换项目负责人、团队主要成员或者降低工作条件的，甲方一经发现有权要求乙方立即整改。拒不整改或者未在甲方要求的时限内整改到位的，甲方有权要求乙方每次按</w:t>
      </w:r>
      <w:r>
        <w:rPr>
          <w:sz w:val="21"/>
          <w:u w:val="single"/>
        </w:rPr>
        <w:t>合同总额10%</w:t>
      </w:r>
      <w:r>
        <w:rPr>
          <w:sz w:val="21"/>
        </w:rPr>
        <w:t>且不少于人民币伍万元向甲方支付违约金。经整改后，乙方再次擅自更换项目负责人、团队主要成员或者降低工作条件的，甲方有权单方解除合同，乙方应按照</w:t>
      </w:r>
      <w:r>
        <w:rPr>
          <w:sz w:val="21"/>
          <w:u w:val="single"/>
        </w:rPr>
        <w:t>合同总额的20%</w:t>
      </w:r>
      <w:r>
        <w:rPr>
          <w:sz w:val="21"/>
        </w:rPr>
        <w:t>向甲方支付违约金。</w:t>
      </w:r>
    </w:p>
    <w:p>
      <w:pPr>
        <w:pStyle w:val="null3"/>
        <w:ind w:firstLine="420"/>
        <w:jc w:val="both"/>
      </w:pPr>
      <w:r>
        <w:rPr>
          <w:sz w:val="21"/>
        </w:rPr>
        <w:t>2.</w:t>
      </w:r>
      <w:r>
        <w:rPr>
          <w:sz w:val="21"/>
        </w:rPr>
        <w:t>乙方不履行合同或部分不履行合同（包括且不限于乙方擅自将项目全部或者部分交由第三方研究或者开发的），乙方应按照</w:t>
      </w:r>
      <w:r>
        <w:rPr>
          <w:sz w:val="21"/>
          <w:u w:val="single"/>
        </w:rPr>
        <w:t>合同总额的20%</w:t>
      </w:r>
      <w:r>
        <w:rPr>
          <w:sz w:val="21"/>
        </w:rPr>
        <w:t>向甲方支付违约金。如导致合同解除或部分解除的，乙方应当按合同金额的30%向甲方支付违约金。</w:t>
      </w:r>
    </w:p>
    <w:p>
      <w:pPr>
        <w:pStyle w:val="null3"/>
        <w:ind w:firstLine="420"/>
        <w:jc w:val="both"/>
      </w:pPr>
      <w:r>
        <w:rPr>
          <w:sz w:val="21"/>
        </w:rPr>
        <w:t>（二）乙方延迟履行合同的违约责任</w:t>
      </w:r>
    </w:p>
    <w:p>
      <w:pPr>
        <w:pStyle w:val="null3"/>
        <w:ind w:firstLine="420"/>
        <w:jc w:val="both"/>
      </w:pPr>
      <w:r>
        <w:rPr>
          <w:sz w:val="21"/>
        </w:rPr>
        <w:t>1.</w:t>
      </w:r>
      <w:r>
        <w:rPr>
          <w:sz w:val="21"/>
        </w:rPr>
        <w:t>除甲方书面同意延迟之外，乙方未能按本合同的约定提供服务或者交付项目成果，甲方有权要求乙方支付违约金。每延迟一日违约金的金额为</w:t>
      </w:r>
      <w:r>
        <w:rPr>
          <w:sz w:val="21"/>
          <w:u w:val="single"/>
        </w:rPr>
        <w:t>合同总额的0.1％</w:t>
      </w:r>
      <w:r>
        <w:rPr>
          <w:sz w:val="21"/>
        </w:rPr>
        <w:t>。</w:t>
      </w:r>
    </w:p>
    <w:p>
      <w:pPr>
        <w:pStyle w:val="null3"/>
        <w:ind w:firstLine="420"/>
        <w:jc w:val="both"/>
      </w:pPr>
      <w:r>
        <w:rPr>
          <w:sz w:val="21"/>
        </w:rPr>
        <w:t>2.</w:t>
      </w:r>
      <w:r>
        <w:rPr>
          <w:sz w:val="21"/>
        </w:rPr>
        <w:t>若乙方因自身原因未能按本合同的约定提供服务，且延迟期限超过</w:t>
      </w:r>
      <w:r>
        <w:rPr>
          <w:sz w:val="21"/>
          <w:u w:val="single"/>
        </w:rPr>
        <w:t>30</w:t>
      </w:r>
      <w:r>
        <w:rPr>
          <w:sz w:val="21"/>
        </w:rPr>
        <w:t>日，甲方有权单方解除合同，并有权要求乙方按照未完成工作的比例将甲方已付的相应比例的款项退还甲方并赔付</w:t>
      </w:r>
      <w:r>
        <w:rPr>
          <w:sz w:val="21"/>
          <w:u w:val="single"/>
        </w:rPr>
        <w:t>合同总额20%</w:t>
      </w:r>
      <w:r>
        <w:rPr>
          <w:sz w:val="21"/>
        </w:rPr>
        <w:t>的违约金。未完成工作的比例由双方根据合同完成情况协商确定。</w:t>
      </w:r>
    </w:p>
    <w:p>
      <w:pPr>
        <w:pStyle w:val="null3"/>
        <w:ind w:firstLine="420"/>
        <w:jc w:val="both"/>
      </w:pPr>
      <w:r>
        <w:rPr>
          <w:sz w:val="21"/>
        </w:rPr>
        <w:t>（三）乙方服务质量或者成果不符合合同约定的违约责任</w:t>
      </w:r>
    </w:p>
    <w:p>
      <w:pPr>
        <w:pStyle w:val="null3"/>
        <w:ind w:firstLine="420"/>
        <w:jc w:val="both"/>
      </w:pPr>
      <w:r>
        <w:rPr>
          <w:sz w:val="21"/>
        </w:rPr>
        <w:t>乙方应提供与合同要求相符的服务，如因乙方自身原因导致向甲方提供的服务或交付的服务成果不符合合同约定，甲方有权选择以下方式解决：</w:t>
      </w:r>
    </w:p>
    <w:p>
      <w:pPr>
        <w:pStyle w:val="null3"/>
        <w:ind w:firstLine="420"/>
        <w:jc w:val="both"/>
      </w:pPr>
      <w:r>
        <w:rPr>
          <w:sz w:val="21"/>
        </w:rPr>
        <w:t>1.</w:t>
      </w:r>
      <w:r>
        <w:rPr>
          <w:sz w:val="21"/>
        </w:rPr>
        <w:t>乙方应按甲方要求在规定期限内进行整改，重新提供服务和交付项目成果，以使服务达到合同要求，同时承担因此产生的一切费用和风险，负担甲方遭受的一切损失，并承担延迟提供服务、交付项目成果的责任。</w:t>
      </w:r>
    </w:p>
    <w:p>
      <w:pPr>
        <w:pStyle w:val="null3"/>
        <w:ind w:firstLine="420"/>
        <w:jc w:val="both"/>
      </w:pPr>
      <w:r>
        <w:rPr>
          <w:sz w:val="21"/>
        </w:rPr>
        <w:t>2.</w:t>
      </w:r>
      <w:r>
        <w:rPr>
          <w:sz w:val="21"/>
        </w:rPr>
        <w:t>整改后仍无法满足合同要求的，甲方有权单方解除合同，并有权要求乙方按照未达到合同要求项目成果的比例将甲方已付的相应比例的款项退还甲方并赔付</w:t>
      </w:r>
      <w:r>
        <w:rPr>
          <w:sz w:val="21"/>
          <w:u w:val="single"/>
        </w:rPr>
        <w:t>合同总额20%</w:t>
      </w:r>
      <w:r>
        <w:rPr>
          <w:sz w:val="21"/>
        </w:rPr>
        <w:t>的违约金。</w:t>
      </w:r>
    </w:p>
    <w:p>
      <w:pPr>
        <w:pStyle w:val="null3"/>
        <w:ind w:firstLine="420"/>
        <w:jc w:val="both"/>
      </w:pPr>
      <w:r>
        <w:rPr>
          <w:sz w:val="21"/>
        </w:rPr>
        <w:t>（四）乙方存在合同约定的违约行为时，甲方有权书面向乙方发出索赔通知。索赔通知送达乙方即生效。同时，甲方保留进一步要求索赔的权利。所有违约金或者赔偿金的支付不减轻乙方合同项下的任何责任和义务。</w:t>
      </w:r>
    </w:p>
    <w:p>
      <w:pPr>
        <w:pStyle w:val="null3"/>
        <w:ind w:firstLine="420"/>
        <w:jc w:val="both"/>
      </w:pPr>
      <w:r>
        <w:rPr>
          <w:sz w:val="21"/>
        </w:rPr>
        <w:t>（五）本条所约定的违约金，甲方有权合并适用，且甲方有权在应付款项中直接扣减，乙方对此不持异议。</w:t>
      </w:r>
    </w:p>
    <w:p>
      <w:pPr>
        <w:pStyle w:val="null3"/>
        <w:ind w:firstLine="422"/>
        <w:jc w:val="both"/>
      </w:pPr>
      <w:r>
        <w:rPr>
          <w:sz w:val="21"/>
          <w:b/>
        </w:rPr>
        <w:t>第十一条 争议的解决</w:t>
      </w:r>
    </w:p>
    <w:p>
      <w:pPr>
        <w:pStyle w:val="null3"/>
        <w:ind w:firstLine="420"/>
        <w:jc w:val="both"/>
      </w:pPr>
      <w:r>
        <w:rPr>
          <w:sz w:val="21"/>
        </w:rPr>
        <w:t>合同执行过程中发生的任何争议，若双方不能通过友好协商解决，双方一致同意向</w:t>
      </w:r>
      <w:r>
        <w:rPr>
          <w:sz w:val="21"/>
          <w:u w:val="single"/>
        </w:rPr>
        <w:t>广州仲裁委员会</w:t>
      </w:r>
      <w:r>
        <w:rPr>
          <w:sz w:val="21"/>
        </w:rPr>
        <w:t>提起仲裁。仲裁所需相关费用（包括但不限于律师费、仲裁前保全费、仲裁费等）由违约方承担。</w:t>
      </w:r>
    </w:p>
    <w:p>
      <w:pPr>
        <w:pStyle w:val="null3"/>
        <w:ind w:firstLine="422"/>
        <w:jc w:val="both"/>
      </w:pPr>
      <w:r>
        <w:rPr>
          <w:sz w:val="21"/>
          <w:b/>
        </w:rPr>
        <w:t>第十二条 不可抗力</w:t>
      </w:r>
    </w:p>
    <w:p>
      <w:pPr>
        <w:pStyle w:val="null3"/>
        <w:ind w:firstLine="420"/>
        <w:jc w:val="both"/>
      </w:pPr>
      <w:r>
        <w:rPr>
          <w:sz w:val="21"/>
        </w:rPr>
        <w:t>任何一方由于不可抗力原因不能履行合同时，应在不可抗力事件结束后</w:t>
      </w:r>
      <w:r>
        <w:rPr>
          <w:sz w:val="21"/>
          <w:u w:val="single"/>
        </w:rPr>
        <w:t>10日内</w:t>
      </w:r>
      <w:r>
        <w:rPr>
          <w:sz w:val="21"/>
        </w:rPr>
        <w:t>向另一方通报，以减轻可能给对方造成的损失。在取得有关机构的不可抗力证明或双方谅解确认后，允许延期履行或修订合同，并根据情况可部分或全部免于承担违约责任。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rPr>
        <w:t>第十三条 送达</w:t>
      </w:r>
    </w:p>
    <w:p>
      <w:pPr>
        <w:pStyle w:val="null3"/>
        <w:ind w:firstLine="420"/>
        <w:jc w:val="both"/>
      </w:pPr>
      <w:r>
        <w:rPr>
          <w:sz w:val="21"/>
        </w:rPr>
        <w:t>甲、乙双方因履行本合同而相互发出或者提供的所有通知、文件、材料，均以本合同所列明的地址、电话、传真、电子邮箱通知和送达。一方迁址或者变更电话、传真、电子邮箱的，应当书面通知对方。</w:t>
      </w:r>
    </w:p>
    <w:p>
      <w:pPr>
        <w:pStyle w:val="null3"/>
        <w:ind w:firstLine="420"/>
        <w:jc w:val="both"/>
      </w:pPr>
      <w:r>
        <w:rPr>
          <w:sz w:val="21"/>
        </w:rPr>
        <w:t>以当面交付文件方式送达的，交付之时视为送达；以电子数据（电子邮件、即时通讯等）进行送达的，发出电子数据信息时视为送达；以传真方式送达的，发出传真时视为送达；以邮寄方式送达的，邮件交邮当日视为送达。</w:t>
      </w:r>
    </w:p>
    <w:p>
      <w:pPr>
        <w:pStyle w:val="null3"/>
        <w:ind w:firstLine="422"/>
        <w:jc w:val="both"/>
      </w:pPr>
      <w:r>
        <w:rPr>
          <w:sz w:val="21"/>
          <w:b/>
        </w:rPr>
        <w:t xml:space="preserve">第十四条 </w:t>
      </w:r>
      <w:r>
        <w:rPr>
          <w:sz w:val="21"/>
          <w:b/>
        </w:rPr>
        <w:t>其他</w:t>
      </w:r>
    </w:p>
    <w:p>
      <w:pPr>
        <w:pStyle w:val="null3"/>
        <w:ind w:firstLine="420"/>
        <w:jc w:val="both"/>
      </w:pPr>
      <w:r>
        <w:rPr>
          <w:sz w:val="21"/>
        </w:rPr>
        <w:t>（一）本合同之附件及经双方认可的项目实施方案均为本合同不可分割之部分。</w:t>
      </w:r>
    </w:p>
    <w:p>
      <w:pPr>
        <w:pStyle w:val="null3"/>
        <w:ind w:firstLine="420"/>
        <w:jc w:val="both"/>
      </w:pPr>
      <w:r>
        <w:rPr>
          <w:sz w:val="21"/>
        </w:rPr>
        <w:t>（二）本合同未尽事宜，由甲、乙双方另行议定，并签订补充协议。补充协议与本合同不一致的，以补充协议为准。</w:t>
      </w:r>
    </w:p>
    <w:p>
      <w:pPr>
        <w:pStyle w:val="null3"/>
        <w:ind w:firstLine="420"/>
        <w:jc w:val="both"/>
      </w:pPr>
      <w:r>
        <w:rPr>
          <w:sz w:val="21"/>
        </w:rPr>
        <w:t>（三）本合同及其附件和补充协议中未规定的事项，均遵照中华人民共和国有关法律、法规执行。</w:t>
      </w:r>
    </w:p>
    <w:p>
      <w:pPr>
        <w:pStyle w:val="null3"/>
        <w:ind w:firstLine="420"/>
        <w:jc w:val="both"/>
      </w:pPr>
      <w:r>
        <w:rPr>
          <w:sz w:val="21"/>
        </w:rPr>
        <w:t>（四）本合同连同附件一式</w:t>
      </w:r>
      <w:r>
        <w:rPr>
          <w:sz w:val="21"/>
          <w:b/>
          <w:u w:val="single"/>
        </w:rPr>
        <w:t xml:space="preserve"> 陆 </w:t>
      </w:r>
      <w:r>
        <w:rPr>
          <w:sz w:val="21"/>
        </w:rPr>
        <w:t>份，甲、乙双方各执</w:t>
      </w:r>
      <w:r>
        <w:rPr>
          <w:sz w:val="21"/>
          <w:b/>
          <w:u w:val="single"/>
        </w:rPr>
        <w:t xml:space="preserve"> 叁 </w:t>
      </w:r>
      <w:r>
        <w:rPr>
          <w:sz w:val="21"/>
        </w:rPr>
        <w:t>份，均具有同等法律效力。</w:t>
      </w:r>
    </w:p>
    <w:p>
      <w:pPr>
        <w:pStyle w:val="null3"/>
        <w:ind w:firstLine="420"/>
        <w:jc w:val="both"/>
      </w:pPr>
      <w:r>
        <w:rPr>
          <w:sz w:val="21"/>
        </w:rPr>
        <w:t>（五）本合同之内容系双方真实意思表示，不存在胁迫、欺诈、重大误解、显失公平的情形。</w:t>
      </w:r>
    </w:p>
    <w:p>
      <w:pPr>
        <w:pStyle w:val="null3"/>
        <w:ind w:firstLine="420"/>
        <w:jc w:val="both"/>
      </w:pPr>
      <w:r>
        <w:rPr>
          <w:sz w:val="21"/>
          <w:b/>
        </w:rPr>
        <w:t>（以下无正文）</w:t>
      </w:r>
    </w:p>
    <w:p>
      <w:pPr>
        <w:pStyle w:val="null3"/>
        <w:jc w:val="both"/>
      </w:pPr>
      <w:r>
        <w:rPr>
          <w:sz w:val="21"/>
        </w:rPr>
        <w:t>甲方（盖章）：</w:t>
      </w:r>
      <w:r>
        <w:rPr>
          <w:sz w:val="21"/>
          <w:u w:val="single"/>
        </w:rPr>
        <w:t>广东省土地调查规划院</w:t>
      </w:r>
    </w:p>
    <w:p>
      <w:pPr>
        <w:pStyle w:val="null3"/>
        <w:jc w:val="both"/>
      </w:pPr>
      <w:r>
        <w:rPr>
          <w:sz w:val="21"/>
        </w:rPr>
        <w:t>法定代表人/委托代理人：</w:t>
      </w:r>
    </w:p>
    <w:p>
      <w:pPr>
        <w:pStyle w:val="null3"/>
        <w:jc w:val="both"/>
      </w:pPr>
      <w:r>
        <w:rPr>
          <w:sz w:val="21"/>
        </w:rPr>
        <w:t>纳税人识别号：1244 0000 4558 6041 0M</w:t>
      </w:r>
    </w:p>
    <w:p>
      <w:pPr>
        <w:pStyle w:val="null3"/>
        <w:jc w:val="both"/>
      </w:pPr>
      <w:r>
        <w:rPr>
          <w:sz w:val="21"/>
        </w:rPr>
        <w:t>开户银行：中国建设银行广州环市东路支行</w:t>
      </w:r>
    </w:p>
    <w:p>
      <w:pPr>
        <w:pStyle w:val="null3"/>
        <w:jc w:val="both"/>
      </w:pPr>
      <w:r>
        <w:rPr>
          <w:sz w:val="21"/>
        </w:rPr>
        <w:t>帐号：4400 1490 5050 5040 3160</w:t>
      </w:r>
    </w:p>
    <w:p>
      <w:pPr>
        <w:pStyle w:val="null3"/>
        <w:jc w:val="both"/>
      </w:pPr>
      <w:r>
        <w:rPr>
          <w:sz w:val="21"/>
        </w:rPr>
        <w:t>地址：广东省广州市越秀区环市东路468号1栋6楼</w:t>
      </w:r>
    </w:p>
    <w:p>
      <w:pPr>
        <w:pStyle w:val="null3"/>
        <w:jc w:val="both"/>
      </w:pPr>
      <w:r>
        <w:rPr>
          <w:sz w:val="21"/>
        </w:rPr>
        <w:t>邮政编码：510075</w:t>
      </w:r>
    </w:p>
    <w:p>
      <w:pPr>
        <w:pStyle w:val="null3"/>
        <w:jc w:val="both"/>
      </w:pPr>
      <w:r>
        <w:rPr>
          <w:sz w:val="21"/>
        </w:rPr>
        <w:t xml:space="preserve">签定日期：年月日   </w:t>
      </w:r>
    </w:p>
    <w:p>
      <w:pPr>
        <w:pStyle w:val="null3"/>
        <w:jc w:val="both"/>
      </w:pPr>
      <w:r>
        <w:rPr>
          <w:sz w:val="21"/>
        </w:rPr>
        <w:t>乙方（盖章）：</w:t>
      </w:r>
      <w:r>
        <w:rPr>
          <w:sz w:val="21"/>
          <w:u w:val="single"/>
        </w:rPr>
        <w:t xml:space="preserve"> </w:t>
      </w:r>
    </w:p>
    <w:p>
      <w:pPr>
        <w:pStyle w:val="null3"/>
        <w:jc w:val="both"/>
      </w:pPr>
      <w:r>
        <w:rPr>
          <w:sz w:val="21"/>
        </w:rPr>
        <w:t>法定代表人/委托代理人：</w:t>
      </w:r>
      <w:r>
        <w:rPr>
          <w:sz w:val="21"/>
          <w:u w:val="single"/>
        </w:rPr>
        <w:t xml:space="preserve">   </w:t>
      </w:r>
      <w:r>
        <w:rPr>
          <w:sz w:val="21"/>
          <w:u w:val="single"/>
        </w:rPr>
        <w:t>（如委托代理人签署须附法人委托书）</w:t>
      </w:r>
    </w:p>
    <w:p>
      <w:pPr>
        <w:pStyle w:val="null3"/>
        <w:jc w:val="both"/>
      </w:pPr>
      <w:r>
        <w:rPr>
          <w:sz w:val="21"/>
        </w:rPr>
        <w:t>纳税人识别号：</w:t>
      </w:r>
    </w:p>
    <w:p>
      <w:pPr>
        <w:pStyle w:val="null3"/>
        <w:jc w:val="both"/>
      </w:pPr>
      <w:r>
        <w:rPr>
          <w:sz w:val="21"/>
        </w:rPr>
        <w:t>开户银行：</w:t>
      </w:r>
    </w:p>
    <w:p>
      <w:pPr>
        <w:pStyle w:val="null3"/>
        <w:jc w:val="both"/>
      </w:pPr>
      <w:r>
        <w:rPr>
          <w:sz w:val="21"/>
        </w:rPr>
        <w:t>帐号：</w:t>
      </w:r>
    </w:p>
    <w:p>
      <w:pPr>
        <w:pStyle w:val="null3"/>
        <w:jc w:val="both"/>
      </w:pPr>
      <w:r>
        <w:rPr>
          <w:sz w:val="21"/>
        </w:rPr>
        <w:t>地址：</w:t>
      </w:r>
    </w:p>
    <w:p>
      <w:pPr>
        <w:pStyle w:val="null3"/>
        <w:jc w:val="both"/>
      </w:pPr>
      <w:r>
        <w:rPr>
          <w:sz w:val="21"/>
        </w:rPr>
        <w:t>邮政编码：</w:t>
      </w:r>
    </w:p>
    <w:p>
      <w:pPr>
        <w:pStyle w:val="null3"/>
        <w:jc w:val="both"/>
      </w:pPr>
      <w:r>
        <w:rPr>
          <w:sz w:val="21"/>
        </w:rPr>
        <w:t>签定日期：年月日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440001-2025-16451</w:t>
      </w:r>
    </w:p>
    <w:p>
      <w:pPr>
        <w:pStyle w:val="null3"/>
        <w:jc w:val="center"/>
        <w:outlineLvl w:val="3"/>
      </w:pPr>
      <w:r>
        <w:rPr>
          <w:sz w:val="24"/>
          <w:b/>
        </w:rPr>
        <w:t>采购项目编号：</w:t>
      </w:r>
      <w:r>
        <w:rPr>
          <w:sz w:val="24"/>
          <w:b/>
        </w:rPr>
        <w:t>GPCGD253109FG062F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广东省土地调查规划院网络安全运营及机房硬件运维服务（2025年）</w:t>
      </w:r>
      <w:r>
        <w:rPr>
          <w:u w:val="single"/>
        </w:rPr>
        <w:t>”</w:t>
      </w:r>
      <w:r>
        <w:rPr/>
        <w:t>项目的招标[采购项目编号为：</w:t>
      </w:r>
      <w:r>
        <w:rPr>
          <w:u w:val="single"/>
        </w:rPr>
        <w:t>GPCGD253109FG062F</w:t>
      </w:r>
      <w:r>
        <w:rPr/>
        <w:t>]，我方愿参与投标。</w:t>
      </w:r>
    </w:p>
    <w:p>
      <w:pPr>
        <w:pStyle w:val="null3"/>
        <w:ind w:firstLine="480"/>
      </w:pPr>
      <w:r>
        <w:rPr/>
        <w:t>我方确认收到贵方提供的</w:t>
      </w:r>
      <w:r>
        <w:rPr>
          <w:u w:val="single"/>
        </w:rPr>
        <w:t>“</w:t>
      </w:r>
      <w:r>
        <w:rPr>
          <w:u w:val="single"/>
        </w:rPr>
        <w:t>广东省土地调查规划院网络安全运营及机房硬件运维服务（2025年）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广东省土地调查规划院网络安全运营及机房硬件运维服务（2025年）</w:t>
      </w:r>
      <w:r>
        <w:rPr/>
        <w:t>”项目采购[采购项目编号为</w:t>
      </w:r>
      <w:r>
        <w:rPr/>
        <w:t>GPCGD253109FG062F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广东省土地调查规划院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广东省土地调查规划院网络安全运营及机房硬件运维服务（2025年）</w:t>
      </w:r>
      <w:r>
        <w:rPr/>
        <w:t>招标中获中标（采购项目编号：</w:t>
      </w:r>
      <w:r>
        <w:rPr/>
        <w:t>GPCGD253109FG062F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广东省土地调查规划院网络安全运营及机房硬件运维服务（2025年）</w:t>
      </w:r>
      <w:r>
        <w:rPr/>
        <w:t>”项目（采购项目编号：</w:t>
      </w:r>
      <w:r>
        <w:rPr/>
        <w:t>GPCGD253109FG062F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