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440001-2025-00488</w:t>
      </w:r>
    </w:p>
    <w:p>
      <w:pPr>
        <w:pStyle w:val="null3"/>
        <w:jc w:val="center"/>
        <w:outlineLvl w:val="3"/>
      </w:pPr>
      <w:r>
        <w:rPr>
          <w:sz w:val="24"/>
          <w:b/>
        </w:rPr>
        <w:t>采购项目编号：</w:t>
      </w:r>
      <w:r>
        <w:rPr>
          <w:sz w:val="24"/>
          <w:b/>
        </w:rPr>
        <w:t>GPCGD243174HG118J1</w:t>
      </w:r>
    </w:p>
    <w:p>
      <w:pPr>
        <w:pStyle w:val="null3"/>
        <w:jc w:val="center"/>
        <w:outlineLvl w:val="3"/>
      </w:pPr>
      <w:r>
        <w:rPr>
          <w:sz w:val="24"/>
          <w:b/>
        </w:rPr>
        <w:t>项目名称：</w:t>
      </w:r>
      <w:r>
        <w:rPr>
          <w:sz w:val="24"/>
          <w:b/>
        </w:rPr>
        <w:t>数据湖建设配套硬件资源项目（三次）</w:t>
      </w:r>
    </w:p>
    <w:p>
      <w:pPr>
        <w:pStyle w:val="null3"/>
        <w:jc w:val="center"/>
        <w:outlineLvl w:val="3"/>
      </w:pPr>
      <w:r>
        <w:rPr>
          <w:sz w:val="24"/>
          <w:b/>
        </w:rPr>
        <w:t>采购人：</w:t>
      </w:r>
      <w:r>
        <w:rPr>
          <w:sz w:val="24"/>
          <w:b/>
        </w:rPr>
        <w:t>广东省人民医院</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广东省人民医院</w:t>
      </w:r>
      <w:r>
        <w:rPr/>
        <w:t>的委托，采用</w:t>
      </w:r>
      <w:r>
        <w:rPr/>
        <w:t>公开招标</w:t>
      </w:r>
      <w:r>
        <w:rPr/>
        <w:t>方式组织采购</w:t>
      </w:r>
      <w:r>
        <w:rPr/>
        <w:t>数据湖建设配套硬件资源项目（三次）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数据湖建设配套硬件资源项目（三次）</w:t>
      </w:r>
    </w:p>
    <w:p>
      <w:pPr>
        <w:pStyle w:val="null3"/>
        <w:ind w:firstLine="480"/>
      </w:pPr>
      <w:r>
        <w:rPr/>
        <w:t>采购计划编号：</w:t>
      </w:r>
      <w:r>
        <w:rPr/>
        <w:t>440001-2025-00488</w:t>
      </w:r>
    </w:p>
    <w:p>
      <w:pPr>
        <w:pStyle w:val="null3"/>
        <w:ind w:firstLine="480"/>
      </w:pPr>
      <w:r>
        <w:rPr/>
        <w:t>采购项目编号：</w:t>
      </w:r>
      <w:r>
        <w:rPr/>
        <w:t>GPCGD243174HG118J1</w:t>
      </w:r>
    </w:p>
    <w:p>
      <w:pPr>
        <w:pStyle w:val="null3"/>
        <w:ind w:firstLine="480"/>
      </w:pPr>
      <w:r>
        <w:rPr/>
        <w:t>采购方式：</w:t>
      </w:r>
      <w:r>
        <w:rPr/>
        <w:t>公开招标</w:t>
      </w:r>
    </w:p>
    <w:p>
      <w:pPr>
        <w:pStyle w:val="null3"/>
        <w:ind w:firstLine="480"/>
      </w:pPr>
      <w:r>
        <w:rPr/>
        <w:t>预算金额：</w:t>
      </w:r>
      <w:r>
        <w:rPr/>
        <w:t>1,920,000.00</w:t>
      </w:r>
      <w:r>
        <w:rPr/>
        <w:t>元</w:t>
      </w:r>
    </w:p>
    <w:p>
      <w:pPr>
        <w:pStyle w:val="null3"/>
        <w:outlineLvl w:val="3"/>
      </w:pPr>
      <w:r>
        <w:rPr>
          <w:sz w:val="24"/>
          <w:b/>
        </w:rPr>
        <w:t>2.项目内容及需求情况（采购项目技术规格、参数及要求）</w:t>
      </w:r>
    </w:p>
    <w:p>
      <w:pPr>
        <w:pStyle w:val="null3"/>
      </w:pPr>
      <w:r>
        <w:rPr/>
        <w:t>采购包1(AI服务器和虚拟化服务器):</w:t>
      </w:r>
    </w:p>
    <w:p>
      <w:pPr>
        <w:pStyle w:val="null3"/>
      </w:pPr>
      <w:r>
        <w:rPr/>
        <w:t>采购包预算金额：1,920,000.00元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服务器</w:t>
            </w:r>
          </w:p>
        </w:tc>
        <w:tc>
          <w:tcPr>
            <w:tcW w:type="dxa" w:w="2136"/>
          </w:tcPr>
          <w:p>
            <w:pPr>
              <w:pStyle w:val="null3"/>
            </w:pPr>
            <w:r>
              <w:rPr/>
              <w:t>AI服务器</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服务器</w:t>
            </w:r>
          </w:p>
        </w:tc>
        <w:tc>
          <w:tcPr>
            <w:tcW w:type="dxa" w:w="2136"/>
          </w:tcPr>
          <w:p>
            <w:pPr>
              <w:pStyle w:val="null3"/>
            </w:pPr>
            <w:r>
              <w:rPr/>
              <w:t>虚拟化服务器</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合同履行期限：合同签订日起至项目采购完毕。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以下2种证明材料之一：①经会计师事务所审计的2023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采购包1（AI服务器和虚拟化服务器）：</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广东省人民医院</w:t>
      </w:r>
    </w:p>
    <w:p>
      <w:pPr>
        <w:pStyle w:val="null3"/>
        <w:ind w:firstLine="480"/>
      </w:pPr>
      <w:r>
        <w:rPr/>
        <w:t xml:space="preserve"> 地址：</w:t>
      </w:r>
      <w:r>
        <w:rPr/>
        <w:t>广州市越秀区中山二路106号</w:t>
      </w:r>
    </w:p>
    <w:p>
      <w:pPr>
        <w:pStyle w:val="null3"/>
        <w:ind w:firstLine="480"/>
      </w:pPr>
      <w:r>
        <w:rPr/>
        <w:t xml:space="preserve"> 联系方式：</w:t>
      </w:r>
      <w:r>
        <w:rPr/>
        <w:t>83827812-21223</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1</w:t>
      </w:r>
      <w:r>
        <w:rPr>
          <w:sz w:val="21"/>
          <w:b/>
        </w:rPr>
        <w:t>、项目内容及需求</w:t>
      </w:r>
    </w:p>
    <w:p>
      <w:pPr>
        <w:pStyle w:val="null3"/>
        <w:ind w:firstLine="420"/>
        <w:jc w:val="both"/>
      </w:pPr>
      <w:r>
        <w:rPr>
          <w:sz w:val="21"/>
        </w:rPr>
        <w:t>供应商须对本项目为单位的货物及服务进行整体响应，任何只对本项目其中一部分内容进行的响应都被视为无效响应。</w:t>
      </w:r>
    </w:p>
    <w:p>
      <w:pPr>
        <w:pStyle w:val="null3"/>
        <w:ind w:firstLine="420"/>
        <w:jc w:val="both"/>
      </w:pPr>
      <w:r>
        <w:rPr>
          <w:sz w:val="21"/>
        </w:rPr>
        <w:t>《采购需求》中标注有“★”号的条款必须实质性响应，负偏离任一“★”号条款（不满足要求）将导致报价无效。</w:t>
      </w:r>
    </w:p>
    <w:p>
      <w:pPr>
        <w:pStyle w:val="null3"/>
        <w:ind w:firstLine="420"/>
        <w:jc w:val="both"/>
      </w:pPr>
      <w:r>
        <w:rPr>
          <w:sz w:val="21"/>
        </w:rPr>
        <w:t>《采购需求》中标注有“▲”的为重要参数指标，投标人若有部分“▲”条款未响应或不满足，将导致其响应性评审扣分。</w:t>
      </w:r>
    </w:p>
    <w:p>
      <w:pPr>
        <w:pStyle w:val="null3"/>
        <w:ind w:firstLine="422"/>
        <w:jc w:val="both"/>
      </w:pPr>
      <w:r>
        <w:rPr>
          <w:sz w:val="21"/>
          <w:b/>
        </w:rPr>
        <w:t>2</w:t>
      </w:r>
      <w:r>
        <w:rPr>
          <w:sz w:val="21"/>
          <w:b/>
        </w:rPr>
        <w:t>、供应商所投的产品，符合节能产品、环境标志产品政策要求的，按附件中《政策适用性说明》格式提供说明。</w:t>
      </w:r>
    </w:p>
    <w:p>
      <w:pPr>
        <w:pStyle w:val="null3"/>
        <w:jc w:val="both"/>
      </w:pPr>
      <w:r>
        <w:rPr>
          <w:sz w:val="28"/>
          <w:b/>
        </w:rPr>
        <w:t>一</w:t>
      </w:r>
      <w:r>
        <w:rPr>
          <w:sz w:val="28"/>
          <w:b/>
        </w:rPr>
        <w:t xml:space="preserve">. </w:t>
      </w:r>
      <w:r>
        <w:rPr>
          <w:sz w:val="28"/>
          <w:b/>
        </w:rPr>
        <w:t>项目概况</w:t>
      </w:r>
    </w:p>
    <w:p>
      <w:pPr>
        <w:pStyle w:val="null3"/>
        <w:ind w:firstLine="420"/>
      </w:pPr>
      <w:r>
        <w:rPr>
          <w:sz w:val="21"/>
        </w:rPr>
        <w:t>广东省人民医院拟采购</w:t>
      </w:r>
      <w:r>
        <w:rPr>
          <w:sz w:val="21"/>
        </w:rPr>
        <w:t>2023</w:t>
      </w:r>
      <w:r>
        <w:rPr>
          <w:sz w:val="21"/>
        </w:rPr>
        <w:t>年数据湖建设配套硬件资源：</w:t>
      </w:r>
    </w:p>
    <w:p>
      <w:pPr>
        <w:pStyle w:val="null3"/>
        <w:ind w:firstLine="420"/>
        <w:jc w:val="both"/>
      </w:pPr>
      <w:r>
        <w:rPr>
          <w:sz w:val="21"/>
        </w:rPr>
        <w:t>采购包</w:t>
      </w:r>
      <w:r>
        <w:rPr>
          <w:sz w:val="21"/>
        </w:rPr>
        <w:t>1</w:t>
      </w:r>
      <w:r>
        <w:rPr>
          <w:sz w:val="21"/>
        </w:rPr>
        <w:t>：（</w:t>
      </w:r>
      <w:r>
        <w:rPr>
          <w:sz w:val="21"/>
        </w:rPr>
        <w:t>AI</w:t>
      </w:r>
      <w:r>
        <w:rPr>
          <w:sz w:val="21"/>
        </w:rPr>
        <w:t>服务器和虚拟化服务器设备），预算：</w:t>
      </w:r>
      <w:r>
        <w:rPr>
          <w:sz w:val="21"/>
        </w:rPr>
        <w:t>192</w:t>
      </w:r>
      <w:r>
        <w:rPr>
          <w:sz w:val="21"/>
        </w:rPr>
        <w:t>万</w:t>
      </w:r>
    </w:p>
    <w:p>
      <w:pPr>
        <w:pStyle w:val="null3"/>
        <w:jc w:val="both"/>
      </w:pPr>
      <w:r>
        <w:rPr>
          <w:sz w:val="28"/>
          <w:b/>
        </w:rPr>
        <w:t>二、采购清单</w:t>
      </w:r>
    </w:p>
    <w:p>
      <w:pPr>
        <w:pStyle w:val="null3"/>
        <w:jc w:val="both"/>
      </w:pPr>
      <w:r>
        <w:rPr>
          <w:sz w:val="21"/>
        </w:rPr>
        <w:t>子包</w:t>
      </w:r>
      <w:r>
        <w:rPr>
          <w:sz w:val="21"/>
        </w:rPr>
        <w:t>1 AI</w:t>
      </w:r>
      <w:r>
        <w:rPr>
          <w:sz w:val="21"/>
        </w:rPr>
        <w:t>服务器和虚拟化服务器设备及数量如下：</w:t>
      </w:r>
    </w:p>
    <w:tbl>
      <w:tblPr>
        <w:tblW w:w="0" w:type="auto"/>
        <w:tblBorders>
          <w:top w:val="none" w:color="000000" w:sz="4"/>
          <w:left w:val="none" w:color="000000" w:sz="4"/>
          <w:bottom w:val="none" w:color="000000" w:sz="4"/>
          <w:right w:val="none" w:color="000000" w:sz="4"/>
          <w:insideH w:val="none"/>
          <w:insideV w:val="none"/>
        </w:tblBorders>
      </w:tblPr>
      <w:tblGrid>
        <w:gridCol w:w="1007"/>
        <w:gridCol w:w="2517"/>
        <w:gridCol w:w="1594"/>
        <w:gridCol w:w="1594"/>
        <w:gridCol w:w="1594"/>
      </w:tblGrid>
      <w:tr>
        <w:tc>
          <w:tcPr>
            <w:tcW w:type="dxa" w:w="1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15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详细配置参数</w:t>
            </w:r>
          </w:p>
        </w:tc>
        <w:tc>
          <w:tcPr>
            <w:tcW w:type="dxa" w:w="15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5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分项预算（万元）</w:t>
            </w:r>
          </w:p>
        </w:tc>
      </w:tr>
      <w:tr>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w:t>
            </w:r>
            <w:r>
              <w:rPr>
                <w:sz w:val="21"/>
              </w:rPr>
              <w:t>服务器（核心产品）</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w:t>
            </w:r>
            <w:r>
              <w:rPr>
                <w:sz w:val="21"/>
                <w:color w:val="000000"/>
              </w:rPr>
              <w:t>3.1.1</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r>
              <w:rPr>
                <w:sz w:val="21"/>
                <w:color w:val="000000"/>
              </w:rPr>
              <w:t>台</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w:t>
            </w:r>
          </w:p>
        </w:tc>
      </w:tr>
      <w:tr>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虚拟化服务器</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w:t>
            </w:r>
            <w:r>
              <w:rPr>
                <w:sz w:val="21"/>
                <w:color w:val="000000"/>
              </w:rPr>
              <w:t>3.1.2</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r>
              <w:rPr>
                <w:sz w:val="21"/>
                <w:color w:val="000000"/>
              </w:rPr>
              <w:t>台</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w:t>
            </w:r>
          </w:p>
        </w:tc>
      </w:tr>
    </w:tbl>
    <w:p>
      <w:pPr>
        <w:pStyle w:val="null3"/>
        <w:ind w:firstLine="527"/>
        <w:jc w:val="both"/>
      </w:pPr>
      <w:r>
        <w:rPr>
          <w:sz w:val="21"/>
        </w:rPr>
        <w:t>★本项目不允许分包，如供应商在投标</w:t>
      </w:r>
      <w:r>
        <w:rPr>
          <w:sz w:val="21"/>
        </w:rPr>
        <w:t>/</w:t>
      </w:r>
      <w:r>
        <w:rPr>
          <w:sz w:val="21"/>
        </w:rPr>
        <w:t>响应文件中未出现《分包协议意向书》，则视为未采取分包。</w:t>
      </w:r>
    </w:p>
    <w:p>
      <w:pPr>
        <w:pStyle w:val="null3"/>
        <w:ind w:firstLine="525"/>
        <w:jc w:val="both"/>
      </w:pPr>
      <w:r>
        <w:rPr>
          <w:sz w:val="21"/>
        </w:rPr>
        <w:t>服务期限：合同签订日起至项目采购完毕。</w:t>
      </w:r>
    </w:p>
    <w:p>
      <w:pPr>
        <w:pStyle w:val="null3"/>
        <w:ind w:firstLine="525"/>
        <w:jc w:val="both"/>
      </w:pPr>
      <w:r>
        <w:rPr>
          <w:sz w:val="21"/>
        </w:rPr>
        <w:t>(</w:t>
      </w:r>
      <w:r>
        <w:rPr>
          <w:sz w:val="21"/>
        </w:rPr>
        <w:t>一</w:t>
      </w:r>
      <w:r>
        <w:rPr>
          <w:sz w:val="21"/>
        </w:rPr>
        <w:t>)</w:t>
      </w:r>
      <w:r>
        <w:rPr>
          <w:sz w:val="21"/>
        </w:rPr>
        <w:t>供货方须在院方支付合同首款后的</w:t>
      </w:r>
      <w:r>
        <w:rPr>
          <w:sz w:val="21"/>
        </w:rPr>
        <w:t>7</w:t>
      </w:r>
      <w:r>
        <w:rPr>
          <w:sz w:val="21"/>
        </w:rPr>
        <w:t>个工作日内向院方提交采购清单中的物品。</w:t>
      </w:r>
    </w:p>
    <w:p>
      <w:pPr>
        <w:pStyle w:val="null3"/>
        <w:ind w:firstLine="525"/>
      </w:pPr>
      <w:r>
        <w:rPr>
          <w:sz w:val="21"/>
        </w:rPr>
        <w:t>(</w:t>
      </w:r>
      <w:r>
        <w:rPr>
          <w:sz w:val="21"/>
        </w:rPr>
        <w:t>二</w:t>
      </w:r>
      <w:r>
        <w:rPr>
          <w:sz w:val="21"/>
        </w:rPr>
        <w:t>)</w:t>
      </w:r>
      <w:r>
        <w:rPr>
          <w:sz w:val="21"/>
        </w:rPr>
        <w:t>交货日期以货物到达院方指定货运详细地址（广州市越秀区中山二路广东省人民医院</w:t>
      </w:r>
    </w:p>
    <w:p>
      <w:pPr>
        <w:pStyle w:val="null3"/>
        <w:ind w:firstLine="525"/>
        <w:jc w:val="both"/>
      </w:pPr>
      <w:r>
        <w:rPr>
          <w:sz w:val="21"/>
        </w:rPr>
        <w:t>）的日期为准。</w:t>
      </w:r>
    </w:p>
    <w:p>
      <w:pPr>
        <w:pStyle w:val="null3"/>
        <w:ind w:firstLine="525"/>
        <w:jc w:val="both"/>
      </w:pPr>
      <w:r>
        <w:rPr>
          <w:sz w:val="28"/>
          <w:b/>
        </w:rPr>
        <w:t>三</w:t>
      </w:r>
      <w:r>
        <w:rPr>
          <w:sz w:val="28"/>
          <w:b/>
        </w:rPr>
        <w:t>.</w:t>
      </w:r>
      <w:r>
        <w:rPr>
          <w:sz w:val="28"/>
          <w:b/>
        </w:rPr>
        <w:t>技术要求</w:t>
      </w:r>
    </w:p>
    <w:p>
      <w:pPr>
        <w:pStyle w:val="null3"/>
        <w:spacing w:before="255" w:after="255"/>
        <w:jc w:val="both"/>
      </w:pPr>
      <w:r>
        <w:rPr>
          <w:sz w:val="24"/>
          <w:b/>
        </w:rPr>
        <w:t>3.1</w:t>
      </w:r>
      <w:r>
        <w:rPr>
          <w:sz w:val="24"/>
          <w:b/>
        </w:rPr>
        <w:t>子包</w:t>
      </w:r>
      <w:r>
        <w:rPr>
          <w:sz w:val="24"/>
          <w:b/>
        </w:rPr>
        <w:t>1 AI</w:t>
      </w:r>
      <w:r>
        <w:rPr>
          <w:sz w:val="24"/>
          <w:b/>
        </w:rPr>
        <w:t>服务器和虚拟化服务器设备相关参数要求</w:t>
      </w:r>
    </w:p>
    <w:p>
      <w:pPr>
        <w:pStyle w:val="null3"/>
        <w:spacing w:before="285" w:after="285"/>
        <w:jc w:val="both"/>
      </w:pPr>
      <w:r>
        <w:rPr>
          <w:sz w:val="21"/>
          <w:b/>
        </w:rPr>
        <w:t>3.1.1  AI</w:t>
      </w:r>
      <w:r>
        <w:rPr>
          <w:sz w:val="21"/>
          <w:b/>
        </w:rPr>
        <w:t>服务器参数要求</w:t>
      </w:r>
    </w:p>
    <w:tbl>
      <w:tblPr>
        <w:tblW w:w="0" w:type="auto"/>
        <w:tblBorders>
          <w:top w:val="none" w:color="000000" w:sz="4"/>
          <w:left w:val="none" w:color="000000" w:sz="4"/>
          <w:bottom w:val="none" w:color="000000" w:sz="4"/>
          <w:right w:val="none" w:color="000000" w:sz="4"/>
          <w:insideH w:val="none"/>
          <w:insideV w:val="none"/>
        </w:tblBorders>
      </w:tblPr>
      <w:tblGrid>
        <w:gridCol w:w="771"/>
        <w:gridCol w:w="771"/>
        <w:gridCol w:w="1541"/>
        <w:gridCol w:w="4966"/>
        <w:gridCol w:w="257"/>
      </w:tblGrid>
      <w:tr>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指标分类</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一级指标</w:t>
            </w:r>
          </w:p>
        </w:tc>
        <w:tc>
          <w:tcPr>
            <w:tcW w:type="dxa" w:w="1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二级指标</w:t>
            </w:r>
          </w:p>
        </w:tc>
        <w:tc>
          <w:tcPr>
            <w:tcW w:type="dxa" w:w="4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指标要求</w:t>
            </w:r>
          </w:p>
        </w:tc>
        <w:tc>
          <w:tcPr>
            <w:tcW w:type="dxa" w:w="2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7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产品规格</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CPU </w:t>
            </w:r>
            <w:r>
              <w:rPr>
                <w:sz w:val="21"/>
              </w:rPr>
              <w:t>规格</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 xml:space="preserve">CPU </w:t>
            </w:r>
            <w:r>
              <w:rPr>
                <w:sz w:val="21"/>
              </w:rPr>
              <w:t>信息</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CPU</w:t>
            </w:r>
            <w:r>
              <w:rPr>
                <w:sz w:val="21"/>
              </w:rPr>
              <w:t>型号不限，核心数≥</w:t>
            </w:r>
            <w:r>
              <w:rPr>
                <w:sz w:val="21"/>
              </w:rPr>
              <w:t>32</w:t>
            </w:r>
            <w:r>
              <w:rPr>
                <w:sz w:val="21"/>
              </w:rPr>
              <w:t>，主频≥</w:t>
            </w:r>
            <w:r>
              <w:rPr>
                <w:sz w:val="21"/>
              </w:rPr>
              <w:t>2.2GHz</w:t>
            </w:r>
            <w:r>
              <w:rPr>
                <w:sz w:val="21"/>
              </w:rPr>
              <w:t>，末级缓存容量≥</w:t>
            </w:r>
            <w:r>
              <w:rPr>
                <w:sz w:val="21"/>
              </w:rPr>
              <w:t>48 MB</w:t>
            </w:r>
            <w:r>
              <w:rPr>
                <w:sz w:val="21"/>
              </w:rPr>
              <w:t>，线程数≥</w:t>
            </w:r>
            <w:r>
              <w:rPr>
                <w:sz w:val="21"/>
              </w:rPr>
              <w:t>64</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主板规格</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★主板支持的</w:t>
            </w:r>
            <w:r>
              <w:rPr>
                <w:sz w:val="21"/>
              </w:rPr>
              <w:t>CPU</w:t>
            </w:r>
            <w:r>
              <w:rPr>
                <w:sz w:val="21"/>
              </w:rPr>
              <w:t>和内存情况</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支持的</w:t>
            </w:r>
            <w:r>
              <w:rPr>
                <w:sz w:val="21"/>
              </w:rPr>
              <w:t>CPU</w:t>
            </w:r>
            <w:r>
              <w:rPr>
                <w:sz w:val="21"/>
              </w:rPr>
              <w:t>与供应商提供的</w:t>
            </w:r>
            <w:r>
              <w:rPr>
                <w:sz w:val="21"/>
              </w:rPr>
              <w:t>CPU</w:t>
            </w:r>
            <w:r>
              <w:rPr>
                <w:sz w:val="21"/>
              </w:rPr>
              <w:t>相匹配，≥</w:t>
            </w:r>
            <w:r>
              <w:rPr>
                <w:sz w:val="21"/>
              </w:rPr>
              <w:t>2</w:t>
            </w:r>
            <w:r>
              <w:rPr>
                <w:sz w:val="21"/>
              </w:rPr>
              <w:t>颗；支持</w:t>
            </w:r>
            <w:r>
              <w:rPr>
                <w:sz w:val="21"/>
              </w:rPr>
              <w:t>DDR4 16GB/32GB</w:t>
            </w:r>
            <w:r>
              <w:rPr>
                <w:sz w:val="21"/>
              </w:rPr>
              <w:t>内存，型号不限，≥</w:t>
            </w:r>
            <w:r>
              <w:rPr>
                <w:sz w:val="21"/>
              </w:rPr>
              <w:t>32</w:t>
            </w:r>
            <w:r>
              <w:rPr>
                <w:sz w:val="21"/>
              </w:rPr>
              <w:t>条</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★主板内存槽数量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32</w:t>
            </w:r>
            <w:r>
              <w:rPr>
                <w:sz w:val="21"/>
              </w:rPr>
              <w:t>个</w:t>
            </w:r>
            <w:r>
              <w:rPr>
                <w:sz w:val="21"/>
              </w:rPr>
              <w:t>DDR4</w:t>
            </w:r>
            <w:r>
              <w:rPr>
                <w:sz w:val="21"/>
              </w:rPr>
              <w:t>内存插槽</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★主板存储接口</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SATA</w:t>
            </w:r>
            <w:r>
              <w:rPr>
                <w:sz w:val="21"/>
              </w:rPr>
              <w:t>、</w:t>
            </w:r>
            <w:r>
              <w:rPr>
                <w:sz w:val="21"/>
              </w:rPr>
              <w:t>SAS</w:t>
            </w:r>
            <w:r>
              <w:rPr>
                <w:sz w:val="21"/>
              </w:rPr>
              <w:t>、</w:t>
            </w:r>
            <w:r>
              <w:rPr>
                <w:sz w:val="21"/>
              </w:rPr>
              <w:t>M.2</w:t>
            </w:r>
            <w:r>
              <w:rPr>
                <w:sz w:val="21"/>
              </w:rPr>
              <w:t>、</w:t>
            </w:r>
            <w:r>
              <w:rPr>
                <w:sz w:val="21"/>
              </w:rPr>
              <w:t xml:space="preserve">U.2 </w:t>
            </w:r>
            <w:r>
              <w:rPr>
                <w:sz w:val="21"/>
              </w:rPr>
              <w:t>等存储接口</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 xml:space="preserve">PCIe </w:t>
            </w:r>
            <w:r>
              <w:rPr>
                <w:sz w:val="21"/>
              </w:rPr>
              <w:t>插槽接口</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w:t>
            </w:r>
            <w:r>
              <w:rPr>
                <w:sz w:val="21"/>
              </w:rPr>
              <w:t xml:space="preserve"> PCIe4.0 </w:t>
            </w:r>
            <w:r>
              <w:rPr>
                <w:sz w:val="21"/>
              </w:rPr>
              <w:t>或以上的高速串行计算机扩展总线标准，</w:t>
            </w:r>
            <w:r>
              <w:rPr>
                <w:sz w:val="21"/>
              </w:rPr>
              <w:t xml:space="preserve">PCIe </w:t>
            </w:r>
            <w:r>
              <w:rPr>
                <w:sz w:val="21"/>
              </w:rPr>
              <w:t>的接口速率与位宽需保证向下兼容</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★主板</w:t>
            </w:r>
            <w:r>
              <w:rPr>
                <w:sz w:val="21"/>
              </w:rPr>
              <w:t xml:space="preserve"> PCIe</w:t>
            </w:r>
            <w:r>
              <w:rPr>
                <w:sz w:val="21"/>
              </w:rPr>
              <w:t>插槽数量及规格</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服务器</w:t>
            </w:r>
            <w:r>
              <w:rPr>
                <w:sz w:val="21"/>
              </w:rPr>
              <w:t xml:space="preserve"> PCIe </w:t>
            </w:r>
            <w:r>
              <w:rPr>
                <w:sz w:val="21"/>
              </w:rPr>
              <w:t>插槽或接口≥</w:t>
            </w:r>
            <w:r>
              <w:rPr>
                <w:sz w:val="21"/>
              </w:rPr>
              <w:t xml:space="preserve"> 5</w:t>
            </w:r>
            <w:r>
              <w:rPr>
                <w:sz w:val="21"/>
              </w:rPr>
              <w:t>个</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板载网络接口</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个专用管理</w:t>
            </w:r>
            <w:r>
              <w:rPr>
                <w:sz w:val="21"/>
              </w:rPr>
              <w:t>GE</w:t>
            </w:r>
            <w:r>
              <w:rPr>
                <w:sz w:val="21"/>
              </w:rPr>
              <w:t>网口</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主板</w:t>
            </w:r>
            <w:r>
              <w:rPr>
                <w:sz w:val="21"/>
              </w:rPr>
              <w:t xml:space="preserve"> OCP </w:t>
            </w:r>
            <w:r>
              <w:rPr>
                <w:sz w:val="21"/>
              </w:rPr>
              <w:t>插槽数量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 xml:space="preserve"> OCP3.0</w:t>
            </w:r>
            <w:r>
              <w:rPr>
                <w:sz w:val="21"/>
              </w:rPr>
              <w:t>及以上插槽的数量≥</w:t>
            </w:r>
            <w:r>
              <w:rPr>
                <w:sz w:val="21"/>
              </w:rPr>
              <w:t xml:space="preserve"> 2</w:t>
            </w:r>
            <w:r>
              <w:rPr>
                <w:sz w:val="21"/>
              </w:rPr>
              <w:t>个</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内存规格</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★内存数量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32</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★内存规格</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DDR4</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★内存通道</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支持多个内存接口通道，每个通道可支持</w:t>
            </w:r>
            <w:r>
              <w:rPr>
                <w:sz w:val="21"/>
              </w:rPr>
              <w:t xml:space="preserve"> 1DPC </w:t>
            </w:r>
            <w:r>
              <w:rPr>
                <w:sz w:val="21"/>
              </w:rPr>
              <w:t>或</w:t>
            </w:r>
            <w:r>
              <w:rPr>
                <w:sz w:val="21"/>
              </w:rPr>
              <w:t xml:space="preserve"> 2DPC</w:t>
            </w:r>
            <w:r>
              <w:rPr>
                <w:sz w:val="21"/>
              </w:rPr>
              <w:t>，当支持</w:t>
            </w:r>
            <w:r>
              <w:rPr>
                <w:sz w:val="21"/>
              </w:rPr>
              <w:t xml:space="preserve"> 2DPC</w:t>
            </w:r>
            <w:r>
              <w:rPr>
                <w:sz w:val="21"/>
              </w:rPr>
              <w:t>时，印制电路板上应具备插槽的序号标识，具体通道数应在随机文件中明确</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存储规格</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M.2</w:t>
            </w:r>
            <w:r>
              <w:rPr>
                <w:sz w:val="21"/>
              </w:rPr>
              <w:t>固态盘实配容量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240GB</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M.2</w:t>
            </w:r>
            <w:r>
              <w:rPr>
                <w:sz w:val="21"/>
              </w:rPr>
              <w:t>固态盘实配数量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w:t>
            </w:r>
            <w:r>
              <w:rPr>
                <w:sz w:val="21"/>
              </w:rPr>
              <w:t>块</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SATA</w:t>
            </w:r>
            <w:r>
              <w:rPr>
                <w:sz w:val="21"/>
              </w:rPr>
              <w:t>固态盘实配容量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3.84TB</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SATA</w:t>
            </w:r>
            <w:r>
              <w:rPr>
                <w:sz w:val="21"/>
              </w:rPr>
              <w:t>固态盘实配数量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w:t>
            </w:r>
            <w:r>
              <w:rPr>
                <w:sz w:val="21"/>
              </w:rPr>
              <w:t>块</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★硬盘插槽数量及规格</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可支持的硬盘数量≥</w:t>
            </w:r>
            <w:r>
              <w:rPr>
                <w:sz w:val="21"/>
              </w:rPr>
              <w:t xml:space="preserve"> 8 </w:t>
            </w:r>
            <w:r>
              <w:rPr>
                <w:sz w:val="21"/>
              </w:rPr>
              <w:t>块，硬盘尺寸为</w:t>
            </w:r>
            <w:r>
              <w:rPr>
                <w:sz w:val="21"/>
              </w:rPr>
              <w:t>2.5</w:t>
            </w:r>
            <w:r>
              <w:rPr>
                <w:sz w:val="21"/>
              </w:rPr>
              <w:t>英寸或</w:t>
            </w:r>
            <w:r>
              <w:rPr>
                <w:sz w:val="21"/>
              </w:rPr>
              <w:t>3.5</w:t>
            </w:r>
            <w:r>
              <w:rPr>
                <w:sz w:val="21"/>
              </w:rPr>
              <w:t>英寸</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RAID</w:t>
            </w:r>
            <w:r>
              <w:rPr>
                <w:sz w:val="21"/>
              </w:rPr>
              <w:t>卡规格</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 xml:space="preserve">RAID </w:t>
            </w:r>
            <w:r>
              <w:rPr>
                <w:sz w:val="21"/>
              </w:rPr>
              <w:t>卡数量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 xml:space="preserve">RAID </w:t>
            </w:r>
            <w:r>
              <w:rPr>
                <w:sz w:val="21"/>
              </w:rPr>
              <w:t>卡支持的</w:t>
            </w:r>
            <w:r>
              <w:rPr>
                <w:sz w:val="21"/>
              </w:rPr>
              <w:t xml:space="preserve"> SAS</w:t>
            </w:r>
            <w:r>
              <w:rPr>
                <w:sz w:val="21"/>
              </w:rPr>
              <w:t>接口数</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8</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网络规格</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★网口速率和数量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配备光网口数量≥</w:t>
            </w:r>
            <w:r>
              <w:rPr>
                <w:sz w:val="21"/>
              </w:rPr>
              <w:t>8</w:t>
            </w:r>
            <w:r>
              <w:rPr>
                <w:sz w:val="21"/>
              </w:rPr>
              <w:t>个（含光模块），且网口速率≥</w:t>
            </w:r>
            <w:r>
              <w:rPr>
                <w:sz w:val="21"/>
              </w:rPr>
              <w:t>10GE</w:t>
            </w:r>
            <w:r>
              <w:rPr>
                <w:sz w:val="21"/>
              </w:rPr>
              <w:t>；配备电网口数量≥</w:t>
            </w:r>
            <w:r>
              <w:rPr>
                <w:sz w:val="21"/>
              </w:rPr>
              <w:t>4</w:t>
            </w:r>
            <w:r>
              <w:rPr>
                <w:sz w:val="21"/>
              </w:rPr>
              <w:t>个，且网口速率≥</w:t>
            </w:r>
            <w:r>
              <w:rPr>
                <w:sz w:val="21"/>
              </w:rPr>
              <w:t>1GE</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外部接口规格</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★显示接口</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w:t>
            </w:r>
            <w:r>
              <w:rPr>
                <w:sz w:val="21"/>
              </w:rPr>
              <w:t>个</w:t>
            </w:r>
            <w:r>
              <w:rPr>
                <w:sz w:val="21"/>
              </w:rPr>
              <w:t>VGA</w:t>
            </w:r>
            <w:r>
              <w:rPr>
                <w:sz w:val="21"/>
              </w:rPr>
              <w:t>接口</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 xml:space="preserve">USB </w:t>
            </w:r>
            <w:r>
              <w:rPr>
                <w:sz w:val="21"/>
              </w:rPr>
              <w:t>接口</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w:t>
            </w:r>
            <w:r>
              <w:rPr>
                <w:sz w:val="21"/>
              </w:rPr>
              <w:t>个</w:t>
            </w:r>
            <w:r>
              <w:rPr>
                <w:sz w:val="21"/>
              </w:rPr>
              <w:t>USB3.0</w:t>
            </w:r>
            <w:r>
              <w:rPr>
                <w:sz w:val="21"/>
              </w:rPr>
              <w:t>接口</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其他接口</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Type-C IBMC</w:t>
            </w:r>
            <w:r>
              <w:rPr>
                <w:sz w:val="21"/>
              </w:rPr>
              <w:t>直连端口</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电源规格</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电源冗余模式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整机电源模块按</w:t>
            </w:r>
            <w:r>
              <w:rPr>
                <w:sz w:val="21"/>
              </w:rPr>
              <w:t xml:space="preserve">1+1 </w:t>
            </w:r>
            <w:r>
              <w:rPr>
                <w:sz w:val="21"/>
              </w:rPr>
              <w:t>冗余</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★电源模块数量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★电源功率</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2000W</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整机规格</w:t>
            </w:r>
          </w:p>
        </w:tc>
        <w:tc>
          <w:tcPr>
            <w:tcW w:type="dxa" w:w="15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★外观和结构</w:t>
            </w:r>
          </w:p>
        </w:tc>
        <w:tc>
          <w:tcPr>
            <w:tcW w:type="dxa" w:w="4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w:t>
            </w:r>
            <w:r>
              <w:rPr>
                <w:sz w:val="21"/>
              </w:rPr>
              <w:t>服务器的零部件应紧固无松动，可插拔部件应可靠连接，开关、按钮和其它控制部件应灵活可靠，布局应方便使用；</w:t>
            </w:r>
            <w:r>
              <w:br/>
            </w:r>
            <w:r>
              <w:rPr>
                <w:sz w:val="21"/>
              </w:rPr>
              <w:t xml:space="preserve"> b) </w:t>
            </w:r>
            <w:r>
              <w:rPr>
                <w:sz w:val="21"/>
              </w:rPr>
              <w:t>产品表面不应有明显的凹痕、划伤、裂缝、变形和污染等。表面涂层均匀，不应起泡、龟裂、脱落和磨损，金属零部件无锈蚀及其它机械损伤；</w:t>
            </w:r>
            <w:r>
              <w:br/>
            </w:r>
            <w:r>
              <w:rPr>
                <w:sz w:val="21"/>
              </w:rPr>
              <w:t xml:space="preserve"> c) </w:t>
            </w:r>
            <w:r>
              <w:rPr>
                <w:sz w:val="21"/>
              </w:rPr>
              <w:t>产品表面说明功能的文字、符号和标志应清晰、端正且牢固；</w:t>
            </w:r>
            <w:r>
              <w:br/>
            </w:r>
            <w:r>
              <w:rPr>
                <w:sz w:val="21"/>
              </w:rPr>
              <w:t xml:space="preserve"> d) </w:t>
            </w:r>
            <w:r>
              <w:rPr>
                <w:sz w:val="21"/>
              </w:rPr>
              <w:t>应在服务器的显著位置提供运行状态的指示功能，并在随机文件中明确具体含义；</w:t>
            </w:r>
            <w:r>
              <w:br/>
            </w:r>
            <w:r>
              <w:rPr>
                <w:sz w:val="21"/>
              </w:rPr>
              <w:t xml:space="preserve"> e) </w:t>
            </w:r>
            <w:r>
              <w:rPr>
                <w:sz w:val="21"/>
              </w:rPr>
              <w:t>机架、机箱的尺寸应符合通用机柜的安装要求，插入总线插座的电</w:t>
            </w:r>
            <w:r>
              <w:br/>
            </w:r>
            <w:r>
              <w:rPr>
                <w:sz w:val="21"/>
              </w:rPr>
              <w:t>路板接口外形尺寸应符合有关总线标准的规定，将机箱固定在机柜上，机箱底面最大下垂变形不得干涉相邻机体；</w:t>
            </w:r>
            <w:r>
              <w:br/>
            </w:r>
            <w:r>
              <w:rPr>
                <w:sz w:val="21"/>
              </w:rPr>
              <w:t xml:space="preserve"> f) </w:t>
            </w:r>
            <w:r>
              <w:rPr>
                <w:sz w:val="21"/>
              </w:rPr>
              <w:t>高密度服务器应给出</w:t>
            </w:r>
            <w:r>
              <w:rPr>
                <w:sz w:val="21"/>
              </w:rPr>
              <w:t>CPU</w:t>
            </w:r>
            <w:r>
              <w:rPr>
                <w:sz w:val="21"/>
              </w:rPr>
              <w:t>个数与机柜高度；</w:t>
            </w:r>
            <w:r>
              <w:br/>
            </w:r>
            <w:r>
              <w:rPr>
                <w:sz w:val="21"/>
              </w:rPr>
              <w:t xml:space="preserve"> g) </w:t>
            </w:r>
            <w:r>
              <w:rPr>
                <w:sz w:val="21"/>
              </w:rPr>
              <w:t>服务器尺寸具体要求在随机文件中明确</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★尺寸（高×宽×深）</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服务器尺寸设计应遵循标准化、系列化的要求，机箱的内部结构符合通用部件的安装需要，服务器高度≥</w:t>
            </w:r>
            <w:r>
              <w:rPr>
                <w:sz w:val="21"/>
              </w:rPr>
              <w:t>80</w:t>
            </w:r>
            <w:r>
              <w:rPr>
                <w:sz w:val="21"/>
              </w:rPr>
              <w:t>毫米、宽度≥</w:t>
            </w:r>
            <w:r>
              <w:rPr>
                <w:sz w:val="21"/>
              </w:rPr>
              <w:t>400</w:t>
            </w:r>
            <w:r>
              <w:rPr>
                <w:sz w:val="21"/>
              </w:rPr>
              <w:t>毫米、深度≥</w:t>
            </w:r>
            <w:r>
              <w:rPr>
                <w:sz w:val="21"/>
              </w:rPr>
              <w:t>600</w:t>
            </w:r>
            <w:r>
              <w:rPr>
                <w:sz w:val="21"/>
              </w:rPr>
              <w:t>毫米。</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★环境适应性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气候环境适应性应符合</w:t>
            </w:r>
            <w:r>
              <w:rPr>
                <w:sz w:val="21"/>
              </w:rPr>
              <w:t xml:space="preserve"> GB/T9813.3 </w:t>
            </w:r>
            <w:r>
              <w:rPr>
                <w:sz w:val="21"/>
              </w:rPr>
              <w:t>的有关规定，工作温度</w:t>
            </w:r>
            <w:r>
              <w:rPr>
                <w:sz w:val="21"/>
              </w:rPr>
              <w:t xml:space="preserve"> 10</w:t>
            </w:r>
            <w:r>
              <w:rPr>
                <w:sz w:val="21"/>
              </w:rPr>
              <w:t>～</w:t>
            </w:r>
            <w:r>
              <w:rPr>
                <w:sz w:val="21"/>
              </w:rPr>
              <w:t>35</w:t>
            </w:r>
            <w:r>
              <w:rPr>
                <w:sz w:val="21"/>
              </w:rPr>
              <w:t>℃，贮存运输温度</w:t>
            </w:r>
            <w:r>
              <w:rPr>
                <w:sz w:val="21"/>
              </w:rPr>
              <w:t>-40</w:t>
            </w:r>
            <w:r>
              <w:rPr>
                <w:sz w:val="21"/>
              </w:rPr>
              <w:t>～</w:t>
            </w:r>
            <w:r>
              <w:rPr>
                <w:sz w:val="21"/>
              </w:rPr>
              <w:t>55</w:t>
            </w:r>
            <w:r>
              <w:rPr>
                <w:sz w:val="21"/>
              </w:rPr>
              <w:t>℃；工作相对湿度</w:t>
            </w:r>
            <w:r>
              <w:rPr>
                <w:sz w:val="21"/>
              </w:rPr>
              <w:t xml:space="preserve"> 35%</w:t>
            </w:r>
            <w:r>
              <w:rPr>
                <w:sz w:val="21"/>
              </w:rPr>
              <w:t>～</w:t>
            </w:r>
            <w:r>
              <w:rPr>
                <w:sz w:val="21"/>
              </w:rPr>
              <w:t>80%</w:t>
            </w:r>
            <w:r>
              <w:rPr>
                <w:sz w:val="21"/>
              </w:rPr>
              <w:t>，贮存运输相对湿度</w:t>
            </w:r>
            <w:r>
              <w:rPr>
                <w:sz w:val="21"/>
              </w:rPr>
              <w:t xml:space="preserve"> 20</w:t>
            </w:r>
            <w:r>
              <w:rPr>
                <w:sz w:val="21"/>
              </w:rPr>
              <w:t>％～</w:t>
            </w:r>
            <w:r>
              <w:rPr>
                <w:sz w:val="21"/>
              </w:rPr>
              <w:t>93%</w:t>
            </w:r>
            <w:r>
              <w:rPr>
                <w:sz w:val="21"/>
              </w:rPr>
              <w:t>（</w:t>
            </w:r>
            <w:r>
              <w:rPr>
                <w:sz w:val="21"/>
              </w:rPr>
              <w:t>40</w:t>
            </w:r>
            <w:r>
              <w:rPr>
                <w:sz w:val="21"/>
              </w:rPr>
              <w:t>℃）；大气压</w:t>
            </w:r>
            <w:r>
              <w:rPr>
                <w:sz w:val="21"/>
              </w:rPr>
              <w:t>86</w:t>
            </w:r>
            <w:r>
              <w:rPr>
                <w:sz w:val="21"/>
              </w:rPr>
              <w:t>～</w:t>
            </w:r>
            <w:r>
              <w:rPr>
                <w:sz w:val="21"/>
              </w:rPr>
              <w:t>106kPa</w:t>
            </w:r>
            <w:r>
              <w:rPr>
                <w:sz w:val="21"/>
              </w:rPr>
              <w:t>。</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★机械环境适应性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机械环境适应性应符合</w:t>
            </w:r>
            <w:r>
              <w:rPr>
                <w:sz w:val="21"/>
              </w:rPr>
              <w:t xml:space="preserve"> GB/T9813.3 </w:t>
            </w:r>
            <w:r>
              <w:rPr>
                <w:sz w:val="21"/>
              </w:rPr>
              <w:t>的有关规定</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★噪声</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w:t>
            </w:r>
            <w:r>
              <w:rPr>
                <w:sz w:val="21"/>
              </w:rPr>
              <w:t xml:space="preserve"> GB/T 9813.3 </w:t>
            </w:r>
            <w:r>
              <w:rPr>
                <w:sz w:val="21"/>
              </w:rPr>
              <w:t>的有关规定，在产品说明中给出具体测试值，塔式服务器噪声在空闲状态下不大于</w:t>
            </w:r>
            <w:r>
              <w:rPr>
                <w:sz w:val="21"/>
              </w:rPr>
              <w:t xml:space="preserve"> 50dB</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AI</w:t>
            </w:r>
            <w:r>
              <w:rPr>
                <w:sz w:val="21"/>
              </w:rPr>
              <w:t>计算单元规格</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AI</w:t>
            </w:r>
            <w:r>
              <w:rPr>
                <w:sz w:val="21"/>
              </w:rPr>
              <w:t>计算单元</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w:t>
            </w:r>
            <w:r>
              <w:rPr>
                <w:sz w:val="21"/>
              </w:rPr>
              <w:t>个具备人工智能加速处理器，单个人工智能加速处理器的计算精度至少支持</w:t>
            </w:r>
            <w:r>
              <w:rPr>
                <w:sz w:val="21"/>
              </w:rPr>
              <w:t xml:space="preserve"> FP16</w:t>
            </w:r>
            <w:r>
              <w:rPr>
                <w:sz w:val="21"/>
              </w:rPr>
              <w:t>、</w:t>
            </w:r>
            <w:r>
              <w:rPr>
                <w:sz w:val="21"/>
              </w:rPr>
              <w:t>BF16</w:t>
            </w:r>
            <w:r>
              <w:rPr>
                <w:sz w:val="21"/>
              </w:rPr>
              <w:t>、</w:t>
            </w:r>
            <w:r>
              <w:rPr>
                <w:sz w:val="21"/>
              </w:rPr>
              <w:t>FP32</w:t>
            </w:r>
            <w:r>
              <w:rPr>
                <w:sz w:val="21"/>
              </w:rPr>
              <w:t>、</w:t>
            </w:r>
            <w:r>
              <w:rPr>
                <w:sz w:val="21"/>
              </w:rPr>
              <w:t>FP64</w:t>
            </w:r>
            <w:r>
              <w:rPr>
                <w:sz w:val="21"/>
              </w:rPr>
              <w:t>、</w:t>
            </w:r>
            <w:r>
              <w:rPr>
                <w:sz w:val="21"/>
              </w:rPr>
              <w:t xml:space="preserve">INT8 </w:t>
            </w:r>
            <w:r>
              <w:rPr>
                <w:sz w:val="21"/>
              </w:rPr>
              <w:t>和</w:t>
            </w:r>
            <w:r>
              <w:rPr>
                <w:sz w:val="21"/>
              </w:rPr>
              <w:t xml:space="preserve">INT16 </w:t>
            </w:r>
            <w:r>
              <w:rPr>
                <w:sz w:val="21"/>
              </w:rPr>
              <w:t>等中的</w:t>
            </w:r>
            <w:r>
              <w:rPr>
                <w:sz w:val="21"/>
              </w:rPr>
              <w:t xml:space="preserve"> 1 </w:t>
            </w:r>
            <w:r>
              <w:rPr>
                <w:sz w:val="21"/>
              </w:rPr>
              <w:t>种，具备视频解析、图片识别、文本识别、数据挖掘等</w:t>
            </w:r>
            <w:r>
              <w:rPr>
                <w:sz w:val="21"/>
              </w:rPr>
              <w:t>AI</w:t>
            </w:r>
            <w:r>
              <w:rPr>
                <w:sz w:val="21"/>
              </w:rPr>
              <w:t>计算与推理能力，显存≥</w:t>
            </w:r>
            <w:r>
              <w:rPr>
                <w:sz w:val="21"/>
              </w:rPr>
              <w:t>48GB GDDR6</w:t>
            </w:r>
            <w:r>
              <w:rPr>
                <w:sz w:val="21"/>
              </w:rPr>
              <w:t>，</w:t>
            </w:r>
            <w:r>
              <w:rPr>
                <w:sz w:val="21"/>
              </w:rPr>
              <w:t>FP32</w:t>
            </w:r>
            <w:r>
              <w:rPr>
                <w:sz w:val="21"/>
              </w:rPr>
              <w:t>值≥</w:t>
            </w:r>
            <w:r>
              <w:rPr>
                <w:sz w:val="21"/>
              </w:rPr>
              <w:t>37.4 TFLOPS</w:t>
            </w:r>
            <w:r>
              <w:rPr>
                <w:sz w:val="21"/>
              </w:rPr>
              <w:t>、显存带宽≥</w:t>
            </w:r>
            <w:r>
              <w:rPr>
                <w:sz w:val="21"/>
              </w:rPr>
              <w:t>696 GB/s</w:t>
            </w:r>
            <w:r>
              <w:rPr>
                <w:sz w:val="21"/>
              </w:rPr>
              <w:t>。</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机柜规格</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★机柜尺寸</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机柜宽度≥</w:t>
            </w:r>
            <w:r>
              <w:rPr>
                <w:sz w:val="21"/>
              </w:rPr>
              <w:t>600</w:t>
            </w:r>
            <w:r>
              <w:rPr>
                <w:sz w:val="21"/>
              </w:rPr>
              <w:t>毫米，高度≥</w:t>
            </w:r>
            <w:r>
              <w:rPr>
                <w:sz w:val="21"/>
              </w:rPr>
              <w:t>2000</w:t>
            </w:r>
            <w:r>
              <w:rPr>
                <w:sz w:val="21"/>
              </w:rPr>
              <w:t>毫米，深度≥</w:t>
            </w:r>
            <w:r>
              <w:rPr>
                <w:sz w:val="21"/>
              </w:rPr>
              <w:t>800</w:t>
            </w:r>
            <w:r>
              <w:rPr>
                <w:sz w:val="21"/>
              </w:rPr>
              <w:t>毫米。</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功能要求</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★主板功能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★主板外部</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 xml:space="preserve"> USB</w:t>
            </w:r>
            <w:r>
              <w:rPr>
                <w:sz w:val="21"/>
              </w:rPr>
              <w:t>、显示、管理等接口。</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★网络功能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★网络功能</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支持网络连接、网络访问、数据交换和网络管控功能</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CPU</w:t>
            </w:r>
            <w:r>
              <w:rPr>
                <w:sz w:val="21"/>
              </w:rPr>
              <w:t>功能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★计算处理</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支持通用计算及虚拟化功能。处理器需集成整型计算单元、浮点计算单元、内存控制器、</w:t>
            </w:r>
            <w:r>
              <w:rPr>
                <w:sz w:val="21"/>
              </w:rPr>
              <w:t xml:space="preserve">I/O </w:t>
            </w:r>
            <w:r>
              <w:rPr>
                <w:sz w:val="21"/>
              </w:rPr>
              <w:t>模块等，处理器与存储部件、网络部件、</w:t>
            </w:r>
            <w:r>
              <w:rPr>
                <w:sz w:val="21"/>
              </w:rPr>
              <w:t>I/O</w:t>
            </w:r>
            <w:r>
              <w:rPr>
                <w:sz w:val="21"/>
              </w:rPr>
              <w:t>部件等组成计算系统，提供数据处理、网络接入等计算相关功能</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★密码算法实现</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CPU </w:t>
            </w:r>
            <w:r>
              <w:rPr>
                <w:sz w:val="21"/>
              </w:rPr>
              <w:t>芯片应符合</w:t>
            </w:r>
            <w:r>
              <w:rPr>
                <w:sz w:val="21"/>
              </w:rPr>
              <w:t xml:space="preserve"> GM/T 0008 </w:t>
            </w:r>
            <w:r>
              <w:rPr>
                <w:sz w:val="21"/>
              </w:rPr>
              <w:t>的相关规定，或芯片密码模块应符合</w:t>
            </w:r>
            <w:r>
              <w:rPr>
                <w:sz w:val="21"/>
              </w:rPr>
              <w:t xml:space="preserve"> GB/T37092 </w:t>
            </w:r>
            <w:r>
              <w:rPr>
                <w:sz w:val="21"/>
              </w:rPr>
              <w:t>或</w:t>
            </w:r>
            <w:r>
              <w:rPr>
                <w:sz w:val="21"/>
              </w:rPr>
              <w:t xml:space="preserve"> GM/T 0028 </w:t>
            </w:r>
            <w:r>
              <w:rPr>
                <w:sz w:val="21"/>
              </w:rPr>
              <w:t>的相关规定</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存储功能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内存校验</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支持内存</w:t>
            </w:r>
            <w:r>
              <w:rPr>
                <w:sz w:val="21"/>
              </w:rPr>
              <w:t>ECC</w:t>
            </w:r>
            <w:r>
              <w:rPr>
                <w:sz w:val="21"/>
              </w:rPr>
              <w:t>和内存镜像</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RAID</w:t>
            </w:r>
            <w:r>
              <w:rPr>
                <w:sz w:val="21"/>
              </w:rPr>
              <w:t>卡功能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RAID </w:t>
            </w:r>
            <w:r>
              <w:rPr>
                <w:sz w:val="21"/>
              </w:rPr>
              <w:t>卡</w:t>
            </w:r>
            <w:r>
              <w:rPr>
                <w:sz w:val="21"/>
              </w:rPr>
              <w:t>RAID</w:t>
            </w:r>
            <w:r>
              <w:rPr>
                <w:sz w:val="21"/>
              </w:rPr>
              <w:t>级别支持</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RAID </w:t>
            </w:r>
            <w:r>
              <w:rPr>
                <w:sz w:val="21"/>
              </w:rPr>
              <w:t>模式支持</w:t>
            </w:r>
            <w:r>
              <w:rPr>
                <w:sz w:val="21"/>
              </w:rPr>
              <w:t>RAID 0/1/5/6/10/50/60</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电源功能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★电源热插拔</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整机电源模块应具备热插拔功能</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★电源过流保护</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支持过流及短路保护的功能</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整机功能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★散热方式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支持风冷散热方式</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管理系统功能</w:t>
            </w:r>
          </w:p>
        </w:tc>
        <w:tc>
          <w:tcPr>
            <w:tcW w:type="dxa" w:w="15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 xml:space="preserve">BMC </w:t>
            </w:r>
            <w:r>
              <w:rPr>
                <w:sz w:val="21"/>
              </w:rPr>
              <w:t>固件基础功能</w:t>
            </w:r>
          </w:p>
        </w:tc>
        <w:tc>
          <w:tcPr>
            <w:tcW w:type="dxa" w:w="4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1) </w:t>
            </w:r>
            <w:r>
              <w:rPr>
                <w:sz w:val="21"/>
              </w:rPr>
              <w:t>支持</w:t>
            </w:r>
            <w:r>
              <w:rPr>
                <w:sz w:val="21"/>
              </w:rPr>
              <w:t xml:space="preserve"> DHCP </w:t>
            </w:r>
            <w:r>
              <w:rPr>
                <w:sz w:val="21"/>
              </w:rPr>
              <w:t>设置网络功能；</w:t>
            </w:r>
            <w:r>
              <w:br/>
            </w:r>
            <w:r>
              <w:rPr>
                <w:sz w:val="21"/>
              </w:rPr>
              <w:t xml:space="preserve"> 2)</w:t>
            </w:r>
            <w:r>
              <w:rPr>
                <w:sz w:val="21"/>
              </w:rPr>
              <w:t>支持静态</w:t>
            </w:r>
            <w:r>
              <w:rPr>
                <w:sz w:val="21"/>
              </w:rPr>
              <w:t xml:space="preserve"> IP </w:t>
            </w:r>
            <w:r>
              <w:rPr>
                <w:sz w:val="21"/>
              </w:rPr>
              <w:t>设置网络功能；</w:t>
            </w:r>
            <w:r>
              <w:br/>
            </w:r>
            <w:r>
              <w:rPr>
                <w:sz w:val="21"/>
              </w:rPr>
              <w:t xml:space="preserve"> 3)</w:t>
            </w:r>
            <w:r>
              <w:rPr>
                <w:sz w:val="21"/>
              </w:rPr>
              <w:t>支持设备日志记录，包括但不限于登录日志、操作日志和报警日志等功能；</w:t>
            </w:r>
            <w:r>
              <w:br/>
            </w:r>
            <w:r>
              <w:rPr>
                <w:sz w:val="21"/>
              </w:rPr>
              <w:t xml:space="preserve"> 4)</w:t>
            </w:r>
            <w:r>
              <w:rPr>
                <w:sz w:val="21"/>
              </w:rPr>
              <w:t>支持日志信息导出和记录删除功能；</w:t>
            </w:r>
            <w:r>
              <w:br/>
            </w:r>
            <w:r>
              <w:rPr>
                <w:sz w:val="21"/>
              </w:rPr>
              <w:t xml:space="preserve"> 5)</w:t>
            </w:r>
            <w:r>
              <w:rPr>
                <w:sz w:val="21"/>
              </w:rPr>
              <w:t>支持通过管理接口向外输出准确的报警信息功能；</w:t>
            </w:r>
            <w:r>
              <w:br/>
            </w:r>
            <w:r>
              <w:rPr>
                <w:sz w:val="21"/>
              </w:rPr>
              <w:t xml:space="preserve"> 6)</w:t>
            </w:r>
            <w:r>
              <w:rPr>
                <w:sz w:val="21"/>
              </w:rPr>
              <w:t>设备的</w:t>
            </w:r>
            <w:r>
              <w:rPr>
                <w:sz w:val="21"/>
              </w:rPr>
              <w:t xml:space="preserve"> BMC </w:t>
            </w:r>
            <w:r>
              <w:rPr>
                <w:sz w:val="21"/>
              </w:rPr>
              <w:t>管理软件应能够按报警的严重程度进行区分；</w:t>
            </w:r>
            <w:r>
              <w:br/>
            </w:r>
            <w:r>
              <w:rPr>
                <w:sz w:val="21"/>
              </w:rPr>
              <w:t xml:space="preserve"> 7)</w:t>
            </w:r>
            <w:r>
              <w:rPr>
                <w:sz w:val="21"/>
              </w:rPr>
              <w:t>支持</w:t>
            </w:r>
            <w:r>
              <w:rPr>
                <w:sz w:val="21"/>
              </w:rPr>
              <w:t xml:space="preserve"> IPMI2.0</w:t>
            </w:r>
            <w:r>
              <w:rPr>
                <w:sz w:val="21"/>
              </w:rPr>
              <w:t>、</w:t>
            </w:r>
            <w:r>
              <w:rPr>
                <w:sz w:val="21"/>
              </w:rPr>
              <w:t xml:space="preserve">SNMP </w:t>
            </w:r>
            <w:r>
              <w:rPr>
                <w:sz w:val="21"/>
              </w:rPr>
              <w:t>或</w:t>
            </w:r>
            <w:r>
              <w:rPr>
                <w:sz w:val="21"/>
              </w:rPr>
              <w:t xml:space="preserve"> Redfish</w:t>
            </w:r>
            <w:r>
              <w:rPr>
                <w:sz w:val="21"/>
              </w:rPr>
              <w:t>等接口功能；</w:t>
            </w:r>
            <w:r>
              <w:br/>
            </w:r>
            <w:r>
              <w:rPr>
                <w:sz w:val="21"/>
              </w:rPr>
              <w:t xml:space="preserve"> 8)</w:t>
            </w:r>
            <w:r>
              <w:rPr>
                <w:sz w:val="21"/>
              </w:rPr>
              <w:t>支持键盘、鼠标和视频的重定向、文本控制台的重定向、远程虚拟媒</w:t>
            </w:r>
            <w:r>
              <w:br/>
            </w:r>
            <w:r>
              <w:rPr>
                <w:sz w:val="21"/>
              </w:rPr>
              <w:t>体、高可靠的硬件监控和管理功能；</w:t>
            </w:r>
            <w:r>
              <w:br/>
            </w:r>
            <w:r>
              <w:rPr>
                <w:sz w:val="21"/>
              </w:rPr>
              <w:t xml:space="preserve"> 9)</w:t>
            </w:r>
            <w:r>
              <w:rPr>
                <w:sz w:val="21"/>
              </w:rPr>
              <w:t>支持基于网络开启、关闭和重启设备的功能，并查询当前设备开机</w:t>
            </w:r>
            <w:r>
              <w:br/>
            </w:r>
            <w:r>
              <w:rPr>
                <w:sz w:val="21"/>
              </w:rPr>
              <w:t>运行状态；</w:t>
            </w:r>
            <w:r>
              <w:br/>
            </w:r>
            <w:r>
              <w:rPr>
                <w:sz w:val="21"/>
              </w:rPr>
              <w:t xml:space="preserve"> 10)</w:t>
            </w:r>
            <w:r>
              <w:rPr>
                <w:sz w:val="21"/>
              </w:rPr>
              <w:t>支持故障提示功能，并可通过接口读取服务器故障信息；</w:t>
            </w:r>
            <w:r>
              <w:br/>
            </w:r>
            <w:r>
              <w:rPr>
                <w:sz w:val="21"/>
              </w:rPr>
              <w:t xml:space="preserve"> 11)</w:t>
            </w:r>
            <w:r>
              <w:rPr>
                <w:sz w:val="21"/>
              </w:rPr>
              <w:t>支持基于网络的固件更新功能，包括</w:t>
            </w:r>
            <w:r>
              <w:rPr>
                <w:sz w:val="21"/>
              </w:rPr>
              <w:t xml:space="preserve"> BMC </w:t>
            </w:r>
            <w:r>
              <w:rPr>
                <w:sz w:val="21"/>
              </w:rPr>
              <w:t>和</w:t>
            </w:r>
            <w:r>
              <w:rPr>
                <w:sz w:val="21"/>
              </w:rPr>
              <w:t xml:space="preserve"> BIOS </w:t>
            </w:r>
            <w:r>
              <w:rPr>
                <w:sz w:val="21"/>
              </w:rPr>
              <w:t>等；</w:t>
            </w:r>
            <w:r>
              <w:br/>
            </w:r>
            <w:r>
              <w:rPr>
                <w:sz w:val="21"/>
              </w:rPr>
              <w:t xml:space="preserve"> 12)</w:t>
            </w:r>
            <w:r>
              <w:rPr>
                <w:sz w:val="21"/>
              </w:rPr>
              <w:t>支持基于网络安装操作系统的功能，并可通过网络控制台访问设备；</w:t>
            </w:r>
            <w:r>
              <w:br/>
            </w:r>
            <w:r>
              <w:rPr>
                <w:sz w:val="21"/>
              </w:rPr>
              <w:t xml:space="preserve"> 13)</w:t>
            </w:r>
            <w:r>
              <w:rPr>
                <w:sz w:val="21"/>
              </w:rPr>
              <w:t>支持通过本地的硬盘或光驱等存储设备，基于网络完成设备的操作系统安装功能；</w:t>
            </w:r>
            <w:r>
              <w:br/>
            </w:r>
            <w:r>
              <w:rPr>
                <w:sz w:val="21"/>
              </w:rPr>
              <w:t xml:space="preserve"> 14)</w:t>
            </w:r>
            <w:r>
              <w:rPr>
                <w:sz w:val="21"/>
              </w:rPr>
              <w:t>支持通过浏览器打开管理界面并登录功能；</w:t>
            </w:r>
            <w:r>
              <w:br/>
            </w:r>
            <w:r>
              <w:rPr>
                <w:sz w:val="21"/>
              </w:rPr>
              <w:t xml:space="preserve"> 15)</w:t>
            </w:r>
            <w:r>
              <w:rPr>
                <w:sz w:val="21"/>
              </w:rPr>
              <w:t>支持设置口令策略功能；</w:t>
            </w:r>
            <w:r>
              <w:br/>
            </w:r>
            <w:r>
              <w:rPr>
                <w:sz w:val="21"/>
              </w:rPr>
              <w:t xml:space="preserve"> 16)</w:t>
            </w:r>
            <w:r>
              <w:rPr>
                <w:sz w:val="21"/>
              </w:rPr>
              <w:t>支持访问权限设置功能，并通过日志记录访问事件；</w:t>
            </w:r>
            <w:r>
              <w:br/>
            </w:r>
            <w:r>
              <w:rPr>
                <w:sz w:val="21"/>
              </w:rPr>
              <w:t xml:space="preserve"> 17)</w:t>
            </w:r>
            <w:r>
              <w:rPr>
                <w:sz w:val="21"/>
              </w:rPr>
              <w:t>支持对出厂默认的用户名及口令进行安全保护功能，并提供默认口令修改提示；</w:t>
            </w:r>
            <w:r>
              <w:br/>
            </w:r>
            <w:r>
              <w:rPr>
                <w:sz w:val="21"/>
              </w:rPr>
              <w:t xml:space="preserve"> 18)</w:t>
            </w:r>
            <w:r>
              <w:rPr>
                <w:sz w:val="21"/>
              </w:rPr>
              <w:t>支持读取设备主板的工作环境温度功能；</w:t>
            </w:r>
            <w:r>
              <w:br/>
            </w:r>
            <w:r>
              <w:rPr>
                <w:sz w:val="21"/>
              </w:rPr>
              <w:t xml:space="preserve"> 19)</w:t>
            </w:r>
            <w:r>
              <w:rPr>
                <w:sz w:val="21"/>
              </w:rPr>
              <w:t>支持读取服务器</w:t>
            </w:r>
            <w:r>
              <w:rPr>
                <w:sz w:val="21"/>
              </w:rPr>
              <w:t>CPU</w:t>
            </w:r>
            <w:r>
              <w:rPr>
                <w:sz w:val="21"/>
              </w:rPr>
              <w:t>等核心器件的温度功能；</w:t>
            </w:r>
            <w:r>
              <w:br/>
            </w:r>
            <w:r>
              <w:rPr>
                <w:sz w:val="21"/>
              </w:rPr>
              <w:t xml:space="preserve"> 20)</w:t>
            </w:r>
            <w:r>
              <w:rPr>
                <w:sz w:val="21"/>
              </w:rPr>
              <w:t>支持通过外部管理工具进行</w:t>
            </w:r>
            <w:r>
              <w:rPr>
                <w:sz w:val="21"/>
              </w:rPr>
              <w:t xml:space="preserve"> BMC</w:t>
            </w:r>
            <w:r>
              <w:rPr>
                <w:sz w:val="21"/>
              </w:rPr>
              <w:t>参数设置的功能，并可基于网络通过外部管理工具对</w:t>
            </w:r>
            <w:r>
              <w:rPr>
                <w:sz w:val="21"/>
              </w:rPr>
              <w:t xml:space="preserve"> BMC </w:t>
            </w:r>
            <w:r>
              <w:rPr>
                <w:sz w:val="21"/>
              </w:rPr>
              <w:t>进行管理；</w:t>
            </w:r>
            <w:r>
              <w:br/>
            </w:r>
            <w:r>
              <w:rPr>
                <w:sz w:val="21"/>
              </w:rPr>
              <w:t xml:space="preserve"> 21)</w:t>
            </w:r>
            <w:r>
              <w:rPr>
                <w:sz w:val="21"/>
              </w:rPr>
              <w:t>应支持固件版本查询、固件升级</w:t>
            </w:r>
            <w:r>
              <w:br/>
            </w:r>
            <w:r>
              <w:rPr>
                <w:sz w:val="21"/>
              </w:rPr>
              <w:t xml:space="preserve"> 22)</w:t>
            </w:r>
            <w:r>
              <w:rPr>
                <w:sz w:val="21"/>
              </w:rPr>
              <w:t>支持基于网络实现开关机和复位控制的功能；</w:t>
            </w:r>
            <w:r>
              <w:br/>
            </w:r>
            <w:r>
              <w:rPr>
                <w:sz w:val="21"/>
              </w:rPr>
              <w:t xml:space="preserve"> 23)BMC </w:t>
            </w:r>
            <w:r>
              <w:rPr>
                <w:sz w:val="21"/>
              </w:rPr>
              <w:t>启动时间应不超过</w:t>
            </w:r>
            <w:r>
              <w:rPr>
                <w:sz w:val="21"/>
              </w:rPr>
              <w:t xml:space="preserve"> 180s</w:t>
            </w:r>
            <w:r>
              <w:rPr>
                <w:sz w:val="21"/>
              </w:rPr>
              <w:t>，实现功能包括网络</w:t>
            </w:r>
            <w:r>
              <w:rPr>
                <w:sz w:val="21"/>
              </w:rPr>
              <w:t>IPMI</w:t>
            </w:r>
            <w:r>
              <w:rPr>
                <w:sz w:val="21"/>
              </w:rPr>
              <w:t>、散热、传感器服务可用；</w:t>
            </w:r>
            <w:r>
              <w:br/>
            </w:r>
            <w:r>
              <w:rPr>
                <w:sz w:val="21"/>
              </w:rPr>
              <w:t xml:space="preserve"> 24)</w:t>
            </w:r>
            <w:r>
              <w:rPr>
                <w:sz w:val="21"/>
              </w:rPr>
              <w:t>支持</w:t>
            </w:r>
            <w:r>
              <w:rPr>
                <w:sz w:val="21"/>
              </w:rPr>
              <w:t>BMC</w:t>
            </w:r>
            <w:r>
              <w:rPr>
                <w:sz w:val="21"/>
              </w:rPr>
              <w:t>固件设置的恢复出厂功能</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 xml:space="preserve">BIOS </w:t>
            </w:r>
            <w:r>
              <w:rPr>
                <w:sz w:val="21"/>
              </w:rPr>
              <w:t>固件基础功能</w:t>
            </w:r>
          </w:p>
        </w:tc>
        <w:tc>
          <w:tcPr>
            <w:tcW w:type="dxa" w:w="4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w:t>
            </w:r>
            <w:r>
              <w:rPr>
                <w:sz w:val="21"/>
              </w:rPr>
              <w:t>）支持查看固件版本、内存信息、主板信息、处理器信息和系统时间信息功能；</w:t>
            </w:r>
            <w:r>
              <w:br/>
            </w:r>
            <w:r>
              <w:rPr>
                <w:sz w:val="21"/>
              </w:rPr>
              <w:t xml:space="preserve"> b</w:t>
            </w:r>
            <w:r>
              <w:rPr>
                <w:sz w:val="21"/>
              </w:rPr>
              <w:t>）支持上电初始化界面显示</w:t>
            </w:r>
            <w:r>
              <w:rPr>
                <w:sz w:val="21"/>
              </w:rPr>
              <w:t xml:space="preserve"> CPU </w:t>
            </w:r>
            <w:r>
              <w:rPr>
                <w:sz w:val="21"/>
              </w:rPr>
              <w:t>信息、内存信息、固件版本和部分快捷键信息功能；</w:t>
            </w:r>
            <w:r>
              <w:br/>
            </w:r>
            <w:r>
              <w:rPr>
                <w:sz w:val="21"/>
              </w:rPr>
              <w:t xml:space="preserve"> c</w:t>
            </w:r>
            <w:r>
              <w:rPr>
                <w:sz w:val="21"/>
              </w:rPr>
              <w:t>）支持设置界面中英文显示切换功能；</w:t>
            </w:r>
            <w:r>
              <w:br/>
            </w:r>
            <w:r>
              <w:rPr>
                <w:sz w:val="21"/>
              </w:rPr>
              <w:t xml:space="preserve"> d</w:t>
            </w:r>
            <w:r>
              <w:rPr>
                <w:sz w:val="21"/>
              </w:rPr>
              <w:t>）支持查看</w:t>
            </w:r>
            <w:r>
              <w:rPr>
                <w:sz w:val="21"/>
              </w:rPr>
              <w:t xml:space="preserve"> PCIe </w:t>
            </w:r>
            <w:r>
              <w:rPr>
                <w:sz w:val="21"/>
              </w:rPr>
              <w:t>设备信息，</w:t>
            </w:r>
            <w:r>
              <w:rPr>
                <w:sz w:val="21"/>
              </w:rPr>
              <w:t>SATA</w:t>
            </w:r>
            <w:r>
              <w:rPr>
                <w:sz w:val="21"/>
              </w:rPr>
              <w:t>设备信息功能；</w:t>
            </w:r>
            <w:r>
              <w:br/>
            </w:r>
            <w:r>
              <w:rPr>
                <w:sz w:val="21"/>
              </w:rPr>
              <w:t xml:space="preserve"> e</w:t>
            </w:r>
            <w:r>
              <w:rPr>
                <w:sz w:val="21"/>
              </w:rPr>
              <w:t>）支持操作系统安装和引导功能，应并向操作系统提供计算机主板信息和服务接口；</w:t>
            </w:r>
            <w:r>
              <w:br/>
            </w:r>
            <w:r>
              <w:rPr>
                <w:sz w:val="21"/>
              </w:rPr>
              <w:t xml:space="preserve"> f</w:t>
            </w:r>
            <w:r>
              <w:rPr>
                <w:sz w:val="21"/>
              </w:rPr>
              <w:t>）支持设置启动顺序，并按照设置的启动顺序启动能；</w:t>
            </w:r>
            <w:r>
              <w:br/>
            </w:r>
            <w:r>
              <w:rPr>
                <w:sz w:val="21"/>
              </w:rPr>
              <w:t xml:space="preserve"> g</w:t>
            </w:r>
            <w:r>
              <w:rPr>
                <w:sz w:val="21"/>
              </w:rPr>
              <w:t>）支持安全启动功能；</w:t>
            </w:r>
            <w:r>
              <w:br/>
            </w:r>
            <w:r>
              <w:rPr>
                <w:sz w:val="21"/>
              </w:rPr>
              <w:t xml:space="preserve"> h</w:t>
            </w:r>
            <w:r>
              <w:rPr>
                <w:sz w:val="21"/>
              </w:rPr>
              <w:t>）支持设置口令、修改口令、验证口令功能；</w:t>
            </w:r>
            <w:r>
              <w:br/>
            </w:r>
            <w:r>
              <w:rPr>
                <w:sz w:val="21"/>
              </w:rPr>
              <w:t xml:space="preserve"> i</w:t>
            </w:r>
            <w:r>
              <w:rPr>
                <w:sz w:val="21"/>
              </w:rPr>
              <w:t>）支持板载显示控制或独立显卡的显示控制功能；</w:t>
            </w:r>
            <w:r>
              <w:br/>
            </w:r>
            <w:r>
              <w:rPr>
                <w:sz w:val="21"/>
              </w:rPr>
              <w:t xml:space="preserve"> j</w:t>
            </w:r>
            <w:r>
              <w:rPr>
                <w:sz w:val="21"/>
              </w:rPr>
              <w:t>）支持</w:t>
            </w:r>
            <w:r>
              <w:rPr>
                <w:sz w:val="21"/>
              </w:rPr>
              <w:t xml:space="preserve"> RAID </w:t>
            </w:r>
            <w:r>
              <w:rPr>
                <w:sz w:val="21"/>
              </w:rPr>
              <w:t>识别和启动功能；</w:t>
            </w:r>
            <w:r>
              <w:br/>
            </w:r>
            <w:r>
              <w:rPr>
                <w:sz w:val="21"/>
              </w:rPr>
              <w:t xml:space="preserve"> k</w:t>
            </w:r>
            <w:r>
              <w:rPr>
                <w:sz w:val="21"/>
              </w:rPr>
              <w:t>）支持串口重定向功能；</w:t>
            </w:r>
            <w:r>
              <w:br/>
            </w:r>
            <w:r>
              <w:rPr>
                <w:sz w:val="21"/>
              </w:rPr>
              <w:t xml:space="preserve"> l</w:t>
            </w:r>
            <w:r>
              <w:rPr>
                <w:sz w:val="21"/>
              </w:rPr>
              <w:t>）支持固件更新功能；</w:t>
            </w:r>
            <w:r>
              <w:br/>
            </w:r>
            <w:r>
              <w:rPr>
                <w:sz w:val="21"/>
              </w:rPr>
              <w:t xml:space="preserve"> m</w:t>
            </w:r>
            <w:r>
              <w:rPr>
                <w:sz w:val="21"/>
              </w:rPr>
              <w:t>）支持</w:t>
            </w:r>
            <w:r>
              <w:rPr>
                <w:sz w:val="21"/>
              </w:rPr>
              <w:t xml:space="preserve"> BIOS </w:t>
            </w:r>
            <w:r>
              <w:rPr>
                <w:sz w:val="21"/>
              </w:rPr>
              <w:t>固件设置的恢复出厂功能；</w:t>
            </w:r>
            <w:r>
              <w:br/>
            </w:r>
            <w:r>
              <w:rPr>
                <w:sz w:val="21"/>
              </w:rPr>
              <w:t xml:space="preserve"> n</w:t>
            </w:r>
            <w:r>
              <w:rPr>
                <w:sz w:val="21"/>
              </w:rPr>
              <w:t>）支持网络引导启用和关闭功能</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★远程控制</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支持远程关机和重新启动功能</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操作系统及驱动功能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★操作系统及驱动的升级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支持通过网络、闪存盘对操作系统、驱动进行升级。</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★操作系统功能</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支持访问控制、安全审计、网络接入鉴别等功能。操作系统其他功能应满足操作系统政府采购需求标准中加</w:t>
            </w:r>
            <w:r>
              <w:rPr>
                <w:sz w:val="21"/>
              </w:rPr>
              <w:t>*</w:t>
            </w:r>
            <w:r>
              <w:rPr>
                <w:sz w:val="21"/>
              </w:rPr>
              <w:t>的指标要求。</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中文信息处理功能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★中文信息处理</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涉及中文信息处理内容应符合</w:t>
            </w:r>
            <w:r>
              <w:rPr>
                <w:sz w:val="21"/>
              </w:rPr>
              <w:t>GB18030</w:t>
            </w:r>
            <w:r>
              <w:rPr>
                <w:sz w:val="21"/>
              </w:rPr>
              <w:t>要求。</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安全要求</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固件安全要求</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★故障检测</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支持故障检测功能，可以检测到具体的</w:t>
            </w:r>
            <w:r>
              <w:rPr>
                <w:sz w:val="21"/>
              </w:rPr>
              <w:t>FRU</w:t>
            </w:r>
            <w:r>
              <w:rPr>
                <w:sz w:val="21"/>
              </w:rPr>
              <w:t>（内存、硬盘等）的故障并发出告警声音。</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内存故障智能预测和自愈修复</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支持内存故障智能预测和自愈修复，提前自动硬隔离，避免内存故障引起的非预期宕机以及内存寿命的降低</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硬盘故障智能预测</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支持硬盘故障智能预测，基于故障模型预测出硬盘的故障</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内存故障隔离</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支持内存故障隔离，在内存产生</w:t>
            </w:r>
            <w:r>
              <w:rPr>
                <w:sz w:val="21"/>
              </w:rPr>
              <w:t xml:space="preserve"> CE</w:t>
            </w:r>
            <w:r>
              <w:rPr>
                <w:sz w:val="21"/>
              </w:rPr>
              <w:t>故障时，内存地址被隔离成功，服务器正常运行，业务系统不中断</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BMC/BIOS</w:t>
            </w:r>
            <w:r>
              <w:rPr>
                <w:sz w:val="21"/>
              </w:rPr>
              <w:t>固件双镜像保护</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 xml:space="preserve"> BMC/BIOS </w:t>
            </w:r>
            <w:r>
              <w:rPr>
                <w:sz w:val="21"/>
              </w:rPr>
              <w:t>固件双镜像保护，运行异常时自动切换到备份镜像运行，提升系统稳定性</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安全启动</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支持执行环境要求在整个系统启动的过程中，系统应提供一个机制来保护平台的完整性</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系统安全要求</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★弱口令字典检查</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支持执行环境要求在整个系统启动的过程中，系统应提供一个机制来保护平台的完整性</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★白名单访问控制</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支持基于时间、</w:t>
            </w:r>
            <w:r>
              <w:rPr>
                <w:sz w:val="21"/>
              </w:rPr>
              <w:t xml:space="preserve">IP </w:t>
            </w:r>
            <w:r>
              <w:rPr>
                <w:sz w:val="21"/>
              </w:rPr>
              <w:t>或</w:t>
            </w:r>
            <w:r>
              <w:rPr>
                <w:sz w:val="21"/>
              </w:rPr>
              <w:t xml:space="preserve"> MAC </w:t>
            </w:r>
            <w:r>
              <w:rPr>
                <w:sz w:val="21"/>
              </w:rPr>
              <w:t>白名单访问控制</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★二次鉴别</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支持二次鉴别功能。对于用户配置、权限配置、公钥导入等重要的管理操作，已登录用户应通过二次鉴别后，才能执行操作</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★密码证书安全加密存储</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支持对带外管理系统中的用户口令和证书等敏感信息进行加密存储，禁止使用私有的和业界已知不安全的密码算法</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★敏感信息安全加密传输</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支持使用安全的传输加密协议（如</w:t>
            </w:r>
            <w:r>
              <w:rPr>
                <w:sz w:val="21"/>
              </w:rPr>
              <w:t xml:space="preserve">SSH </w:t>
            </w:r>
            <w:r>
              <w:rPr>
                <w:sz w:val="21"/>
              </w:rPr>
              <w:t>或</w:t>
            </w:r>
            <w:r>
              <w:rPr>
                <w:sz w:val="21"/>
              </w:rPr>
              <w:t xml:space="preserve"> HTTPS </w:t>
            </w:r>
            <w:r>
              <w:rPr>
                <w:sz w:val="21"/>
              </w:rPr>
              <w:t>等）传输用户的敏感信息</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信息安全要求</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★研发过程安全</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供应商应承诺，生产商已建立从需求、设计、开发、测试、维护端到端的开发流程管理机制，输出和保存开发流程中每个阶段的产品需求清单、设计文档、开发文档、测试记录等材料，保证各个流程可追溯。</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物理安全</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★物理安全</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安全要求应符合</w:t>
            </w:r>
            <w:r>
              <w:rPr>
                <w:sz w:val="21"/>
              </w:rPr>
              <w:t xml:space="preserve"> GB 4943.1 </w:t>
            </w:r>
            <w:r>
              <w:rPr>
                <w:sz w:val="21"/>
              </w:rPr>
              <w:t>的规定。</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限用物质的限量要求</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★限用物质的限量要求</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限用物质的限量应符合</w:t>
            </w:r>
            <w:r>
              <w:rPr>
                <w:sz w:val="21"/>
              </w:rPr>
              <w:t xml:space="preserve"> GB/T 26572</w:t>
            </w:r>
            <w:r>
              <w:rPr>
                <w:sz w:val="21"/>
              </w:rPr>
              <w:t>的要求。</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性能要求</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CPU</w:t>
            </w:r>
            <w:r>
              <w:rPr>
                <w:sz w:val="21"/>
              </w:rPr>
              <w:t>性能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 xml:space="preserve">CPU </w:t>
            </w:r>
            <w:r>
              <w:rPr>
                <w:sz w:val="21"/>
              </w:rPr>
              <w:t>主频</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2.2GHz</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w:t>
            </w:r>
            <w:r>
              <w:rPr>
                <w:sz w:val="21"/>
              </w:rPr>
              <w:t xml:space="preserve">CPU </w:t>
            </w:r>
            <w:r>
              <w:rPr>
                <w:sz w:val="21"/>
              </w:rPr>
              <w:t>核数</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32</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w:t>
            </w:r>
            <w:r>
              <w:rPr>
                <w:sz w:val="21"/>
              </w:rPr>
              <w:t xml:space="preserve">CPU </w:t>
            </w:r>
            <w:r>
              <w:rPr>
                <w:sz w:val="21"/>
              </w:rPr>
              <w:t>末级缓存容量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48MB</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内存性能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单内存模块容量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32GB</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★内存速率</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3200MHz</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RAID</w:t>
            </w:r>
            <w:r>
              <w:rPr>
                <w:sz w:val="21"/>
              </w:rPr>
              <w:t>卡性能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RAID </w:t>
            </w:r>
            <w:r>
              <w:rPr>
                <w:sz w:val="21"/>
              </w:rPr>
              <w:t>卡缓存容量大小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2G</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电源能耗</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★电源能耗</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w:t>
            </w:r>
            <w:r>
              <w:rPr>
                <w:sz w:val="21"/>
              </w:rPr>
              <w:t xml:space="preserve"> GB/T 9813.3 </w:t>
            </w:r>
            <w:r>
              <w:rPr>
                <w:sz w:val="21"/>
              </w:rPr>
              <w:t>的有关规定</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兼容要求</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部件兼容性要求</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★内存兼容性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w:t>
            </w:r>
            <w:r>
              <w:rPr>
                <w:sz w:val="21"/>
              </w:rPr>
              <w:t xml:space="preserve"> 3 </w:t>
            </w:r>
            <w:r>
              <w:rPr>
                <w:sz w:val="21"/>
              </w:rPr>
              <w:t>种及以上厂商的内存产品，且均不低于产品支持的内存规格。</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★固态存储兼容性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w:t>
            </w:r>
            <w:r>
              <w:rPr>
                <w:sz w:val="21"/>
              </w:rPr>
              <w:t xml:space="preserve"> 3 </w:t>
            </w:r>
            <w:r>
              <w:rPr>
                <w:sz w:val="21"/>
              </w:rPr>
              <w:t>种或以上厂商的固态存储产品，且均不低于产品支持的固态存储设备规格。</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★网卡兼容性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网卡应适配两种或以上厂商产品。</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★功能卡兼容性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内置或适配符合</w:t>
            </w:r>
            <w:r>
              <w:rPr>
                <w:sz w:val="21"/>
              </w:rPr>
              <w:t xml:space="preserve"> PCIe </w:t>
            </w:r>
            <w:r>
              <w:rPr>
                <w:sz w:val="21"/>
              </w:rPr>
              <w:t>的功能卡，如：网络功能卡、存储功能卡及图形显示功能卡。</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外设兼容性</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★外设兼容性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兼容多种主流生产商的外部设备，包括显示器、键盘、鼠标、闪存盘、移动硬盘、</w:t>
            </w:r>
            <w:r>
              <w:rPr>
                <w:sz w:val="21"/>
              </w:rPr>
              <w:t xml:space="preserve">USB </w:t>
            </w:r>
            <w:r>
              <w:rPr>
                <w:sz w:val="21"/>
              </w:rPr>
              <w:t>光驱及</w:t>
            </w:r>
            <w:r>
              <w:rPr>
                <w:sz w:val="21"/>
              </w:rPr>
              <w:t xml:space="preserve"> KVM </w:t>
            </w:r>
            <w:r>
              <w:rPr>
                <w:sz w:val="21"/>
              </w:rPr>
              <w:t>等，要求使用不同厂商的外部设备时，系统均能正常识别和安装驱动。</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软件兼容性</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★数据库兼容</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兼容</w:t>
            </w:r>
            <w:r>
              <w:rPr>
                <w:sz w:val="21"/>
              </w:rPr>
              <w:t xml:space="preserve"> 3 </w:t>
            </w:r>
            <w:r>
              <w:rPr>
                <w:sz w:val="21"/>
              </w:rPr>
              <w:t>个及以上厂商的数据库产品。</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★中间件兼容</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兼容</w:t>
            </w:r>
            <w:r>
              <w:rPr>
                <w:sz w:val="21"/>
              </w:rPr>
              <w:t xml:space="preserve"> 3 </w:t>
            </w:r>
            <w:r>
              <w:rPr>
                <w:sz w:val="21"/>
              </w:rPr>
              <w:t>个及以上厂商的中间件产品。</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★平台软件兼容</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兼容</w:t>
            </w:r>
            <w:r>
              <w:rPr>
                <w:sz w:val="21"/>
              </w:rPr>
              <w:t xml:space="preserve"> 3 </w:t>
            </w:r>
            <w:r>
              <w:rPr>
                <w:sz w:val="21"/>
              </w:rPr>
              <w:t>个及以上厂商的大数据平台。</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可靠性要求</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整机可靠性要求</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★整机可靠性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m1 </w:t>
            </w:r>
            <w:r>
              <w:rPr>
                <w:sz w:val="21"/>
              </w:rPr>
              <w:t>值（</w:t>
            </w:r>
            <w:r>
              <w:rPr>
                <w:sz w:val="21"/>
              </w:rPr>
              <w:t xml:space="preserve">MTBF </w:t>
            </w:r>
            <w:r>
              <w:rPr>
                <w:sz w:val="21"/>
              </w:rPr>
              <w:t>的不可接受值）不得低于</w:t>
            </w:r>
            <w:r>
              <w:rPr>
                <w:sz w:val="21"/>
              </w:rPr>
              <w:t xml:space="preserve"> 30000h</w:t>
            </w:r>
            <w:r>
              <w:rPr>
                <w:sz w:val="21"/>
              </w:rPr>
              <w:t>。</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★风扇可靠性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风扇寿命应不低于</w:t>
            </w:r>
            <w:r>
              <w:rPr>
                <w:sz w:val="21"/>
              </w:rPr>
              <w:t xml:space="preserve"> 40000h</w:t>
            </w:r>
            <w:r>
              <w:rPr>
                <w:sz w:val="21"/>
              </w:rPr>
              <w:t>。</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★部件可靠性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支持硬盘、电源、风扇热插拔</w:t>
            </w:r>
            <w:r>
              <w:rPr>
                <w:sz w:val="21"/>
              </w:rPr>
              <w:t>(</w:t>
            </w:r>
            <w:r>
              <w:rPr>
                <w:sz w:val="21"/>
              </w:rPr>
              <w:t>内置风扇除外</w:t>
            </w:r>
            <w:r>
              <w:rPr>
                <w:sz w:val="21"/>
              </w:rPr>
              <w:t>)</w:t>
            </w:r>
            <w:r>
              <w:rPr>
                <w:sz w:val="21"/>
              </w:rPr>
              <w:t>。</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包装及运输要求</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包装及运输要求</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★标志、包装、运输和贮存</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w:t>
            </w:r>
            <w:r>
              <w:rPr>
                <w:sz w:val="21"/>
              </w:rPr>
              <w:t xml:space="preserve"> GB/T 9813.3 </w:t>
            </w:r>
            <w:r>
              <w:rPr>
                <w:sz w:val="21"/>
              </w:rPr>
              <w:t>和商品包装政府采购需求标准的相关规定。</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服务要求</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服务响应</w:t>
            </w:r>
          </w:p>
        </w:tc>
        <w:tc>
          <w:tcPr>
            <w:tcW w:type="dxa" w:w="15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★服务响应</w:t>
            </w:r>
          </w:p>
        </w:tc>
        <w:tc>
          <w:tcPr>
            <w:tcW w:type="dxa" w:w="4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a) </w:t>
            </w:r>
            <w:r>
              <w:rPr>
                <w:sz w:val="21"/>
              </w:rPr>
              <w:t>提供电话、电子邮件、远程连接等多种形式服务；</w:t>
            </w:r>
            <w:r>
              <w:br/>
            </w:r>
            <w:r>
              <w:rPr>
                <w:sz w:val="21"/>
              </w:rPr>
              <w:t xml:space="preserve"> b) </w:t>
            </w:r>
            <w:r>
              <w:rPr>
                <w:sz w:val="21"/>
              </w:rPr>
              <w:t>提供同城</w:t>
            </w:r>
            <w:r>
              <w:rPr>
                <w:sz w:val="21"/>
              </w:rPr>
              <w:t xml:space="preserve"> 4h</w:t>
            </w:r>
            <w:r>
              <w:rPr>
                <w:sz w:val="21"/>
              </w:rPr>
              <w:t>、异地</w:t>
            </w:r>
            <w:r>
              <w:rPr>
                <w:sz w:val="21"/>
              </w:rPr>
              <w:t xml:space="preserve"> 12h </w:t>
            </w:r>
            <w:r>
              <w:rPr>
                <w:sz w:val="21"/>
              </w:rPr>
              <w:t>技术响应服务，</w:t>
            </w:r>
            <w:r>
              <w:rPr>
                <w:sz w:val="21"/>
              </w:rPr>
              <w:t xml:space="preserve">2 </w:t>
            </w:r>
            <w:r>
              <w:rPr>
                <w:sz w:val="21"/>
              </w:rPr>
              <w:t>个工作日解决问题，对于未能解决的问题和故障应提供可行的升级方案，并提供周转设备；</w:t>
            </w:r>
            <w:r>
              <w:br/>
            </w:r>
            <w:r>
              <w:rPr>
                <w:sz w:val="21"/>
              </w:rPr>
              <w:t xml:space="preserve"> c) </w:t>
            </w:r>
            <w:r>
              <w:rPr>
                <w:sz w:val="21"/>
              </w:rPr>
              <w:t>建立全国技术服务体系和服务团体，符合专业服务体系标准要求，提供原厂中文服务；</w:t>
            </w:r>
            <w:r>
              <w:br/>
            </w:r>
            <w:r>
              <w:rPr>
                <w:sz w:val="21"/>
              </w:rPr>
              <w:t xml:space="preserve"> d) </w:t>
            </w:r>
            <w:r>
              <w:rPr>
                <w:sz w:val="21"/>
              </w:rPr>
              <w:t>服务周期内提供产品的维修、换件和升级服务</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★培训服务</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供应商提供培训材料、产品手册、培训视频等培训相关内容。</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服务周期</w:t>
            </w:r>
          </w:p>
        </w:tc>
        <w:tc>
          <w:tcPr>
            <w:tcW w:type="dxa" w:w="15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★服务周期</w:t>
            </w:r>
          </w:p>
        </w:tc>
        <w:tc>
          <w:tcPr>
            <w:tcW w:type="dxa" w:w="4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a) </w:t>
            </w:r>
            <w:r>
              <w:rPr>
                <w:sz w:val="21"/>
              </w:rPr>
              <w:t>产品免费服务周期（含换件和维修）应不小于</w:t>
            </w:r>
            <w:r>
              <w:rPr>
                <w:sz w:val="21"/>
              </w:rPr>
              <w:t xml:space="preserve"> 5</w:t>
            </w:r>
            <w:r>
              <w:rPr>
                <w:sz w:val="21"/>
              </w:rPr>
              <w:t>年；</w:t>
            </w:r>
            <w:r>
              <w:br/>
            </w:r>
            <w:r>
              <w:rPr>
                <w:sz w:val="21"/>
              </w:rPr>
              <w:t xml:space="preserve"> b) </w:t>
            </w:r>
            <w:r>
              <w:rPr>
                <w:sz w:val="21"/>
              </w:rPr>
              <w:t>设备停产后继续提供质量保障服务（含备品备件），服务终止时间与最后一批设备交付时间间隔不低于</w:t>
            </w:r>
            <w:r>
              <w:rPr>
                <w:sz w:val="21"/>
              </w:rPr>
              <w:t xml:space="preserve"> 6 </w:t>
            </w:r>
            <w:r>
              <w:rPr>
                <w:sz w:val="21"/>
              </w:rPr>
              <w:t>年；</w:t>
            </w:r>
            <w:r>
              <w:br/>
            </w:r>
            <w:r>
              <w:rPr>
                <w:sz w:val="21"/>
              </w:rPr>
              <w:t xml:space="preserve"> c) </w:t>
            </w:r>
            <w:r>
              <w:rPr>
                <w:sz w:val="21"/>
              </w:rPr>
              <w:t>产品停止服务时间应提前</w:t>
            </w:r>
            <w:r>
              <w:rPr>
                <w:sz w:val="21"/>
              </w:rPr>
              <w:t>1</w:t>
            </w:r>
            <w:r>
              <w:rPr>
                <w:sz w:val="21"/>
              </w:rPr>
              <w:t>年告知客户；</w:t>
            </w:r>
            <w:r>
              <w:br/>
            </w:r>
            <w:r>
              <w:rPr>
                <w:sz w:val="21"/>
              </w:rPr>
              <w:t xml:space="preserve"> d) </w:t>
            </w:r>
            <w:r>
              <w:rPr>
                <w:sz w:val="21"/>
              </w:rPr>
              <w:t>产品发布日期需在随机文件中明确</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服务工具要求</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★工具要求</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供应商提供设置服务器硬件、辅助操作系统安装等功能的辅助工具和管理软件。且随附软件应具有合法授权或版权。</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★驱动安装升级指引</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供应商提供出厂安装的配件所需的驱动程序，形式包括但不限于驱动光盘、驱动下载链接等。其他配件应提供指引。</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★管理软件</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具备资源管理、系统管理、性能监控、健康监控、基于网络控制、报警设置功能。</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▲管理芯片</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服务器管理软件支持在中华人民共和国境内工商局登记注册的芯片。服务器支持</w:t>
            </w:r>
            <w:r>
              <w:rPr>
                <w:sz w:val="21"/>
              </w:rPr>
              <w:t>Redfish</w:t>
            </w:r>
            <w:r>
              <w:rPr>
                <w:sz w:val="21"/>
              </w:rPr>
              <w:t>、</w:t>
            </w:r>
            <w:r>
              <w:rPr>
                <w:sz w:val="21"/>
              </w:rPr>
              <w:t>SNMP</w:t>
            </w:r>
            <w:r>
              <w:rPr>
                <w:sz w:val="21"/>
              </w:rPr>
              <w:t>、</w:t>
            </w:r>
            <w:r>
              <w:rPr>
                <w:sz w:val="21"/>
              </w:rPr>
              <w:t>IPMI2.0</w:t>
            </w:r>
            <w:r>
              <w:rPr>
                <w:sz w:val="21"/>
              </w:rPr>
              <w:t>等标准接口；提供基于</w:t>
            </w:r>
            <w:r>
              <w:rPr>
                <w:sz w:val="21"/>
              </w:rPr>
              <w:t>HTML5/VNC KVM</w:t>
            </w:r>
            <w:r>
              <w:rPr>
                <w:sz w:val="21"/>
              </w:rPr>
              <w:t>的远程管理界面；支持监控、诊断、配置、</w:t>
            </w:r>
            <w:r>
              <w:rPr>
                <w:sz w:val="21"/>
              </w:rPr>
              <w:t>Agentless</w:t>
            </w:r>
            <w:r>
              <w:rPr>
                <w:sz w:val="21"/>
              </w:rPr>
              <w:t>及远程控制等带外管理功能，简化管理复杂度。</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▲安全管理</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支持基于</w:t>
            </w:r>
            <w:r>
              <w:rPr>
                <w:sz w:val="21"/>
              </w:rPr>
              <w:t>Kerberos</w:t>
            </w:r>
            <w:r>
              <w:rPr>
                <w:sz w:val="21"/>
              </w:rPr>
              <w:t>协议的用户认证管理机制，基于芯片可信根实现固件启动前的完整性校验，支持</w:t>
            </w:r>
            <w:r>
              <w:rPr>
                <w:sz w:val="21"/>
              </w:rPr>
              <w:t>TLS 1.2</w:t>
            </w:r>
            <w:r>
              <w:rPr>
                <w:sz w:val="21"/>
              </w:rPr>
              <w:t>、</w:t>
            </w:r>
            <w:r>
              <w:rPr>
                <w:sz w:val="21"/>
              </w:rPr>
              <w:t>TLS 1.3</w:t>
            </w:r>
            <w:r>
              <w:rPr>
                <w:sz w:val="21"/>
              </w:rPr>
              <w:t>版本，支持</w:t>
            </w:r>
            <w:r>
              <w:rPr>
                <w:sz w:val="21"/>
              </w:rPr>
              <w:t>SNMP</w:t>
            </w:r>
            <w:r>
              <w:rPr>
                <w:sz w:val="21"/>
              </w:rPr>
              <w:t>功能及</w:t>
            </w:r>
            <w:r>
              <w:rPr>
                <w:sz w:val="21"/>
              </w:rPr>
              <w:t>SHA256/SHA384/SHA512</w:t>
            </w:r>
            <w:r>
              <w:rPr>
                <w:sz w:val="21"/>
              </w:rPr>
              <w:t>鉴权和</w:t>
            </w:r>
            <w:r>
              <w:rPr>
                <w:sz w:val="21"/>
              </w:rPr>
              <w:t>AES256</w:t>
            </w:r>
            <w:r>
              <w:rPr>
                <w:sz w:val="21"/>
              </w:rPr>
              <w:t>加密算法。</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增值服务</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★厂家升级产品软件与扩容服务</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供应商提供原厂级的部件</w:t>
            </w:r>
            <w:r>
              <w:rPr>
                <w:sz w:val="21"/>
              </w:rPr>
              <w:t>/</w:t>
            </w:r>
            <w:r>
              <w:rPr>
                <w:sz w:val="21"/>
              </w:rPr>
              <w:t>软件产品升级和扩容能力。</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★提供上门服务</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供应商具备提供上门服务的能力</w:t>
            </w:r>
            <w:r>
              <w:rPr>
                <w:sz w:val="21"/>
              </w:rPr>
              <w:t>(</w:t>
            </w:r>
            <w:r>
              <w:rPr>
                <w:sz w:val="21"/>
              </w:rPr>
              <w:t>可收费</w:t>
            </w:r>
            <w:r>
              <w:rPr>
                <w:sz w:val="21"/>
              </w:rPr>
              <w:t>)</w:t>
            </w:r>
            <w:r>
              <w:rPr>
                <w:sz w:val="21"/>
              </w:rPr>
              <w:t>。</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供保要求</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★供应链质量</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★抗干扰性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当产品部件出现供应风险时，应通知客户并提供风险应对方案确保产品的服务保障，必要时应停止相关受影响产品的销售。</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★供应能力证明</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供应商提供供应链稳定承诺书，确保产品的部件在产品服务周期内稳定供货。</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其他要求</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显卡虚拟化</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显卡虚拟化软件</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w:t>
            </w:r>
            <w:r>
              <w:rPr>
                <w:sz w:val="21"/>
              </w:rPr>
              <w:t>NVIDIA</w:t>
            </w:r>
            <w:r>
              <w:rPr>
                <w:sz w:val="21"/>
              </w:rPr>
              <w:t>显卡虚拟化</w:t>
            </w:r>
            <w:r>
              <w:rPr>
                <w:sz w:val="21"/>
              </w:rPr>
              <w:t>vGPU</w:t>
            </w:r>
            <w:r>
              <w:rPr>
                <w:sz w:val="21"/>
              </w:rPr>
              <w:t>软件</w:t>
            </w:r>
            <w:r>
              <w:rPr>
                <w:sz w:val="21"/>
              </w:rPr>
              <w:t>vWS</w:t>
            </w:r>
            <w:r>
              <w:rPr>
                <w:sz w:val="21"/>
              </w:rPr>
              <w:t>类型的永久授权模式，实现</w:t>
            </w:r>
            <w:r>
              <w:rPr>
                <w:sz w:val="21"/>
              </w:rPr>
              <w:t>GPU</w:t>
            </w:r>
            <w:r>
              <w:rPr>
                <w:sz w:val="21"/>
              </w:rPr>
              <w:t>资源可按时间切片方式去切割，支持机器学习、</w:t>
            </w:r>
            <w:r>
              <w:rPr>
                <w:sz w:val="21"/>
              </w:rPr>
              <w:t>AI</w:t>
            </w:r>
            <w:r>
              <w:rPr>
                <w:sz w:val="21"/>
              </w:rPr>
              <w:t>计算运算场景，整个</w:t>
            </w:r>
            <w:r>
              <w:rPr>
                <w:sz w:val="21"/>
              </w:rPr>
              <w:t>AI</w:t>
            </w:r>
            <w:r>
              <w:rPr>
                <w:sz w:val="21"/>
              </w:rPr>
              <w:t>服务器集群要求提供</w:t>
            </w:r>
            <w:r>
              <w:rPr>
                <w:sz w:val="21"/>
              </w:rPr>
              <w:t>vGPU</w:t>
            </w:r>
            <w:r>
              <w:rPr>
                <w:sz w:val="21"/>
              </w:rPr>
              <w:t>的并发数授权≥</w:t>
            </w:r>
            <w:r>
              <w:rPr>
                <w:sz w:val="21"/>
              </w:rPr>
              <w:t>50</w:t>
            </w:r>
            <w:r>
              <w:rPr>
                <w:sz w:val="21"/>
              </w:rPr>
              <w:t>个。</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804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说明：供应商在投标、响应环节出具关于所提供服务器满足采购文件要求承诺函的，即视为相关产品符合要求。如承诺与《技术和服务要求响应表》具体响应参数不一致，以响应表为准。</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bl>
    <w:p>
      <w:pPr>
        <w:pStyle w:val="null3"/>
        <w:jc w:val="both"/>
      </w:pPr>
      <w:r>
        <w:rPr>
          <w:sz w:val="28"/>
          <w:b/>
        </w:rPr>
        <w:t>3.1.2</w:t>
      </w:r>
      <w:r>
        <w:rPr>
          <w:sz w:val="28"/>
          <w:b/>
        </w:rPr>
        <w:t>虚拟化服务器参数要求</w:t>
      </w:r>
    </w:p>
    <w:tbl>
      <w:tblPr>
        <w:tblW w:w="0" w:type="auto"/>
        <w:tblBorders>
          <w:top w:val="none" w:color="000000" w:sz="4"/>
          <w:left w:val="none" w:color="000000" w:sz="4"/>
          <w:bottom w:val="none" w:color="000000" w:sz="4"/>
          <w:right w:val="none" w:color="000000" w:sz="4"/>
          <w:insideH w:val="none"/>
          <w:insideV w:val="none"/>
        </w:tblBorders>
      </w:tblPr>
      <w:tblGrid>
        <w:gridCol w:w="771"/>
        <w:gridCol w:w="771"/>
        <w:gridCol w:w="1541"/>
        <w:gridCol w:w="4966"/>
        <w:gridCol w:w="257"/>
      </w:tblGrid>
      <w:tr>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指标分类</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一级指标</w:t>
            </w:r>
          </w:p>
        </w:tc>
        <w:tc>
          <w:tcPr>
            <w:tcW w:type="dxa" w:w="1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二级指标</w:t>
            </w:r>
          </w:p>
        </w:tc>
        <w:tc>
          <w:tcPr>
            <w:tcW w:type="dxa" w:w="4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指标要求</w:t>
            </w:r>
          </w:p>
        </w:tc>
        <w:tc>
          <w:tcPr>
            <w:tcW w:type="dxa" w:w="25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7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产品规格</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CPU </w:t>
            </w:r>
            <w:r>
              <w:rPr>
                <w:sz w:val="21"/>
              </w:rPr>
              <w:t>规格</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 xml:space="preserve">CPU </w:t>
            </w:r>
            <w:r>
              <w:rPr>
                <w:sz w:val="21"/>
              </w:rPr>
              <w:t>信息</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CPU</w:t>
            </w:r>
            <w:r>
              <w:rPr>
                <w:sz w:val="21"/>
              </w:rPr>
              <w:t>型号不限，核心数≥</w:t>
            </w:r>
            <w:r>
              <w:rPr>
                <w:sz w:val="21"/>
              </w:rPr>
              <w:t>32</w:t>
            </w:r>
            <w:r>
              <w:rPr>
                <w:sz w:val="21"/>
              </w:rPr>
              <w:t>，主频≥</w:t>
            </w:r>
            <w:r>
              <w:rPr>
                <w:sz w:val="21"/>
              </w:rPr>
              <w:t>2.2GHz</w:t>
            </w:r>
            <w:r>
              <w:rPr>
                <w:sz w:val="21"/>
              </w:rPr>
              <w:t>，末级缓存容量≥</w:t>
            </w:r>
            <w:r>
              <w:rPr>
                <w:sz w:val="21"/>
              </w:rPr>
              <w:t>48 MB</w:t>
            </w:r>
            <w:r>
              <w:rPr>
                <w:sz w:val="21"/>
              </w:rPr>
              <w:t>，线程数≥</w:t>
            </w:r>
            <w:r>
              <w:rPr>
                <w:sz w:val="21"/>
              </w:rPr>
              <w:t>64</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主板规格</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★主板支持的</w:t>
            </w:r>
            <w:r>
              <w:rPr>
                <w:sz w:val="21"/>
              </w:rPr>
              <w:t>CPU</w:t>
            </w:r>
            <w:r>
              <w:rPr>
                <w:sz w:val="21"/>
              </w:rPr>
              <w:t>和内存情况</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支持的</w:t>
            </w:r>
            <w:r>
              <w:rPr>
                <w:sz w:val="21"/>
              </w:rPr>
              <w:t>CPU</w:t>
            </w:r>
            <w:r>
              <w:rPr>
                <w:sz w:val="21"/>
              </w:rPr>
              <w:t>与供应商提供的</w:t>
            </w:r>
            <w:r>
              <w:rPr>
                <w:sz w:val="21"/>
              </w:rPr>
              <w:t>CPU</w:t>
            </w:r>
            <w:r>
              <w:rPr>
                <w:sz w:val="21"/>
              </w:rPr>
              <w:t>相匹配，≥</w:t>
            </w:r>
            <w:r>
              <w:rPr>
                <w:sz w:val="21"/>
              </w:rPr>
              <w:t>2</w:t>
            </w:r>
            <w:r>
              <w:rPr>
                <w:sz w:val="21"/>
              </w:rPr>
              <w:t>颗；支持</w:t>
            </w:r>
            <w:r>
              <w:rPr>
                <w:sz w:val="21"/>
              </w:rPr>
              <w:t>DDR4 16GB/32GB</w:t>
            </w:r>
            <w:r>
              <w:rPr>
                <w:sz w:val="21"/>
              </w:rPr>
              <w:t>内存，型号不限，≥</w:t>
            </w:r>
            <w:r>
              <w:rPr>
                <w:sz w:val="21"/>
              </w:rPr>
              <w:t>32</w:t>
            </w:r>
            <w:r>
              <w:rPr>
                <w:sz w:val="21"/>
              </w:rPr>
              <w:t>条</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★主板内存槽数量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32</w:t>
            </w:r>
            <w:r>
              <w:rPr>
                <w:sz w:val="21"/>
              </w:rPr>
              <w:t>个</w:t>
            </w:r>
            <w:r>
              <w:rPr>
                <w:sz w:val="21"/>
              </w:rPr>
              <w:t>DDR4</w:t>
            </w:r>
            <w:r>
              <w:rPr>
                <w:sz w:val="21"/>
              </w:rPr>
              <w:t>内存插槽</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★主板存储接口</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SATA</w:t>
            </w:r>
            <w:r>
              <w:rPr>
                <w:sz w:val="21"/>
              </w:rPr>
              <w:t>、</w:t>
            </w:r>
            <w:r>
              <w:rPr>
                <w:sz w:val="21"/>
              </w:rPr>
              <w:t>SAS</w:t>
            </w:r>
            <w:r>
              <w:rPr>
                <w:sz w:val="21"/>
              </w:rPr>
              <w:t>、</w:t>
            </w:r>
            <w:r>
              <w:rPr>
                <w:sz w:val="21"/>
              </w:rPr>
              <w:t>M.2</w:t>
            </w:r>
            <w:r>
              <w:rPr>
                <w:sz w:val="21"/>
              </w:rPr>
              <w:t>、</w:t>
            </w:r>
            <w:r>
              <w:rPr>
                <w:sz w:val="21"/>
              </w:rPr>
              <w:t xml:space="preserve">U.2 </w:t>
            </w:r>
            <w:r>
              <w:rPr>
                <w:sz w:val="21"/>
              </w:rPr>
              <w:t>等存储接口</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 xml:space="preserve">PCIe </w:t>
            </w:r>
            <w:r>
              <w:rPr>
                <w:sz w:val="21"/>
              </w:rPr>
              <w:t>插槽接口</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w:t>
            </w:r>
            <w:r>
              <w:rPr>
                <w:sz w:val="21"/>
              </w:rPr>
              <w:t xml:space="preserve"> PCIe4.0 </w:t>
            </w:r>
            <w:r>
              <w:rPr>
                <w:sz w:val="21"/>
              </w:rPr>
              <w:t>或以上的高速串行计算机扩展总线标准，</w:t>
            </w:r>
            <w:r>
              <w:rPr>
                <w:sz w:val="21"/>
              </w:rPr>
              <w:t xml:space="preserve">PCIe </w:t>
            </w:r>
            <w:r>
              <w:rPr>
                <w:sz w:val="21"/>
              </w:rPr>
              <w:t>的接口速率与位宽需保证向下兼容</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★主板</w:t>
            </w:r>
            <w:r>
              <w:rPr>
                <w:sz w:val="21"/>
              </w:rPr>
              <w:t xml:space="preserve"> PCIe</w:t>
            </w:r>
            <w:r>
              <w:rPr>
                <w:sz w:val="21"/>
              </w:rPr>
              <w:t>插槽数量及规格</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服务器</w:t>
            </w:r>
            <w:r>
              <w:rPr>
                <w:sz w:val="21"/>
              </w:rPr>
              <w:t xml:space="preserve"> PCIe </w:t>
            </w:r>
            <w:r>
              <w:rPr>
                <w:sz w:val="21"/>
              </w:rPr>
              <w:t>插槽或接口≥</w:t>
            </w:r>
            <w:r>
              <w:rPr>
                <w:sz w:val="21"/>
              </w:rPr>
              <w:t xml:space="preserve"> 5</w:t>
            </w:r>
            <w:r>
              <w:rPr>
                <w:sz w:val="21"/>
              </w:rPr>
              <w:t>个</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板载网络接口</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r>
              <w:rPr>
                <w:sz w:val="21"/>
              </w:rPr>
              <w:t>个专用管理</w:t>
            </w:r>
            <w:r>
              <w:rPr>
                <w:sz w:val="21"/>
              </w:rPr>
              <w:t>GE</w:t>
            </w:r>
            <w:r>
              <w:rPr>
                <w:sz w:val="21"/>
              </w:rPr>
              <w:t>网口</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主板</w:t>
            </w:r>
            <w:r>
              <w:rPr>
                <w:sz w:val="21"/>
              </w:rPr>
              <w:t xml:space="preserve"> OCP </w:t>
            </w:r>
            <w:r>
              <w:rPr>
                <w:sz w:val="21"/>
              </w:rPr>
              <w:t>插槽数量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 xml:space="preserve"> OCP3.0</w:t>
            </w:r>
            <w:r>
              <w:rPr>
                <w:sz w:val="21"/>
              </w:rPr>
              <w:t>及以上插槽的数量≥</w:t>
            </w:r>
            <w:r>
              <w:rPr>
                <w:sz w:val="21"/>
              </w:rPr>
              <w:t xml:space="preserve"> 2</w:t>
            </w:r>
            <w:r>
              <w:rPr>
                <w:sz w:val="21"/>
              </w:rPr>
              <w:t>个</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内存规格</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★内存数量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32</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★内存规格</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DDR4</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★内存通道</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支持多个内存接口通道，每个通道可支持</w:t>
            </w:r>
            <w:r>
              <w:rPr>
                <w:sz w:val="21"/>
              </w:rPr>
              <w:t xml:space="preserve"> 1DPC </w:t>
            </w:r>
            <w:r>
              <w:rPr>
                <w:sz w:val="21"/>
              </w:rPr>
              <w:t>或</w:t>
            </w:r>
            <w:r>
              <w:rPr>
                <w:sz w:val="21"/>
              </w:rPr>
              <w:t xml:space="preserve"> 2DPC</w:t>
            </w:r>
            <w:r>
              <w:rPr>
                <w:sz w:val="21"/>
              </w:rPr>
              <w:t>，当支持</w:t>
            </w:r>
            <w:r>
              <w:rPr>
                <w:sz w:val="21"/>
              </w:rPr>
              <w:t xml:space="preserve"> 2DPC</w:t>
            </w:r>
            <w:r>
              <w:rPr>
                <w:sz w:val="21"/>
              </w:rPr>
              <w:t>时，印制电路板上应具备插槽的序号标识，具体通道数应在随机文件中明确</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存储规格</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M.2</w:t>
            </w:r>
            <w:r>
              <w:rPr>
                <w:sz w:val="21"/>
              </w:rPr>
              <w:t>固态盘实配容量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240GB</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M.2</w:t>
            </w:r>
            <w:r>
              <w:rPr>
                <w:sz w:val="21"/>
              </w:rPr>
              <w:t>固态盘实配数量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w:t>
            </w:r>
            <w:r>
              <w:rPr>
                <w:sz w:val="21"/>
              </w:rPr>
              <w:t>块</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SATA</w:t>
            </w:r>
            <w:r>
              <w:rPr>
                <w:sz w:val="21"/>
              </w:rPr>
              <w:t>固态盘实配容量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3.84TB</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SATA</w:t>
            </w:r>
            <w:r>
              <w:rPr>
                <w:sz w:val="21"/>
              </w:rPr>
              <w:t>固态盘实配数量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10</w:t>
            </w:r>
            <w:r>
              <w:rPr>
                <w:sz w:val="21"/>
              </w:rPr>
              <w:t>块</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★硬盘插槽数量及规格</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可支持的硬盘数量≥</w:t>
            </w:r>
            <w:r>
              <w:rPr>
                <w:sz w:val="21"/>
              </w:rPr>
              <w:t xml:space="preserve"> 8 </w:t>
            </w:r>
            <w:r>
              <w:rPr>
                <w:sz w:val="21"/>
              </w:rPr>
              <w:t>块，硬盘尺寸为</w:t>
            </w:r>
            <w:r>
              <w:rPr>
                <w:sz w:val="21"/>
              </w:rPr>
              <w:t>2.5</w:t>
            </w:r>
            <w:r>
              <w:rPr>
                <w:sz w:val="21"/>
              </w:rPr>
              <w:t>英寸或</w:t>
            </w:r>
            <w:r>
              <w:rPr>
                <w:sz w:val="21"/>
              </w:rPr>
              <w:t>3.5</w:t>
            </w:r>
            <w:r>
              <w:rPr>
                <w:sz w:val="21"/>
              </w:rPr>
              <w:t>英寸</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RAID</w:t>
            </w:r>
            <w:r>
              <w:rPr>
                <w:sz w:val="21"/>
              </w:rPr>
              <w:t>卡规格</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RAID </w:t>
            </w:r>
            <w:r>
              <w:rPr>
                <w:sz w:val="21"/>
              </w:rPr>
              <w:t>卡数量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RAID </w:t>
            </w:r>
            <w:r>
              <w:rPr>
                <w:sz w:val="21"/>
              </w:rPr>
              <w:t>卡支持的</w:t>
            </w:r>
            <w:r>
              <w:rPr>
                <w:sz w:val="21"/>
              </w:rPr>
              <w:t xml:space="preserve"> SAS</w:t>
            </w:r>
            <w:r>
              <w:rPr>
                <w:sz w:val="21"/>
              </w:rPr>
              <w:t>接口数</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8</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网络规格</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★网口速率和数量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配备光网口数量≥</w:t>
            </w:r>
            <w:r>
              <w:rPr>
                <w:sz w:val="21"/>
              </w:rPr>
              <w:t>8</w:t>
            </w:r>
            <w:r>
              <w:rPr>
                <w:sz w:val="21"/>
              </w:rPr>
              <w:t>个（含光模块），且网口速率≥</w:t>
            </w:r>
            <w:r>
              <w:rPr>
                <w:sz w:val="21"/>
              </w:rPr>
              <w:t>10GE</w:t>
            </w:r>
            <w:r>
              <w:rPr>
                <w:sz w:val="21"/>
              </w:rPr>
              <w:t>；配备电网口数量≥</w:t>
            </w:r>
            <w:r>
              <w:rPr>
                <w:sz w:val="21"/>
              </w:rPr>
              <w:t>4</w:t>
            </w:r>
            <w:r>
              <w:rPr>
                <w:sz w:val="21"/>
              </w:rPr>
              <w:t>个，且网口速率≥</w:t>
            </w:r>
            <w:r>
              <w:rPr>
                <w:sz w:val="21"/>
              </w:rPr>
              <w:t>1GE</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外部接口规格</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★显示接口</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w:t>
            </w:r>
            <w:r>
              <w:rPr>
                <w:sz w:val="21"/>
              </w:rPr>
              <w:t>个</w:t>
            </w:r>
            <w:r>
              <w:rPr>
                <w:sz w:val="21"/>
              </w:rPr>
              <w:t>VGA</w:t>
            </w:r>
            <w:r>
              <w:rPr>
                <w:sz w:val="21"/>
              </w:rPr>
              <w:t>接口</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 xml:space="preserve">USB </w:t>
            </w:r>
            <w:r>
              <w:rPr>
                <w:sz w:val="21"/>
              </w:rPr>
              <w:t>接口</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5</w:t>
            </w:r>
            <w:r>
              <w:rPr>
                <w:sz w:val="21"/>
              </w:rPr>
              <w:t>个</w:t>
            </w:r>
            <w:r>
              <w:rPr>
                <w:sz w:val="21"/>
              </w:rPr>
              <w:t>USB3.0</w:t>
            </w:r>
            <w:r>
              <w:rPr>
                <w:sz w:val="21"/>
              </w:rPr>
              <w:t>接口</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其他接口</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Type-C IBMC</w:t>
            </w:r>
            <w:r>
              <w:rPr>
                <w:sz w:val="21"/>
              </w:rPr>
              <w:t>直连端口</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电源规格</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电源冗余模式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整机电源模块按</w:t>
            </w:r>
            <w:r>
              <w:rPr>
                <w:sz w:val="21"/>
              </w:rPr>
              <w:t xml:space="preserve">1+1 </w:t>
            </w:r>
            <w:r>
              <w:rPr>
                <w:sz w:val="21"/>
              </w:rPr>
              <w:t>冗余</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★电源模块数量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★电源功率</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900W</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整机规格</w:t>
            </w:r>
          </w:p>
        </w:tc>
        <w:tc>
          <w:tcPr>
            <w:tcW w:type="dxa" w:w="15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★外观和结构</w:t>
            </w:r>
          </w:p>
        </w:tc>
        <w:tc>
          <w:tcPr>
            <w:tcW w:type="dxa" w:w="4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w:t>
            </w:r>
            <w:r>
              <w:rPr>
                <w:sz w:val="21"/>
              </w:rPr>
              <w:t>服务器的零部件应紧固无松动，可插拔部件应可靠连接，开关、按钮和其它控制部件应灵活可靠，布局应方便使用；</w:t>
            </w:r>
            <w:r>
              <w:br/>
            </w:r>
            <w:r>
              <w:rPr>
                <w:sz w:val="21"/>
              </w:rPr>
              <w:t xml:space="preserve"> b) </w:t>
            </w:r>
            <w:r>
              <w:rPr>
                <w:sz w:val="21"/>
              </w:rPr>
              <w:t>产品表面不应有明显的凹痕、划伤、裂缝、变形和污染等。表面涂层均匀，不应起泡、龟裂、脱落和磨损，金属零部件无锈蚀及其它机械损伤；</w:t>
            </w:r>
            <w:r>
              <w:br/>
            </w:r>
            <w:r>
              <w:rPr>
                <w:sz w:val="21"/>
              </w:rPr>
              <w:t xml:space="preserve"> c) </w:t>
            </w:r>
            <w:r>
              <w:rPr>
                <w:sz w:val="21"/>
              </w:rPr>
              <w:t>产品表面说明功能的文字、符号和标志应清晰、端正且牢固；</w:t>
            </w:r>
            <w:r>
              <w:br/>
            </w:r>
            <w:r>
              <w:rPr>
                <w:sz w:val="21"/>
              </w:rPr>
              <w:t xml:space="preserve"> d) </w:t>
            </w:r>
            <w:r>
              <w:rPr>
                <w:sz w:val="21"/>
              </w:rPr>
              <w:t>应在服务器的显著位置提供运行状态的指示功能，并在随机文件中明确具体含义；</w:t>
            </w:r>
            <w:r>
              <w:br/>
            </w:r>
            <w:r>
              <w:rPr>
                <w:sz w:val="21"/>
              </w:rPr>
              <w:t xml:space="preserve"> e) </w:t>
            </w:r>
            <w:r>
              <w:rPr>
                <w:sz w:val="21"/>
              </w:rPr>
              <w:t>机架、机箱的尺寸应符合通用机柜的安装要求，插入总线插座的电</w:t>
            </w:r>
            <w:r>
              <w:br/>
            </w:r>
            <w:r>
              <w:rPr>
                <w:sz w:val="21"/>
              </w:rPr>
              <w:t>路板接口外形尺寸应符合有关总线标准的规定，将机箱固定在机柜上，机箱底面最大下垂变形不得干涉相邻机体；</w:t>
            </w:r>
            <w:r>
              <w:br/>
            </w:r>
            <w:r>
              <w:rPr>
                <w:sz w:val="21"/>
              </w:rPr>
              <w:t xml:space="preserve"> f) </w:t>
            </w:r>
            <w:r>
              <w:rPr>
                <w:sz w:val="21"/>
              </w:rPr>
              <w:t>高密度服务器应给出</w:t>
            </w:r>
            <w:r>
              <w:rPr>
                <w:sz w:val="21"/>
              </w:rPr>
              <w:t>CPU</w:t>
            </w:r>
            <w:r>
              <w:rPr>
                <w:sz w:val="21"/>
              </w:rPr>
              <w:t>个数与机柜高度；</w:t>
            </w:r>
            <w:r>
              <w:br/>
            </w:r>
            <w:r>
              <w:rPr>
                <w:sz w:val="21"/>
              </w:rPr>
              <w:t xml:space="preserve"> g) </w:t>
            </w:r>
            <w:r>
              <w:rPr>
                <w:sz w:val="21"/>
              </w:rPr>
              <w:t>服务器尺寸具体要求在随机文件中明确</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★尺寸（高×宽×深）</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服务器尺寸设计应遵循标准化、系列化的要求，机箱的内部结构符合通用部件的安装需要，服务器高度≥</w:t>
            </w:r>
            <w:r>
              <w:rPr>
                <w:sz w:val="21"/>
              </w:rPr>
              <w:t>80</w:t>
            </w:r>
            <w:r>
              <w:rPr>
                <w:sz w:val="21"/>
              </w:rPr>
              <w:t>毫米、宽度≥</w:t>
            </w:r>
            <w:r>
              <w:rPr>
                <w:sz w:val="21"/>
              </w:rPr>
              <w:t>400</w:t>
            </w:r>
            <w:r>
              <w:rPr>
                <w:sz w:val="21"/>
              </w:rPr>
              <w:t>毫米、深度≥</w:t>
            </w:r>
            <w:r>
              <w:rPr>
                <w:sz w:val="21"/>
              </w:rPr>
              <w:t>600</w:t>
            </w:r>
            <w:r>
              <w:rPr>
                <w:sz w:val="21"/>
              </w:rPr>
              <w:t>毫米。</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★环境适应性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气候环境适应性应符合</w:t>
            </w:r>
            <w:r>
              <w:rPr>
                <w:sz w:val="21"/>
              </w:rPr>
              <w:t xml:space="preserve"> GB/T9813.3 </w:t>
            </w:r>
            <w:r>
              <w:rPr>
                <w:sz w:val="21"/>
              </w:rPr>
              <w:t>的有关规定，工作温度</w:t>
            </w:r>
            <w:r>
              <w:rPr>
                <w:sz w:val="21"/>
              </w:rPr>
              <w:t xml:space="preserve"> 10</w:t>
            </w:r>
            <w:r>
              <w:rPr>
                <w:sz w:val="21"/>
              </w:rPr>
              <w:t>～</w:t>
            </w:r>
            <w:r>
              <w:rPr>
                <w:sz w:val="21"/>
              </w:rPr>
              <w:t>35</w:t>
            </w:r>
            <w:r>
              <w:rPr>
                <w:sz w:val="21"/>
              </w:rPr>
              <w:t>℃，贮存运输温度</w:t>
            </w:r>
            <w:r>
              <w:rPr>
                <w:sz w:val="21"/>
              </w:rPr>
              <w:t>-40</w:t>
            </w:r>
            <w:r>
              <w:rPr>
                <w:sz w:val="21"/>
              </w:rPr>
              <w:t>～</w:t>
            </w:r>
            <w:r>
              <w:rPr>
                <w:sz w:val="21"/>
              </w:rPr>
              <w:t>55</w:t>
            </w:r>
            <w:r>
              <w:rPr>
                <w:sz w:val="21"/>
              </w:rPr>
              <w:t>℃；工作相对湿度</w:t>
            </w:r>
            <w:r>
              <w:rPr>
                <w:sz w:val="21"/>
              </w:rPr>
              <w:t xml:space="preserve"> 35%</w:t>
            </w:r>
            <w:r>
              <w:rPr>
                <w:sz w:val="21"/>
              </w:rPr>
              <w:t>～</w:t>
            </w:r>
            <w:r>
              <w:rPr>
                <w:sz w:val="21"/>
              </w:rPr>
              <w:t>80%</w:t>
            </w:r>
            <w:r>
              <w:rPr>
                <w:sz w:val="21"/>
              </w:rPr>
              <w:t>，贮存运输相对湿度</w:t>
            </w:r>
            <w:r>
              <w:rPr>
                <w:sz w:val="21"/>
              </w:rPr>
              <w:t xml:space="preserve"> 20</w:t>
            </w:r>
            <w:r>
              <w:rPr>
                <w:sz w:val="21"/>
              </w:rPr>
              <w:t>％～</w:t>
            </w:r>
            <w:r>
              <w:rPr>
                <w:sz w:val="21"/>
              </w:rPr>
              <w:t>93%</w:t>
            </w:r>
            <w:r>
              <w:rPr>
                <w:sz w:val="21"/>
              </w:rPr>
              <w:t>（</w:t>
            </w:r>
            <w:r>
              <w:rPr>
                <w:sz w:val="21"/>
              </w:rPr>
              <w:t>40</w:t>
            </w:r>
            <w:r>
              <w:rPr>
                <w:sz w:val="21"/>
              </w:rPr>
              <w:t>℃）；大气压</w:t>
            </w:r>
            <w:r>
              <w:rPr>
                <w:sz w:val="21"/>
              </w:rPr>
              <w:t>86</w:t>
            </w:r>
            <w:r>
              <w:rPr>
                <w:sz w:val="21"/>
              </w:rPr>
              <w:t>～</w:t>
            </w:r>
            <w:r>
              <w:rPr>
                <w:sz w:val="21"/>
              </w:rPr>
              <w:t>106kPa</w:t>
            </w:r>
            <w:r>
              <w:rPr>
                <w:sz w:val="21"/>
              </w:rPr>
              <w:t>。</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★机械环境适应性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机械环境适应性应符合</w:t>
            </w:r>
            <w:r>
              <w:rPr>
                <w:sz w:val="21"/>
              </w:rPr>
              <w:t xml:space="preserve"> GB/T9813.3 </w:t>
            </w:r>
            <w:r>
              <w:rPr>
                <w:sz w:val="21"/>
              </w:rPr>
              <w:t>的有关规定</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★噪声</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w:t>
            </w:r>
            <w:r>
              <w:rPr>
                <w:sz w:val="21"/>
              </w:rPr>
              <w:t xml:space="preserve"> GB/T 9813.3 </w:t>
            </w:r>
            <w:r>
              <w:rPr>
                <w:sz w:val="21"/>
              </w:rPr>
              <w:t>的有关规定，在产品说明中给出具体测试值，塔式服务器噪声在空闲状态下不大于</w:t>
            </w:r>
            <w:r>
              <w:rPr>
                <w:sz w:val="21"/>
              </w:rPr>
              <w:t xml:space="preserve"> 50dB</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机柜规格</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★机柜尺寸</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机柜宽度≥</w:t>
            </w:r>
            <w:r>
              <w:rPr>
                <w:sz w:val="21"/>
              </w:rPr>
              <w:t>600</w:t>
            </w:r>
            <w:r>
              <w:rPr>
                <w:sz w:val="21"/>
              </w:rPr>
              <w:t>毫米，高度≥</w:t>
            </w:r>
            <w:r>
              <w:rPr>
                <w:sz w:val="21"/>
              </w:rPr>
              <w:t>2000</w:t>
            </w:r>
            <w:r>
              <w:rPr>
                <w:sz w:val="21"/>
              </w:rPr>
              <w:t>毫米，深度≥</w:t>
            </w:r>
            <w:r>
              <w:rPr>
                <w:sz w:val="21"/>
              </w:rPr>
              <w:t>800</w:t>
            </w:r>
            <w:r>
              <w:rPr>
                <w:sz w:val="21"/>
              </w:rPr>
              <w:t>毫米。</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功能要求</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主板功能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★主板外部接口种类</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 xml:space="preserve"> USB</w:t>
            </w:r>
            <w:r>
              <w:rPr>
                <w:sz w:val="21"/>
              </w:rPr>
              <w:t>、显示、管理等接口。</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网络功能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★网络功能</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支持网络连接、网络访问、数据交换和网络管控功能</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CPU</w:t>
            </w:r>
            <w:r>
              <w:rPr>
                <w:sz w:val="21"/>
              </w:rPr>
              <w:t>功能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★计算处理</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支持通用计算及虚拟化功能。处理器需集成整型计算单元、浮点计算单元、内存控制器、</w:t>
            </w:r>
            <w:r>
              <w:rPr>
                <w:sz w:val="21"/>
              </w:rPr>
              <w:t xml:space="preserve">I/O </w:t>
            </w:r>
            <w:r>
              <w:rPr>
                <w:sz w:val="21"/>
              </w:rPr>
              <w:t>模块等，处理器与存储部件、网络部件、</w:t>
            </w:r>
            <w:r>
              <w:rPr>
                <w:sz w:val="21"/>
              </w:rPr>
              <w:t>I/O</w:t>
            </w:r>
            <w:r>
              <w:rPr>
                <w:sz w:val="21"/>
              </w:rPr>
              <w:t>部件等组成计算系统，提供数据处理、网络接入等计算相关功能</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★密码算法实现</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CPU </w:t>
            </w:r>
            <w:r>
              <w:rPr>
                <w:sz w:val="21"/>
              </w:rPr>
              <w:t>芯片应符合</w:t>
            </w:r>
            <w:r>
              <w:rPr>
                <w:sz w:val="21"/>
              </w:rPr>
              <w:t xml:space="preserve"> GM/T 0008 </w:t>
            </w:r>
            <w:r>
              <w:rPr>
                <w:sz w:val="21"/>
              </w:rPr>
              <w:t>的相关规定，或芯片密码模块应符合</w:t>
            </w:r>
            <w:r>
              <w:rPr>
                <w:sz w:val="21"/>
              </w:rPr>
              <w:t xml:space="preserve"> GB/T37092 </w:t>
            </w:r>
            <w:r>
              <w:rPr>
                <w:sz w:val="21"/>
              </w:rPr>
              <w:t>或</w:t>
            </w:r>
            <w:r>
              <w:rPr>
                <w:sz w:val="21"/>
              </w:rPr>
              <w:t xml:space="preserve"> GM/T 0028 </w:t>
            </w:r>
            <w:r>
              <w:rPr>
                <w:sz w:val="21"/>
              </w:rPr>
              <w:t>的相关规定</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存储功能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内存校验</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支持内存</w:t>
            </w:r>
            <w:r>
              <w:rPr>
                <w:sz w:val="21"/>
              </w:rPr>
              <w:t>ECC</w:t>
            </w:r>
            <w:r>
              <w:rPr>
                <w:sz w:val="21"/>
              </w:rPr>
              <w:t>和内存镜像</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RAID</w:t>
            </w:r>
            <w:r>
              <w:rPr>
                <w:sz w:val="21"/>
              </w:rPr>
              <w:t>卡功能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RAID </w:t>
            </w:r>
            <w:r>
              <w:rPr>
                <w:sz w:val="21"/>
              </w:rPr>
              <w:t>卡</w:t>
            </w:r>
            <w:r>
              <w:rPr>
                <w:sz w:val="21"/>
              </w:rPr>
              <w:t>RAID</w:t>
            </w:r>
            <w:r>
              <w:rPr>
                <w:sz w:val="21"/>
              </w:rPr>
              <w:t>级别支持</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RAID </w:t>
            </w:r>
            <w:r>
              <w:rPr>
                <w:sz w:val="21"/>
              </w:rPr>
              <w:t>模式支持</w:t>
            </w:r>
            <w:r>
              <w:rPr>
                <w:sz w:val="21"/>
              </w:rPr>
              <w:t>RAID 0/1/5/6/10/50/60</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电源功能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★电源热插拔</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整机电源模块应具备热插拔功能</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★电源过流保护</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支持过流及短路保护的功能</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整机功能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★散热方式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支持风冷散热方式</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管理系统功能</w:t>
            </w:r>
          </w:p>
        </w:tc>
        <w:tc>
          <w:tcPr>
            <w:tcW w:type="dxa" w:w="15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 xml:space="preserve">BMC </w:t>
            </w:r>
            <w:r>
              <w:rPr>
                <w:sz w:val="21"/>
              </w:rPr>
              <w:t>固件基础功能</w:t>
            </w:r>
          </w:p>
        </w:tc>
        <w:tc>
          <w:tcPr>
            <w:tcW w:type="dxa" w:w="4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1) </w:t>
            </w:r>
            <w:r>
              <w:rPr>
                <w:sz w:val="21"/>
              </w:rPr>
              <w:t>支持</w:t>
            </w:r>
            <w:r>
              <w:rPr>
                <w:sz w:val="21"/>
              </w:rPr>
              <w:t xml:space="preserve"> DHCP </w:t>
            </w:r>
            <w:r>
              <w:rPr>
                <w:sz w:val="21"/>
              </w:rPr>
              <w:t>设置网络功能；</w:t>
            </w:r>
            <w:r>
              <w:br/>
            </w:r>
            <w:r>
              <w:rPr>
                <w:sz w:val="21"/>
              </w:rPr>
              <w:t xml:space="preserve"> 2)</w:t>
            </w:r>
            <w:r>
              <w:rPr>
                <w:sz w:val="21"/>
              </w:rPr>
              <w:t>支持静态</w:t>
            </w:r>
            <w:r>
              <w:rPr>
                <w:sz w:val="21"/>
              </w:rPr>
              <w:t xml:space="preserve"> IP </w:t>
            </w:r>
            <w:r>
              <w:rPr>
                <w:sz w:val="21"/>
              </w:rPr>
              <w:t>设置网络功能；</w:t>
            </w:r>
            <w:r>
              <w:br/>
            </w:r>
            <w:r>
              <w:rPr>
                <w:sz w:val="21"/>
              </w:rPr>
              <w:t xml:space="preserve"> 3)</w:t>
            </w:r>
            <w:r>
              <w:rPr>
                <w:sz w:val="21"/>
              </w:rPr>
              <w:t>支持设备日志记录，包括但不限于登录日志、操作日志和报警日志等功能；</w:t>
            </w:r>
            <w:r>
              <w:br/>
            </w:r>
            <w:r>
              <w:rPr>
                <w:sz w:val="21"/>
              </w:rPr>
              <w:t xml:space="preserve"> 4)</w:t>
            </w:r>
            <w:r>
              <w:rPr>
                <w:sz w:val="21"/>
              </w:rPr>
              <w:t>支持日志信息导出和记录删除功能；</w:t>
            </w:r>
            <w:r>
              <w:br/>
            </w:r>
            <w:r>
              <w:rPr>
                <w:sz w:val="21"/>
              </w:rPr>
              <w:t xml:space="preserve"> 5)</w:t>
            </w:r>
            <w:r>
              <w:rPr>
                <w:sz w:val="21"/>
              </w:rPr>
              <w:t>支持通过管理接口向外输出准确的报警信息功能；</w:t>
            </w:r>
            <w:r>
              <w:br/>
            </w:r>
            <w:r>
              <w:rPr>
                <w:sz w:val="21"/>
              </w:rPr>
              <w:t xml:space="preserve"> 6)</w:t>
            </w:r>
            <w:r>
              <w:rPr>
                <w:sz w:val="21"/>
              </w:rPr>
              <w:t>设备的</w:t>
            </w:r>
            <w:r>
              <w:rPr>
                <w:sz w:val="21"/>
              </w:rPr>
              <w:t xml:space="preserve"> BMC </w:t>
            </w:r>
            <w:r>
              <w:rPr>
                <w:sz w:val="21"/>
              </w:rPr>
              <w:t>管理软件应能够按报警的严重程度进行区分；</w:t>
            </w:r>
            <w:r>
              <w:br/>
            </w:r>
            <w:r>
              <w:rPr>
                <w:sz w:val="21"/>
              </w:rPr>
              <w:t xml:space="preserve"> 7)</w:t>
            </w:r>
            <w:r>
              <w:rPr>
                <w:sz w:val="21"/>
              </w:rPr>
              <w:t>支持</w:t>
            </w:r>
            <w:r>
              <w:rPr>
                <w:sz w:val="21"/>
              </w:rPr>
              <w:t xml:space="preserve"> IPMI2.0</w:t>
            </w:r>
            <w:r>
              <w:rPr>
                <w:sz w:val="21"/>
              </w:rPr>
              <w:t>、</w:t>
            </w:r>
            <w:r>
              <w:rPr>
                <w:sz w:val="21"/>
              </w:rPr>
              <w:t xml:space="preserve">SNMP </w:t>
            </w:r>
            <w:r>
              <w:rPr>
                <w:sz w:val="21"/>
              </w:rPr>
              <w:t>或</w:t>
            </w:r>
            <w:r>
              <w:rPr>
                <w:sz w:val="21"/>
              </w:rPr>
              <w:t xml:space="preserve"> Redfish</w:t>
            </w:r>
            <w:r>
              <w:rPr>
                <w:sz w:val="21"/>
              </w:rPr>
              <w:t>等接口功能；</w:t>
            </w:r>
            <w:r>
              <w:br/>
            </w:r>
            <w:r>
              <w:rPr>
                <w:sz w:val="21"/>
              </w:rPr>
              <w:t xml:space="preserve"> 8)</w:t>
            </w:r>
            <w:r>
              <w:rPr>
                <w:sz w:val="21"/>
              </w:rPr>
              <w:t>支持键盘、鼠标和视频的重定向、文本控制台的重定向、远程虚拟媒</w:t>
            </w:r>
            <w:r>
              <w:br/>
            </w:r>
            <w:r>
              <w:rPr>
                <w:sz w:val="21"/>
              </w:rPr>
              <w:t>体、高可靠的硬件监控和管理功能；</w:t>
            </w:r>
            <w:r>
              <w:br/>
            </w:r>
            <w:r>
              <w:rPr>
                <w:sz w:val="21"/>
              </w:rPr>
              <w:t xml:space="preserve"> 9)</w:t>
            </w:r>
            <w:r>
              <w:rPr>
                <w:sz w:val="21"/>
              </w:rPr>
              <w:t>支持基于网络开启、关闭和重启设备的功能，并查询当前设备开机</w:t>
            </w:r>
            <w:r>
              <w:br/>
            </w:r>
            <w:r>
              <w:rPr>
                <w:sz w:val="21"/>
              </w:rPr>
              <w:t>运行状态；</w:t>
            </w:r>
            <w:r>
              <w:br/>
            </w:r>
            <w:r>
              <w:rPr>
                <w:sz w:val="21"/>
              </w:rPr>
              <w:t xml:space="preserve"> 10)</w:t>
            </w:r>
            <w:r>
              <w:rPr>
                <w:sz w:val="21"/>
              </w:rPr>
              <w:t>支持故障提示功能，并可通过接口读取服务器故障信息；</w:t>
            </w:r>
            <w:r>
              <w:br/>
            </w:r>
            <w:r>
              <w:rPr>
                <w:sz w:val="21"/>
              </w:rPr>
              <w:t xml:space="preserve"> 11)</w:t>
            </w:r>
            <w:r>
              <w:rPr>
                <w:sz w:val="21"/>
              </w:rPr>
              <w:t>支持基于网络的固件更新功能，包括</w:t>
            </w:r>
            <w:r>
              <w:rPr>
                <w:sz w:val="21"/>
              </w:rPr>
              <w:t xml:space="preserve"> BMC </w:t>
            </w:r>
            <w:r>
              <w:rPr>
                <w:sz w:val="21"/>
              </w:rPr>
              <w:t>和</w:t>
            </w:r>
            <w:r>
              <w:rPr>
                <w:sz w:val="21"/>
              </w:rPr>
              <w:t xml:space="preserve"> BIOS </w:t>
            </w:r>
            <w:r>
              <w:rPr>
                <w:sz w:val="21"/>
              </w:rPr>
              <w:t>等；</w:t>
            </w:r>
            <w:r>
              <w:br/>
            </w:r>
            <w:r>
              <w:rPr>
                <w:sz w:val="21"/>
              </w:rPr>
              <w:t xml:space="preserve"> 12)</w:t>
            </w:r>
            <w:r>
              <w:rPr>
                <w:sz w:val="21"/>
              </w:rPr>
              <w:t>支持基于网络安装操作系统的功能，并可通过网络控制台访问设备；</w:t>
            </w:r>
            <w:r>
              <w:br/>
            </w:r>
            <w:r>
              <w:rPr>
                <w:sz w:val="21"/>
              </w:rPr>
              <w:t xml:space="preserve"> 13)</w:t>
            </w:r>
            <w:r>
              <w:rPr>
                <w:sz w:val="21"/>
              </w:rPr>
              <w:t>支持通过本地的硬盘或光驱等存储设备，基于网络完成设备的操作系统安装功能；</w:t>
            </w:r>
            <w:r>
              <w:br/>
            </w:r>
            <w:r>
              <w:rPr>
                <w:sz w:val="21"/>
              </w:rPr>
              <w:t xml:space="preserve"> 14)</w:t>
            </w:r>
            <w:r>
              <w:rPr>
                <w:sz w:val="21"/>
              </w:rPr>
              <w:t>支持通过浏览器打开管理界面并登录功能；</w:t>
            </w:r>
            <w:r>
              <w:br/>
            </w:r>
            <w:r>
              <w:rPr>
                <w:sz w:val="21"/>
              </w:rPr>
              <w:t xml:space="preserve"> 15)</w:t>
            </w:r>
            <w:r>
              <w:rPr>
                <w:sz w:val="21"/>
              </w:rPr>
              <w:t>支持设置口令策略功能；</w:t>
            </w:r>
            <w:r>
              <w:br/>
            </w:r>
            <w:r>
              <w:rPr>
                <w:sz w:val="21"/>
              </w:rPr>
              <w:t xml:space="preserve"> 16)</w:t>
            </w:r>
            <w:r>
              <w:rPr>
                <w:sz w:val="21"/>
              </w:rPr>
              <w:t>支持访问权限设置功能，并通过日志记录访问事件；</w:t>
            </w:r>
            <w:r>
              <w:br/>
            </w:r>
            <w:r>
              <w:rPr>
                <w:sz w:val="21"/>
              </w:rPr>
              <w:t xml:space="preserve"> 17)</w:t>
            </w:r>
            <w:r>
              <w:rPr>
                <w:sz w:val="21"/>
              </w:rPr>
              <w:t>支持对出厂默认的用户名及口令进行安全保护功能，并提供默认口令修改提示；</w:t>
            </w:r>
            <w:r>
              <w:br/>
            </w:r>
            <w:r>
              <w:rPr>
                <w:sz w:val="21"/>
              </w:rPr>
              <w:t xml:space="preserve"> 18)</w:t>
            </w:r>
            <w:r>
              <w:rPr>
                <w:sz w:val="21"/>
              </w:rPr>
              <w:t>支持读取设备主板的工作环境温度功能；</w:t>
            </w:r>
            <w:r>
              <w:br/>
            </w:r>
            <w:r>
              <w:rPr>
                <w:sz w:val="21"/>
              </w:rPr>
              <w:t xml:space="preserve"> 19)</w:t>
            </w:r>
            <w:r>
              <w:rPr>
                <w:sz w:val="21"/>
              </w:rPr>
              <w:t>支持读取服务器</w:t>
            </w:r>
            <w:r>
              <w:rPr>
                <w:sz w:val="21"/>
              </w:rPr>
              <w:t>CPU</w:t>
            </w:r>
            <w:r>
              <w:rPr>
                <w:sz w:val="21"/>
              </w:rPr>
              <w:t>等核心器件的温度功能；</w:t>
            </w:r>
            <w:r>
              <w:br/>
            </w:r>
            <w:r>
              <w:rPr>
                <w:sz w:val="21"/>
              </w:rPr>
              <w:t xml:space="preserve"> 20)</w:t>
            </w:r>
            <w:r>
              <w:rPr>
                <w:sz w:val="21"/>
              </w:rPr>
              <w:t>支持通过外部管理工具进行</w:t>
            </w:r>
            <w:r>
              <w:rPr>
                <w:sz w:val="21"/>
              </w:rPr>
              <w:t xml:space="preserve"> BMC</w:t>
            </w:r>
            <w:r>
              <w:rPr>
                <w:sz w:val="21"/>
              </w:rPr>
              <w:t>参数设置的功能，并可基于网络通过外部管理工具对</w:t>
            </w:r>
            <w:r>
              <w:rPr>
                <w:sz w:val="21"/>
              </w:rPr>
              <w:t xml:space="preserve"> BMC </w:t>
            </w:r>
            <w:r>
              <w:rPr>
                <w:sz w:val="21"/>
              </w:rPr>
              <w:t>进行管理；</w:t>
            </w:r>
            <w:r>
              <w:br/>
            </w:r>
            <w:r>
              <w:rPr>
                <w:sz w:val="21"/>
              </w:rPr>
              <w:t xml:space="preserve"> 21)</w:t>
            </w:r>
            <w:r>
              <w:rPr>
                <w:sz w:val="21"/>
              </w:rPr>
              <w:t>应支持固件版本查询、固件升级</w:t>
            </w:r>
            <w:r>
              <w:br/>
            </w:r>
            <w:r>
              <w:rPr>
                <w:sz w:val="21"/>
              </w:rPr>
              <w:t xml:space="preserve"> 22)</w:t>
            </w:r>
            <w:r>
              <w:rPr>
                <w:sz w:val="21"/>
              </w:rPr>
              <w:t>支持基于网络实现开关机和复位控制的功能；</w:t>
            </w:r>
            <w:r>
              <w:br/>
            </w:r>
            <w:r>
              <w:rPr>
                <w:sz w:val="21"/>
              </w:rPr>
              <w:t xml:space="preserve"> 23)BMC </w:t>
            </w:r>
            <w:r>
              <w:rPr>
                <w:sz w:val="21"/>
              </w:rPr>
              <w:t>启动时间应不超过</w:t>
            </w:r>
            <w:r>
              <w:rPr>
                <w:sz w:val="21"/>
              </w:rPr>
              <w:t xml:space="preserve"> 180s</w:t>
            </w:r>
            <w:r>
              <w:rPr>
                <w:sz w:val="21"/>
              </w:rPr>
              <w:t>，实现功能包括网络</w:t>
            </w:r>
            <w:r>
              <w:rPr>
                <w:sz w:val="21"/>
              </w:rPr>
              <w:t>IPMI</w:t>
            </w:r>
            <w:r>
              <w:rPr>
                <w:sz w:val="21"/>
              </w:rPr>
              <w:t>、散热、传感器服务可用；</w:t>
            </w:r>
            <w:r>
              <w:br/>
            </w:r>
            <w:r>
              <w:rPr>
                <w:sz w:val="21"/>
              </w:rPr>
              <w:t xml:space="preserve"> 24)</w:t>
            </w:r>
            <w:r>
              <w:rPr>
                <w:sz w:val="21"/>
              </w:rPr>
              <w:t>支持</w:t>
            </w:r>
            <w:r>
              <w:rPr>
                <w:sz w:val="21"/>
              </w:rPr>
              <w:t>BMC</w:t>
            </w:r>
            <w:r>
              <w:rPr>
                <w:sz w:val="21"/>
              </w:rPr>
              <w:t>固件设置的恢复出厂功能</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 xml:space="preserve">BIOS </w:t>
            </w:r>
            <w:r>
              <w:rPr>
                <w:sz w:val="21"/>
              </w:rPr>
              <w:t>固件基础功能</w:t>
            </w:r>
          </w:p>
        </w:tc>
        <w:tc>
          <w:tcPr>
            <w:tcW w:type="dxa" w:w="4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a</w:t>
            </w:r>
            <w:r>
              <w:rPr>
                <w:sz w:val="21"/>
              </w:rPr>
              <w:t>）支持查看固件版本、内存信息、主板信息、处理器信息和系统时间信息功能；</w:t>
            </w:r>
            <w:r>
              <w:br/>
            </w:r>
            <w:r>
              <w:rPr>
                <w:sz w:val="21"/>
              </w:rPr>
              <w:t xml:space="preserve"> b</w:t>
            </w:r>
            <w:r>
              <w:rPr>
                <w:sz w:val="21"/>
              </w:rPr>
              <w:t>）支持上电初始化界面显示</w:t>
            </w:r>
            <w:r>
              <w:rPr>
                <w:sz w:val="21"/>
              </w:rPr>
              <w:t xml:space="preserve"> CPU </w:t>
            </w:r>
            <w:r>
              <w:rPr>
                <w:sz w:val="21"/>
              </w:rPr>
              <w:t>信息、内存信息、固件版本和部分快捷键信息功能；</w:t>
            </w:r>
            <w:r>
              <w:br/>
            </w:r>
            <w:r>
              <w:rPr>
                <w:sz w:val="21"/>
              </w:rPr>
              <w:t xml:space="preserve"> c</w:t>
            </w:r>
            <w:r>
              <w:rPr>
                <w:sz w:val="21"/>
              </w:rPr>
              <w:t>）支持设置界面中英文显示切换功能；</w:t>
            </w:r>
            <w:r>
              <w:br/>
            </w:r>
            <w:r>
              <w:rPr>
                <w:sz w:val="21"/>
              </w:rPr>
              <w:t xml:space="preserve"> d</w:t>
            </w:r>
            <w:r>
              <w:rPr>
                <w:sz w:val="21"/>
              </w:rPr>
              <w:t>）支持查看</w:t>
            </w:r>
            <w:r>
              <w:rPr>
                <w:sz w:val="21"/>
              </w:rPr>
              <w:t xml:space="preserve"> PCIe </w:t>
            </w:r>
            <w:r>
              <w:rPr>
                <w:sz w:val="21"/>
              </w:rPr>
              <w:t>设备信息，</w:t>
            </w:r>
            <w:r>
              <w:rPr>
                <w:sz w:val="21"/>
              </w:rPr>
              <w:t>SATA</w:t>
            </w:r>
            <w:r>
              <w:rPr>
                <w:sz w:val="21"/>
              </w:rPr>
              <w:t>设备信息功能；</w:t>
            </w:r>
            <w:r>
              <w:br/>
            </w:r>
            <w:r>
              <w:rPr>
                <w:sz w:val="21"/>
              </w:rPr>
              <w:t xml:space="preserve"> e</w:t>
            </w:r>
            <w:r>
              <w:rPr>
                <w:sz w:val="21"/>
              </w:rPr>
              <w:t>）支持操作系统安装和引导功能，应并向操作系统提供计算机主板信息和服务接口；</w:t>
            </w:r>
            <w:r>
              <w:br/>
            </w:r>
            <w:r>
              <w:rPr>
                <w:sz w:val="21"/>
              </w:rPr>
              <w:t xml:space="preserve"> f</w:t>
            </w:r>
            <w:r>
              <w:rPr>
                <w:sz w:val="21"/>
              </w:rPr>
              <w:t>）支持设置启动顺序，并按照设置的启动顺序启动能；</w:t>
            </w:r>
            <w:r>
              <w:br/>
            </w:r>
            <w:r>
              <w:rPr>
                <w:sz w:val="21"/>
              </w:rPr>
              <w:t xml:space="preserve"> g</w:t>
            </w:r>
            <w:r>
              <w:rPr>
                <w:sz w:val="21"/>
              </w:rPr>
              <w:t>）支持安全启动功能；</w:t>
            </w:r>
            <w:r>
              <w:br/>
            </w:r>
            <w:r>
              <w:rPr>
                <w:sz w:val="21"/>
              </w:rPr>
              <w:t xml:space="preserve"> h</w:t>
            </w:r>
            <w:r>
              <w:rPr>
                <w:sz w:val="21"/>
              </w:rPr>
              <w:t>）支持设置口令、修改口令、验证口令功能；</w:t>
            </w:r>
            <w:r>
              <w:br/>
            </w:r>
            <w:r>
              <w:rPr>
                <w:sz w:val="21"/>
              </w:rPr>
              <w:t xml:space="preserve"> i</w:t>
            </w:r>
            <w:r>
              <w:rPr>
                <w:sz w:val="21"/>
              </w:rPr>
              <w:t>）支持板载显示控制或独立显卡的显示控制功能；</w:t>
            </w:r>
            <w:r>
              <w:br/>
            </w:r>
            <w:r>
              <w:rPr>
                <w:sz w:val="21"/>
              </w:rPr>
              <w:t xml:space="preserve"> j</w:t>
            </w:r>
            <w:r>
              <w:rPr>
                <w:sz w:val="21"/>
              </w:rPr>
              <w:t>）支持</w:t>
            </w:r>
            <w:r>
              <w:rPr>
                <w:sz w:val="21"/>
              </w:rPr>
              <w:t xml:space="preserve"> RAID </w:t>
            </w:r>
            <w:r>
              <w:rPr>
                <w:sz w:val="21"/>
              </w:rPr>
              <w:t>识别和启动功能；</w:t>
            </w:r>
            <w:r>
              <w:br/>
            </w:r>
            <w:r>
              <w:rPr>
                <w:sz w:val="21"/>
              </w:rPr>
              <w:t xml:space="preserve"> k</w:t>
            </w:r>
            <w:r>
              <w:rPr>
                <w:sz w:val="21"/>
              </w:rPr>
              <w:t>）支持串口重定向功能；</w:t>
            </w:r>
            <w:r>
              <w:br/>
            </w:r>
            <w:r>
              <w:rPr>
                <w:sz w:val="21"/>
              </w:rPr>
              <w:t xml:space="preserve"> l</w:t>
            </w:r>
            <w:r>
              <w:rPr>
                <w:sz w:val="21"/>
              </w:rPr>
              <w:t>）支持固件更新功能；</w:t>
            </w:r>
            <w:r>
              <w:br/>
            </w:r>
            <w:r>
              <w:rPr>
                <w:sz w:val="21"/>
              </w:rPr>
              <w:t xml:space="preserve"> m</w:t>
            </w:r>
            <w:r>
              <w:rPr>
                <w:sz w:val="21"/>
              </w:rPr>
              <w:t>）支持</w:t>
            </w:r>
            <w:r>
              <w:rPr>
                <w:sz w:val="21"/>
              </w:rPr>
              <w:t xml:space="preserve"> BIOS </w:t>
            </w:r>
            <w:r>
              <w:rPr>
                <w:sz w:val="21"/>
              </w:rPr>
              <w:t>固件设置的恢复出厂功能；</w:t>
            </w:r>
            <w:r>
              <w:br/>
            </w:r>
            <w:r>
              <w:rPr>
                <w:sz w:val="21"/>
              </w:rPr>
              <w:t xml:space="preserve"> n</w:t>
            </w:r>
            <w:r>
              <w:rPr>
                <w:sz w:val="21"/>
              </w:rPr>
              <w:t>）支持网络引导启用和关闭功能</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★远程控制</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支持远程关机和重新启动功能</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操作系统及驱动功能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★操作系统及驱动的升级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支持通过网络、闪存盘对操作系统、驱动进行升级。</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★操作系统功能</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支持访问控制、安全审计、网络接入鉴别等功能。操作系统其他功能应满足操作系统政府采购需求标准中加</w:t>
            </w:r>
            <w:r>
              <w:rPr>
                <w:sz w:val="21"/>
              </w:rPr>
              <w:t>*</w:t>
            </w:r>
            <w:r>
              <w:rPr>
                <w:sz w:val="21"/>
              </w:rPr>
              <w:t>的指标要求。</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中文信息处理功能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★中文信息处理</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涉及中文信息处理内容应符合</w:t>
            </w:r>
            <w:r>
              <w:rPr>
                <w:sz w:val="21"/>
              </w:rPr>
              <w:t>GB18030</w:t>
            </w:r>
            <w:r>
              <w:rPr>
                <w:sz w:val="21"/>
              </w:rPr>
              <w:t>要求。</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安全要求</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固件安全要求</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★故障检测</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支持故障检测功能，可以检测到具体的</w:t>
            </w:r>
            <w:r>
              <w:rPr>
                <w:sz w:val="21"/>
              </w:rPr>
              <w:t>FRU</w:t>
            </w:r>
            <w:r>
              <w:rPr>
                <w:sz w:val="21"/>
              </w:rPr>
              <w:t>（内存、硬盘等）的故障并发出告警声音。</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内存故障智能预测和自愈修复</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支持内存故障智能预测和自愈修复，提前自动硬隔离，避免内存故障引起的非预期宕机以及内存寿命的降低</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硬盘故障智能预测</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支持硬盘故障智能预测，基于故障模型预测出硬盘的故障</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内存故障隔离</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支持内存故障隔离，在内存产生</w:t>
            </w:r>
            <w:r>
              <w:rPr>
                <w:sz w:val="21"/>
              </w:rPr>
              <w:t xml:space="preserve"> CE</w:t>
            </w:r>
            <w:r>
              <w:rPr>
                <w:sz w:val="21"/>
              </w:rPr>
              <w:t>故障时，内存地址被隔离成功，服务器正常运行，业务系统不中断</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BMC/BIOS</w:t>
            </w:r>
            <w:r>
              <w:rPr>
                <w:sz w:val="21"/>
              </w:rPr>
              <w:t>固件双镜像保护</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w:t>
            </w:r>
            <w:r>
              <w:rPr>
                <w:sz w:val="21"/>
              </w:rPr>
              <w:t xml:space="preserve"> BMC/BIOS </w:t>
            </w:r>
            <w:r>
              <w:rPr>
                <w:sz w:val="21"/>
              </w:rPr>
              <w:t>固件双镜像保护，运行异常时自动切换到备份镜像运行，提升系统稳定性</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安全启动</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支持执行环境要求在整个系统启动的过程中，系统应提供一个机制来保护平台的完整性</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系统安全要求</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★弱口令字典检查</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支持执行环境要求在整个系统启动的过程中，系统应提供一个机制来保护平台的完整性</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★白名单访问控制</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支持基于时间、</w:t>
            </w:r>
            <w:r>
              <w:rPr>
                <w:sz w:val="21"/>
              </w:rPr>
              <w:t xml:space="preserve">IP </w:t>
            </w:r>
            <w:r>
              <w:rPr>
                <w:sz w:val="21"/>
              </w:rPr>
              <w:t>或</w:t>
            </w:r>
            <w:r>
              <w:rPr>
                <w:sz w:val="21"/>
              </w:rPr>
              <w:t xml:space="preserve"> MAC </w:t>
            </w:r>
            <w:r>
              <w:rPr>
                <w:sz w:val="21"/>
              </w:rPr>
              <w:t>白名单访问控制</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★二次鉴别</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支持二次鉴别功能。对于用户配置、权限配置、公钥导入等重要的管理操作，已登录用户应通过二次鉴别后，才能执行操作</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★密码证书安全加密存储</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支持对带外管理系统中的用户口令和证书等敏感信息进行加密存储，禁止使用私有的和业界已知不安全的密码算法</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★敏感信息安全加密传输</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支持使用安全的传输加密协议（如</w:t>
            </w:r>
            <w:r>
              <w:rPr>
                <w:sz w:val="21"/>
              </w:rPr>
              <w:t xml:space="preserve">SSH </w:t>
            </w:r>
            <w:r>
              <w:rPr>
                <w:sz w:val="21"/>
              </w:rPr>
              <w:t>或</w:t>
            </w:r>
            <w:r>
              <w:rPr>
                <w:sz w:val="21"/>
              </w:rPr>
              <w:t xml:space="preserve"> HTTPS </w:t>
            </w:r>
            <w:r>
              <w:rPr>
                <w:sz w:val="21"/>
              </w:rPr>
              <w:t>等）传输用户的敏感信息</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信息安全要求</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★研发过程安全</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供应商应承诺，生产商已建立从需求、设计、开发、测试、维护端到端的开发流程管理机制，输出和保存开发流程中每个阶段的产品需求清单、设计文档、开发文档、测试记录等材料，保证各个流程可追溯。</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物理安全</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★物理安全</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安全要求应符合</w:t>
            </w:r>
            <w:r>
              <w:rPr>
                <w:sz w:val="21"/>
              </w:rPr>
              <w:t xml:space="preserve"> GB 4943.1 </w:t>
            </w:r>
            <w:r>
              <w:rPr>
                <w:sz w:val="21"/>
              </w:rPr>
              <w:t>的规定。</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限用物质的限量要求</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★限用物质的限量要求</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限用物质的限量应符合</w:t>
            </w:r>
            <w:r>
              <w:rPr>
                <w:sz w:val="21"/>
              </w:rPr>
              <w:t xml:space="preserve"> GB/T 26572</w:t>
            </w:r>
            <w:r>
              <w:rPr>
                <w:sz w:val="21"/>
              </w:rPr>
              <w:t>的要求。</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性能要求</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CPU</w:t>
            </w:r>
            <w:r>
              <w:rPr>
                <w:sz w:val="21"/>
              </w:rPr>
              <w:t>性能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 xml:space="preserve">CPU </w:t>
            </w:r>
            <w:r>
              <w:rPr>
                <w:sz w:val="21"/>
              </w:rPr>
              <w:t>主频</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2.2GHz</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w:t>
            </w:r>
            <w:r>
              <w:rPr>
                <w:sz w:val="21"/>
              </w:rPr>
              <w:t xml:space="preserve">CPU </w:t>
            </w:r>
            <w:r>
              <w:rPr>
                <w:sz w:val="21"/>
              </w:rPr>
              <w:t>核数</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32</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w:t>
            </w:r>
            <w:r>
              <w:rPr>
                <w:sz w:val="21"/>
              </w:rPr>
              <w:t xml:space="preserve">CPU </w:t>
            </w:r>
            <w:r>
              <w:rPr>
                <w:sz w:val="21"/>
              </w:rPr>
              <w:t>末级缓存容量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48MB</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内存性能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单内存模块容量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32GB</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★内存速率</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3200MHz</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RAID</w:t>
            </w:r>
            <w:r>
              <w:rPr>
                <w:sz w:val="21"/>
              </w:rPr>
              <w:t>卡性能</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RAID </w:t>
            </w:r>
            <w:r>
              <w:rPr>
                <w:sz w:val="21"/>
              </w:rPr>
              <w:t>卡缓存容量大小</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2G</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电源能耗</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★电源能耗</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w:t>
            </w:r>
            <w:r>
              <w:rPr>
                <w:sz w:val="21"/>
              </w:rPr>
              <w:t xml:space="preserve"> GB/T 9813.3 </w:t>
            </w:r>
            <w:r>
              <w:rPr>
                <w:sz w:val="21"/>
              </w:rPr>
              <w:t>的有关规定</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兼容要求</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部件兼容性要求</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★内存兼容性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w:t>
            </w:r>
            <w:r>
              <w:rPr>
                <w:sz w:val="21"/>
              </w:rPr>
              <w:t xml:space="preserve"> 3 </w:t>
            </w:r>
            <w:r>
              <w:rPr>
                <w:sz w:val="21"/>
              </w:rPr>
              <w:t>种及以上厂商的内存产品，且均不低于产品支持的内存规格。</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★固态存储兼容性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w:t>
            </w:r>
            <w:r>
              <w:rPr>
                <w:sz w:val="21"/>
              </w:rPr>
              <w:t xml:space="preserve"> 3 </w:t>
            </w:r>
            <w:r>
              <w:rPr>
                <w:sz w:val="21"/>
              </w:rPr>
              <w:t>种或以上厂商的固态存储产品，且均不低于产品支持的固态存储设备规格。</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★网卡兼容性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网卡应适配两种或以上厂商产品。</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★功能卡兼容性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内置或适配符合</w:t>
            </w:r>
            <w:r>
              <w:rPr>
                <w:sz w:val="21"/>
              </w:rPr>
              <w:t xml:space="preserve"> PCIe </w:t>
            </w:r>
            <w:r>
              <w:rPr>
                <w:sz w:val="21"/>
              </w:rPr>
              <w:t>的功能卡，如：网络功能卡、存储功能卡及图形显示功能卡。</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外设兼容性</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★外设兼容性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兼容多种主流生产商的外部设备，包括显示器、键盘、鼠标、闪存盘、移动硬盘、</w:t>
            </w:r>
            <w:r>
              <w:rPr>
                <w:sz w:val="21"/>
              </w:rPr>
              <w:t xml:space="preserve">USB </w:t>
            </w:r>
            <w:r>
              <w:rPr>
                <w:sz w:val="21"/>
              </w:rPr>
              <w:t>光驱及</w:t>
            </w:r>
            <w:r>
              <w:rPr>
                <w:sz w:val="21"/>
              </w:rPr>
              <w:t xml:space="preserve"> KVM </w:t>
            </w:r>
            <w:r>
              <w:rPr>
                <w:sz w:val="21"/>
              </w:rPr>
              <w:t>等，要求使用不同厂商的外部设备时，系统均能正常识别和安装驱动。</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软件兼容性</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★数据库兼容</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兼容</w:t>
            </w:r>
            <w:r>
              <w:rPr>
                <w:sz w:val="21"/>
              </w:rPr>
              <w:t xml:space="preserve"> 3 </w:t>
            </w:r>
            <w:r>
              <w:rPr>
                <w:sz w:val="21"/>
              </w:rPr>
              <w:t>个及以上厂商的数据库产品。</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★中间件兼容</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兼容</w:t>
            </w:r>
            <w:r>
              <w:rPr>
                <w:sz w:val="21"/>
              </w:rPr>
              <w:t xml:space="preserve"> 3 </w:t>
            </w:r>
            <w:r>
              <w:rPr>
                <w:sz w:val="21"/>
              </w:rPr>
              <w:t>个及以上厂商的中间件产品。</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★平台软件兼容</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兼容</w:t>
            </w:r>
            <w:r>
              <w:rPr>
                <w:sz w:val="21"/>
              </w:rPr>
              <w:t xml:space="preserve"> 3 </w:t>
            </w:r>
            <w:r>
              <w:rPr>
                <w:sz w:val="21"/>
              </w:rPr>
              <w:t>个及以上厂商的大数据平台。</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可靠性要求</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整机可靠性要求</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★整机可靠性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m1 </w:t>
            </w:r>
            <w:r>
              <w:rPr>
                <w:sz w:val="21"/>
              </w:rPr>
              <w:t>值（</w:t>
            </w:r>
            <w:r>
              <w:rPr>
                <w:sz w:val="21"/>
              </w:rPr>
              <w:t xml:space="preserve">MTBF </w:t>
            </w:r>
            <w:r>
              <w:rPr>
                <w:sz w:val="21"/>
              </w:rPr>
              <w:t>的不可接受值）不得低于</w:t>
            </w:r>
            <w:r>
              <w:rPr>
                <w:sz w:val="21"/>
              </w:rPr>
              <w:t xml:space="preserve"> 30000h</w:t>
            </w:r>
            <w:r>
              <w:rPr>
                <w:sz w:val="21"/>
              </w:rPr>
              <w:t>。</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★风扇可靠性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风扇寿命应不低于</w:t>
            </w:r>
            <w:r>
              <w:rPr>
                <w:sz w:val="21"/>
              </w:rPr>
              <w:t xml:space="preserve"> 40000h</w:t>
            </w:r>
            <w:r>
              <w:rPr>
                <w:sz w:val="21"/>
              </w:rPr>
              <w:t>。</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★部件可靠性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支持硬盘、电源、风扇热插拔</w:t>
            </w:r>
            <w:r>
              <w:rPr>
                <w:sz w:val="21"/>
              </w:rPr>
              <w:t>(</w:t>
            </w:r>
            <w:r>
              <w:rPr>
                <w:sz w:val="21"/>
              </w:rPr>
              <w:t>内置风扇除外</w:t>
            </w:r>
            <w:r>
              <w:rPr>
                <w:sz w:val="21"/>
              </w:rPr>
              <w:t>)</w:t>
            </w:r>
            <w:r>
              <w:rPr>
                <w:sz w:val="21"/>
              </w:rPr>
              <w:t>。</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包装及运输要求</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包装及运输要求</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★标志、包装、运输和贮存</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符合</w:t>
            </w:r>
            <w:r>
              <w:rPr>
                <w:sz w:val="21"/>
              </w:rPr>
              <w:t xml:space="preserve"> GB/T 9813.3 </w:t>
            </w:r>
            <w:r>
              <w:rPr>
                <w:sz w:val="21"/>
              </w:rPr>
              <w:t>和商品包装政府采购需求标准的相关规定。</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服务要求</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服务响应</w:t>
            </w:r>
          </w:p>
        </w:tc>
        <w:tc>
          <w:tcPr>
            <w:tcW w:type="dxa" w:w="15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★服务响应</w:t>
            </w:r>
          </w:p>
        </w:tc>
        <w:tc>
          <w:tcPr>
            <w:tcW w:type="dxa" w:w="4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a) </w:t>
            </w:r>
            <w:r>
              <w:rPr>
                <w:sz w:val="21"/>
              </w:rPr>
              <w:t>提供电话、电子邮件、远程连接等多种形式服务；</w:t>
            </w:r>
            <w:r>
              <w:br/>
            </w:r>
            <w:r>
              <w:rPr>
                <w:sz w:val="21"/>
              </w:rPr>
              <w:t xml:space="preserve"> b) </w:t>
            </w:r>
            <w:r>
              <w:rPr>
                <w:sz w:val="21"/>
              </w:rPr>
              <w:t>提供同城</w:t>
            </w:r>
            <w:r>
              <w:rPr>
                <w:sz w:val="21"/>
              </w:rPr>
              <w:t xml:space="preserve"> 4h</w:t>
            </w:r>
            <w:r>
              <w:rPr>
                <w:sz w:val="21"/>
              </w:rPr>
              <w:t>、异地</w:t>
            </w:r>
            <w:r>
              <w:rPr>
                <w:sz w:val="21"/>
              </w:rPr>
              <w:t xml:space="preserve"> 12h </w:t>
            </w:r>
            <w:r>
              <w:rPr>
                <w:sz w:val="21"/>
              </w:rPr>
              <w:t>技术响应服务，</w:t>
            </w:r>
            <w:r>
              <w:rPr>
                <w:sz w:val="21"/>
              </w:rPr>
              <w:t xml:space="preserve">2 </w:t>
            </w:r>
            <w:r>
              <w:rPr>
                <w:sz w:val="21"/>
              </w:rPr>
              <w:t>个工作日解决问题，对于未能解决的问题和故障应提供可行的升级方案，并提供周转设备；</w:t>
            </w:r>
            <w:r>
              <w:br/>
            </w:r>
            <w:r>
              <w:rPr>
                <w:sz w:val="21"/>
              </w:rPr>
              <w:t xml:space="preserve"> c) </w:t>
            </w:r>
            <w:r>
              <w:rPr>
                <w:sz w:val="21"/>
              </w:rPr>
              <w:t>建立全国技术服务体系和服务团体，符合专业服务体系标准要求，提供原厂中文服务；</w:t>
            </w:r>
            <w:r>
              <w:br/>
            </w:r>
            <w:r>
              <w:rPr>
                <w:sz w:val="21"/>
              </w:rPr>
              <w:t xml:space="preserve"> d) </w:t>
            </w:r>
            <w:r>
              <w:rPr>
                <w:sz w:val="21"/>
              </w:rPr>
              <w:t>服务周期内提供产品的维修、换件和升级服务</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★培训服务</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供应商提供培训材料、产品手册、培训视频等培训相关内容。</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服务周期</w:t>
            </w:r>
          </w:p>
        </w:tc>
        <w:tc>
          <w:tcPr>
            <w:tcW w:type="dxa" w:w="15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★服务周期</w:t>
            </w:r>
          </w:p>
        </w:tc>
        <w:tc>
          <w:tcPr>
            <w:tcW w:type="dxa" w:w="49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a) </w:t>
            </w:r>
            <w:r>
              <w:rPr>
                <w:sz w:val="21"/>
              </w:rPr>
              <w:t>产品免费服务周期（含换件和维修）应不小于</w:t>
            </w:r>
            <w:r>
              <w:rPr>
                <w:sz w:val="21"/>
              </w:rPr>
              <w:t xml:space="preserve"> 5</w:t>
            </w:r>
            <w:r>
              <w:rPr>
                <w:sz w:val="21"/>
              </w:rPr>
              <w:t>年；</w:t>
            </w:r>
            <w:r>
              <w:br/>
            </w:r>
            <w:r>
              <w:rPr>
                <w:sz w:val="21"/>
              </w:rPr>
              <w:t xml:space="preserve"> b) </w:t>
            </w:r>
            <w:r>
              <w:rPr>
                <w:sz w:val="21"/>
              </w:rPr>
              <w:t>设备停产后继续提供质量保障服务（含备品备件），服务终止时间与最后一批设备交付时间间隔不低于</w:t>
            </w:r>
            <w:r>
              <w:rPr>
                <w:sz w:val="21"/>
              </w:rPr>
              <w:t xml:space="preserve"> 6 </w:t>
            </w:r>
            <w:r>
              <w:rPr>
                <w:sz w:val="21"/>
              </w:rPr>
              <w:t>年；</w:t>
            </w:r>
            <w:r>
              <w:br/>
            </w:r>
            <w:r>
              <w:rPr>
                <w:sz w:val="21"/>
              </w:rPr>
              <w:t xml:space="preserve"> c) </w:t>
            </w:r>
            <w:r>
              <w:rPr>
                <w:sz w:val="21"/>
              </w:rPr>
              <w:t>产品停止服务时间应提前</w:t>
            </w:r>
            <w:r>
              <w:rPr>
                <w:sz w:val="21"/>
              </w:rPr>
              <w:t>1</w:t>
            </w:r>
            <w:r>
              <w:rPr>
                <w:sz w:val="21"/>
              </w:rPr>
              <w:t>年告知客户；</w:t>
            </w:r>
            <w:r>
              <w:br/>
            </w:r>
            <w:r>
              <w:rPr>
                <w:sz w:val="21"/>
              </w:rPr>
              <w:t xml:space="preserve"> d) </w:t>
            </w:r>
            <w:r>
              <w:rPr>
                <w:sz w:val="21"/>
              </w:rPr>
              <w:t>产品发布日期需在随机文件中明确</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vMerge/>
            <w:tcBorders>
              <w:top w:val="none" w:color="000000" w:sz="4"/>
              <w:left w:val="none" w:color="000000" w:sz="4"/>
              <w:bottom w:val="single" w:color="000000" w:sz="4"/>
              <w:right w:val="single" w:color="000000" w:sz="4"/>
            </w:tcBorders>
          </w:tcPr>
          <w:p/>
        </w:tc>
        <w:tc>
          <w:tcPr>
            <w:tcW w:type="dxa" w:w="4966"/>
            <w:vMerge/>
            <w:tcBorders>
              <w:top w:val="none" w:color="000000" w:sz="4"/>
              <w:left w:val="none" w:color="000000" w:sz="4"/>
              <w:bottom w:val="single" w:color="000000" w:sz="4"/>
              <w:right w:val="single" w:color="000000" w:sz="4"/>
            </w:tcBorders>
          </w:tcPr>
          <w:p/>
        </w:tc>
        <w:tc>
          <w:tcPr>
            <w:tcW w:type="dxa" w:w="257"/>
            <w:tcBorders>
              <w:top w:val="none" w:color="000000" w:sz="4"/>
              <w:left w:val="none" w:color="000000" w:sz="4"/>
            </w:tcBorders>
            <w:tcMar>
              <w:top w:type="dxa" w:w="0"/>
              <w:left w:type="dxa" w:w="105"/>
              <w:bottom w:type="dxa" w:w="0"/>
              <w:right w:type="dxa" w:w="105"/>
            </w:tcMar>
            <w:vAlign w:val="top"/>
          </w:tc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服务工具要求</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★工具要求</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供应商提供设置服务器硬件、辅助操作系统安装等功能的辅助工具和管理软件。且随附软件应具有合法授权或版权。</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★驱动安装升级指引</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供应商提供出厂安装的配件所需的驱动程序，形式包括但不限于驱动光盘、驱动下载链接等。其他配件应提供指引。</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★管理软件</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具备资源管理、系统管理、性能监控、健康监控、基于网络控制、报警设置功能。</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▲管理芯片</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服务器管理软件支持在中华人民共和国境内工商局登记注册的芯片。服务器支持</w:t>
            </w:r>
            <w:r>
              <w:rPr>
                <w:sz w:val="21"/>
              </w:rPr>
              <w:t>Redfish</w:t>
            </w:r>
            <w:r>
              <w:rPr>
                <w:sz w:val="21"/>
              </w:rPr>
              <w:t>、</w:t>
            </w:r>
            <w:r>
              <w:rPr>
                <w:sz w:val="21"/>
              </w:rPr>
              <w:t>SNMP</w:t>
            </w:r>
            <w:r>
              <w:rPr>
                <w:sz w:val="21"/>
              </w:rPr>
              <w:t>、</w:t>
            </w:r>
            <w:r>
              <w:rPr>
                <w:sz w:val="21"/>
              </w:rPr>
              <w:t>IPMI2.0</w:t>
            </w:r>
            <w:r>
              <w:rPr>
                <w:sz w:val="21"/>
              </w:rPr>
              <w:t>等标准接口；提供基于</w:t>
            </w:r>
            <w:r>
              <w:rPr>
                <w:sz w:val="21"/>
              </w:rPr>
              <w:t>HTML5/VNC KVM</w:t>
            </w:r>
            <w:r>
              <w:rPr>
                <w:sz w:val="21"/>
              </w:rPr>
              <w:t>的远程管理界面；支持监控、诊断、配置、</w:t>
            </w:r>
            <w:r>
              <w:rPr>
                <w:sz w:val="21"/>
              </w:rPr>
              <w:t>Agentless</w:t>
            </w:r>
            <w:r>
              <w:rPr>
                <w:sz w:val="21"/>
              </w:rPr>
              <w:t>及远程控制等带外管理功能，简化管理复杂度。</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▲安全管理</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支持基于</w:t>
            </w:r>
            <w:r>
              <w:rPr>
                <w:sz w:val="21"/>
              </w:rPr>
              <w:t>Kerberos</w:t>
            </w:r>
            <w:r>
              <w:rPr>
                <w:sz w:val="21"/>
              </w:rPr>
              <w:t>协议的用户认证管理机制，基于芯片可信根实现固件启动前的完整性校验，支持</w:t>
            </w:r>
            <w:r>
              <w:rPr>
                <w:sz w:val="21"/>
              </w:rPr>
              <w:t>TLS 1.2</w:t>
            </w:r>
            <w:r>
              <w:rPr>
                <w:sz w:val="21"/>
              </w:rPr>
              <w:t>、</w:t>
            </w:r>
            <w:r>
              <w:rPr>
                <w:sz w:val="21"/>
              </w:rPr>
              <w:t>TLS 1.3</w:t>
            </w:r>
            <w:r>
              <w:rPr>
                <w:sz w:val="21"/>
              </w:rPr>
              <w:t>版本，支持</w:t>
            </w:r>
            <w:r>
              <w:rPr>
                <w:sz w:val="21"/>
              </w:rPr>
              <w:t>SNMP</w:t>
            </w:r>
            <w:r>
              <w:rPr>
                <w:sz w:val="21"/>
              </w:rPr>
              <w:t>功能及</w:t>
            </w:r>
            <w:r>
              <w:rPr>
                <w:sz w:val="21"/>
              </w:rPr>
              <w:t>SHA256/SHA384/SHA512</w:t>
            </w:r>
            <w:r>
              <w:rPr>
                <w:sz w:val="21"/>
              </w:rPr>
              <w:t>鉴权和</w:t>
            </w:r>
            <w:r>
              <w:rPr>
                <w:sz w:val="21"/>
              </w:rPr>
              <w:t>AES256</w:t>
            </w:r>
            <w:r>
              <w:rPr>
                <w:sz w:val="21"/>
              </w:rPr>
              <w:t>加密算法。</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增值服务</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★厂家升级产品软件与扩容服务</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供应商提供原厂级的部件</w:t>
            </w:r>
            <w:r>
              <w:rPr>
                <w:sz w:val="21"/>
              </w:rPr>
              <w:t>/</w:t>
            </w:r>
            <w:r>
              <w:rPr>
                <w:sz w:val="21"/>
              </w:rPr>
              <w:t>软件产品升级和扩容能力。</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★提供上门服务</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供应商具备提供上门服务的能力</w:t>
            </w:r>
            <w:r>
              <w:rPr>
                <w:sz w:val="21"/>
              </w:rPr>
              <w:t>(</w:t>
            </w:r>
            <w:r>
              <w:rPr>
                <w:sz w:val="21"/>
              </w:rPr>
              <w:t>可收费</w:t>
            </w:r>
            <w:r>
              <w:rPr>
                <w:sz w:val="21"/>
              </w:rPr>
              <w:t>)</w:t>
            </w:r>
            <w:r>
              <w:rPr>
                <w:sz w:val="21"/>
              </w:rPr>
              <w:t>。</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供保要求</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供应链质量</w:t>
            </w: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★抗干扰性</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当产品部件出现供应风险时，应通知客户并提供风险应对方案确保产品的服务保障，必要时应停止相关受影响产品的销售。</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771"/>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★供应能力证明</w:t>
            </w:r>
          </w:p>
        </w:tc>
        <w:tc>
          <w:tcPr>
            <w:tcW w:type="dxa" w:w="4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供应商提供供应链稳定承诺书，确保产品的部件在产品服务周期内稳定供货。</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r>
        <w:tc>
          <w:tcPr>
            <w:tcW w:type="dxa" w:w="804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说明：供应商在投标、响应环节出具关于所提供服务器满足采购文件要求承诺函的，即视为相关产品符合要求。如承诺与《技术和服务要求响应表》具体响应参数不一致，以响应表为准。</w:t>
            </w:r>
          </w:p>
        </w:tc>
        <w:tc>
          <w:tcPr>
            <w:tcW w:type="dxa" w:w="257"/>
            <w:tcBorders>
              <w:top w:val="none" w:color="000000" w:sz="4"/>
              <w:left w:val="none" w:color="000000" w:sz="4"/>
            </w:tcBorders>
            <w:tcMar>
              <w:top w:type="dxa" w:w="0"/>
              <w:left w:type="dxa" w:w="105"/>
              <w:bottom w:type="dxa" w:w="0"/>
              <w:right w:type="dxa" w:w="105"/>
            </w:tcMar>
            <w:vAlign w:val="top"/>
          </w:tcPr>
          <w:p>
            <w:pPr>
              <w:pStyle w:val="null3"/>
            </w:pPr>
          </w:p>
        </w:tc>
      </w:tr>
    </w:tbl>
    <w:p>
      <w:pPr>
        <w:pStyle w:val="null3"/>
        <w:jc w:val="both"/>
      </w:pPr>
      <w:r>
        <w:rPr>
          <w:sz w:val="28"/>
          <w:b/>
        </w:rPr>
        <w:t>四</w:t>
      </w:r>
      <w:r>
        <w:rPr>
          <w:sz w:val="28"/>
          <w:b/>
        </w:rPr>
        <w:t>.</w:t>
      </w:r>
      <w:r>
        <w:rPr>
          <w:sz w:val="28"/>
          <w:b/>
        </w:rPr>
        <w:t>实施要求</w:t>
      </w:r>
    </w:p>
    <w:p>
      <w:pPr>
        <w:pStyle w:val="null3"/>
        <w:ind w:firstLine="420"/>
        <w:jc w:val="both"/>
      </w:pPr>
      <w:r>
        <w:rPr>
          <w:sz w:val="21"/>
        </w:rPr>
        <w:t>4.1.1</w:t>
      </w:r>
      <w:r>
        <w:rPr>
          <w:sz w:val="21"/>
        </w:rPr>
        <w:t>产品管理能力</w:t>
      </w:r>
    </w:p>
    <w:p>
      <w:pPr>
        <w:pStyle w:val="null3"/>
        <w:ind w:firstLine="420"/>
        <w:jc w:val="both"/>
      </w:pPr>
      <w:r>
        <w:rPr>
          <w:sz w:val="21"/>
        </w:rPr>
        <w:t>1</w:t>
      </w:r>
      <w:r>
        <w:rPr>
          <w:sz w:val="21"/>
        </w:rPr>
        <w:t>、批量运维：提供一个支持在现场运维工具，支持以下所有批量功能：</w:t>
      </w:r>
      <w:r>
        <w:rPr>
          <w:sz w:val="21"/>
        </w:rPr>
        <w:t>iBMC/BIOS/Raid</w:t>
      </w:r>
      <w:r>
        <w:rPr>
          <w:sz w:val="21"/>
        </w:rPr>
        <w:t>的批量配置、</w:t>
      </w:r>
      <w:r>
        <w:rPr>
          <w:sz w:val="21"/>
        </w:rPr>
        <w:t>OS</w:t>
      </w:r>
      <w:r>
        <w:rPr>
          <w:sz w:val="21"/>
        </w:rPr>
        <w:t>部署、固件升级、设备健康检查、日志收集、设备配置检查。提供官网软件下载链接及对应官网证明材料截图。在相应指标作出标记并注明针对的参数（例如用红色方框标记）。未做标记出现漏评风险由投标人承担，评标委员会可视为不满足。</w:t>
      </w:r>
    </w:p>
    <w:p>
      <w:pPr>
        <w:pStyle w:val="null3"/>
        <w:ind w:firstLine="420"/>
        <w:jc w:val="both"/>
      </w:pPr>
      <w:r>
        <w:rPr>
          <w:sz w:val="21"/>
        </w:rPr>
        <w:t>2</w:t>
      </w:r>
      <w:r>
        <w:rPr>
          <w:sz w:val="21"/>
        </w:rPr>
        <w:t>、能耗管理：支持服务器风扇智能调速，有节能模式、低噪声模式、高性能模式、自定义模式等多种模式可供选择。提供官网可供下载的技术白皮书材料证明。</w:t>
      </w:r>
    </w:p>
    <w:p>
      <w:pPr>
        <w:pStyle w:val="null3"/>
        <w:ind w:firstLine="420"/>
        <w:jc w:val="both"/>
      </w:pPr>
      <w:r>
        <w:rPr>
          <w:sz w:val="21"/>
        </w:rPr>
        <w:t>3</w:t>
      </w:r>
      <w:r>
        <w:rPr>
          <w:sz w:val="21"/>
        </w:rPr>
        <w:t>、高可靠：服务器管理软件的固件支持双镜像备份。提供官网可供下载的技术白皮书材料证明。</w:t>
      </w:r>
    </w:p>
    <w:p>
      <w:pPr>
        <w:pStyle w:val="null3"/>
        <w:ind w:firstLine="420"/>
        <w:jc w:val="both"/>
      </w:pPr>
      <w:r>
        <w:rPr>
          <w:sz w:val="21"/>
        </w:rPr>
        <w:t>4</w:t>
      </w:r>
      <w:r>
        <w:rPr>
          <w:sz w:val="21"/>
        </w:rPr>
        <w:t>、维保管理：支持提供电子保单信息查询和配置能力，便于在服务器设备上录入维保服务起始时间和服务年限信息，方便集中批量统计设备维保状态。提供官网可供下载的技术白皮书材料证明。</w:t>
      </w:r>
    </w:p>
    <w:p>
      <w:pPr>
        <w:pStyle w:val="null3"/>
        <w:jc w:val="both"/>
      </w:pPr>
      <w:r>
        <w:rPr>
          <w:sz w:val="28"/>
          <w:b/>
        </w:rPr>
        <w:t>五</w:t>
      </w:r>
      <w:r>
        <w:rPr>
          <w:sz w:val="28"/>
          <w:b/>
        </w:rPr>
        <w:t>.</w:t>
      </w:r>
      <w:r>
        <w:rPr>
          <w:sz w:val="28"/>
          <w:b/>
        </w:rPr>
        <w:t>商务要求</w:t>
      </w:r>
    </w:p>
    <w:p>
      <w:pPr>
        <w:pStyle w:val="null3"/>
        <w:jc w:val="both"/>
      </w:pPr>
      <w:r>
        <w:rPr>
          <w:sz w:val="28"/>
          <w:b/>
        </w:rPr>
        <w:t>1.</w:t>
      </w:r>
      <w:r>
        <w:rPr>
          <w:sz w:val="28"/>
          <w:b/>
        </w:rPr>
        <w:t>交货日期</w:t>
      </w:r>
    </w:p>
    <w:p>
      <w:pPr>
        <w:pStyle w:val="null3"/>
        <w:ind w:firstLine="420"/>
        <w:jc w:val="both"/>
      </w:pPr>
      <w:r>
        <w:rPr>
          <w:sz w:val="21"/>
        </w:rPr>
        <w:t>(1)</w:t>
      </w:r>
      <w:r>
        <w:rPr>
          <w:sz w:val="21"/>
        </w:rPr>
        <w:t>供货方须在院方支付合同首款后的</w:t>
      </w:r>
      <w:r>
        <w:rPr>
          <w:sz w:val="21"/>
        </w:rPr>
        <w:t>7</w:t>
      </w:r>
      <w:r>
        <w:rPr>
          <w:sz w:val="21"/>
        </w:rPr>
        <w:t>个工作日内向院方提交采购清单中的物品。</w:t>
      </w:r>
    </w:p>
    <w:p>
      <w:pPr>
        <w:pStyle w:val="null3"/>
        <w:ind w:firstLine="420"/>
        <w:jc w:val="both"/>
      </w:pPr>
      <w:r>
        <w:rPr>
          <w:sz w:val="21"/>
        </w:rPr>
        <w:t>(2)</w:t>
      </w:r>
      <w:r>
        <w:rPr>
          <w:sz w:val="21"/>
        </w:rPr>
        <w:t>交货日期以货物到达院方指定货运详细地址的日期为准。</w:t>
      </w:r>
    </w:p>
    <w:p>
      <w:pPr>
        <w:pStyle w:val="null3"/>
        <w:jc w:val="both"/>
      </w:pPr>
      <w:r>
        <w:rPr>
          <w:sz w:val="28"/>
          <w:b/>
        </w:rPr>
        <w:t>2.</w:t>
      </w:r>
      <w:r>
        <w:rPr>
          <w:sz w:val="28"/>
          <w:b/>
        </w:rPr>
        <w:t>交货方式</w:t>
      </w:r>
    </w:p>
    <w:p>
      <w:pPr>
        <w:pStyle w:val="null3"/>
        <w:ind w:firstLine="420"/>
        <w:jc w:val="both"/>
      </w:pPr>
      <w:r>
        <w:rPr>
          <w:sz w:val="21"/>
        </w:rPr>
        <w:t>（</w:t>
      </w:r>
      <w:r>
        <w:rPr>
          <w:sz w:val="21"/>
        </w:rPr>
        <w:t>1</w:t>
      </w:r>
      <w:r>
        <w:rPr>
          <w:sz w:val="21"/>
        </w:rPr>
        <w:t>）供货方应按时将货物送至院方指定货运详细地址。</w:t>
      </w:r>
    </w:p>
    <w:p>
      <w:pPr>
        <w:pStyle w:val="null3"/>
        <w:ind w:firstLine="420"/>
        <w:jc w:val="both"/>
      </w:pPr>
      <w:r>
        <w:rPr>
          <w:sz w:val="21"/>
        </w:rPr>
        <w:t>（</w:t>
      </w:r>
      <w:r>
        <w:rPr>
          <w:sz w:val="21"/>
        </w:rPr>
        <w:t>2</w:t>
      </w:r>
      <w:r>
        <w:rPr>
          <w:sz w:val="21"/>
        </w:rPr>
        <w:t>）交货完成的有效证明：供货方送货人，必须随货物提交交货签收单给院方收货人，交货签收单必须有院方、供货方两方的签字方有效。</w:t>
      </w:r>
    </w:p>
    <w:p>
      <w:pPr>
        <w:pStyle w:val="null3"/>
        <w:jc w:val="both"/>
      </w:pPr>
      <w:r>
        <w:rPr>
          <w:sz w:val="28"/>
          <w:b/>
        </w:rPr>
        <w:t>3.</w:t>
      </w:r>
      <w:r>
        <w:rPr>
          <w:sz w:val="28"/>
          <w:b/>
        </w:rPr>
        <w:t>安装要求</w:t>
      </w:r>
    </w:p>
    <w:p>
      <w:pPr>
        <w:pStyle w:val="null3"/>
        <w:ind w:firstLine="420"/>
        <w:jc w:val="both"/>
      </w:pPr>
      <w:r>
        <w:rPr>
          <w:sz w:val="21"/>
        </w:rPr>
        <w:t>(1)</w:t>
      </w:r>
      <w:r>
        <w:rPr>
          <w:sz w:val="21"/>
        </w:rPr>
        <w:t>供货方负责合同项下设备的安装调试，并按院方要求，免费提供本项目下设备的搬迁工作。</w:t>
      </w:r>
    </w:p>
    <w:p>
      <w:pPr>
        <w:pStyle w:val="null3"/>
        <w:ind w:firstLine="420"/>
        <w:jc w:val="both"/>
      </w:pPr>
      <w:r>
        <w:rPr>
          <w:sz w:val="21"/>
        </w:rPr>
        <w:t>(2)</w:t>
      </w:r>
      <w:r>
        <w:rPr>
          <w:sz w:val="21"/>
        </w:rPr>
        <w:t>供货方应按院方指定的安装日期、安装要求进行安装工作。</w:t>
      </w:r>
    </w:p>
    <w:p>
      <w:pPr>
        <w:pStyle w:val="null3"/>
        <w:ind w:firstLine="420"/>
        <w:jc w:val="both"/>
      </w:pPr>
      <w:r>
        <w:rPr>
          <w:sz w:val="21"/>
        </w:rPr>
        <w:t>(3)</w:t>
      </w:r>
      <w:r>
        <w:rPr>
          <w:sz w:val="21"/>
        </w:rPr>
        <w:t>供货方需根据院方的详细需求，提交项目产品的安装、调试及培训实施方案，方案得到院方确认后实施，保证系统按时、正常地投入运行。</w:t>
      </w:r>
    </w:p>
    <w:p>
      <w:pPr>
        <w:pStyle w:val="null3"/>
        <w:ind w:firstLine="420"/>
        <w:jc w:val="both"/>
      </w:pPr>
      <w:r>
        <w:rPr>
          <w:sz w:val="28"/>
          <w:b/>
        </w:rPr>
        <w:t>六</w:t>
      </w:r>
      <w:r>
        <w:rPr>
          <w:sz w:val="28"/>
          <w:b/>
        </w:rPr>
        <w:t xml:space="preserve">. </w:t>
      </w:r>
      <w:r>
        <w:rPr>
          <w:sz w:val="28"/>
          <w:b/>
        </w:rPr>
        <w:t>售后服务要求</w:t>
      </w:r>
    </w:p>
    <w:p>
      <w:pPr>
        <w:pStyle w:val="null3"/>
        <w:ind w:firstLine="420"/>
        <w:jc w:val="both"/>
      </w:pPr>
      <w:r>
        <w:rPr>
          <w:sz w:val="21"/>
        </w:rPr>
        <w:t>(1)</w:t>
      </w:r>
      <w:r>
        <w:rPr>
          <w:sz w:val="21"/>
        </w:rPr>
        <w:t>整机保修；保修期自验收合格之日起计算。</w:t>
      </w:r>
    </w:p>
    <w:p>
      <w:pPr>
        <w:pStyle w:val="null3"/>
        <w:ind w:firstLine="420"/>
        <w:jc w:val="both"/>
      </w:pPr>
      <w:r>
        <w:rPr>
          <w:sz w:val="21"/>
        </w:rPr>
        <w:t>(2)</w:t>
      </w:r>
      <w:r>
        <w:rPr>
          <w:sz w:val="21"/>
        </w:rPr>
        <w:t>提供五年原厂家保修服务；投标人承诺提供原厂家保修服务，（提供承诺函，可参照“投标文件格式”中《承诺函》格式）。</w:t>
      </w:r>
    </w:p>
    <w:p>
      <w:pPr>
        <w:pStyle w:val="null3"/>
        <w:ind w:firstLine="420"/>
        <w:jc w:val="both"/>
      </w:pPr>
      <w:r>
        <w:rPr>
          <w:sz w:val="21"/>
        </w:rPr>
        <w:t>(3)</w:t>
      </w:r>
      <w:r>
        <w:rPr>
          <w:sz w:val="21"/>
        </w:rPr>
        <w:t>在保修期结束前，须由供货方和院方进行一次全面检查，任何缺陷必须由供货方负责修复，在修复之后，供货方应将缺陷原因、修复内容、完成修理及恢复正常的时间和日期等报告给院方，形成项目总结报告。相关费用包含在报价内</w:t>
      </w:r>
    </w:p>
    <w:p>
      <w:pPr>
        <w:pStyle w:val="null3"/>
        <w:ind w:firstLine="420"/>
        <w:jc w:val="both"/>
      </w:pPr>
      <w:r>
        <w:rPr>
          <w:sz w:val="21"/>
        </w:rPr>
        <w:t>(</w:t>
      </w:r>
      <w:r>
        <w:rPr>
          <w:sz w:val="21"/>
        </w:rPr>
        <w:t>四</w:t>
      </w:r>
      <w:r>
        <w:rPr>
          <w:sz w:val="21"/>
        </w:rPr>
        <w:t>)</w:t>
      </w:r>
      <w:r>
        <w:rPr>
          <w:sz w:val="21"/>
        </w:rPr>
        <w:t>超过保修期的，双方另行协商签订维护合同，信息设备（产品）的维护报价不超过合同信息设备（产品）部分金额的</w:t>
      </w:r>
      <w:r>
        <w:rPr>
          <w:sz w:val="21"/>
        </w:rPr>
        <w:t>5%</w:t>
      </w:r>
      <w:r>
        <w:rPr>
          <w:sz w:val="21"/>
        </w:rPr>
        <w:t>。</w:t>
      </w:r>
    </w:p>
    <w:p>
      <w:pPr>
        <w:pStyle w:val="null3"/>
        <w:ind w:firstLine="420"/>
        <w:jc w:val="both"/>
      </w:pPr>
      <w:r>
        <w:rPr>
          <w:sz w:val="21"/>
        </w:rPr>
        <w:t>售后服务：提供原厂家</w:t>
      </w:r>
      <w:r>
        <w:rPr>
          <w:sz w:val="21"/>
        </w:rPr>
        <w:t>7*24</w:t>
      </w:r>
      <w:r>
        <w:rPr>
          <w:sz w:val="21"/>
        </w:rPr>
        <w:t>小时维修服务，费用包含在报价内。</w:t>
      </w:r>
    </w:p>
    <w:p>
      <w:pPr>
        <w:pStyle w:val="null3"/>
        <w:ind w:firstLine="420"/>
        <w:jc w:val="both"/>
      </w:pPr>
      <w:r>
        <w:rPr>
          <w:sz w:val="21"/>
        </w:rPr>
        <w:t>响应时间、方式：</w:t>
      </w:r>
      <w:r>
        <w:rPr>
          <w:sz w:val="21"/>
        </w:rPr>
        <w:t>2</w:t>
      </w:r>
      <w:r>
        <w:rPr>
          <w:sz w:val="21"/>
        </w:rPr>
        <w:t>小时内响应到院方报修处，供货方需提供备件先行服务。</w:t>
      </w:r>
    </w:p>
    <w:p>
      <w:pPr>
        <w:pStyle w:val="null3"/>
        <w:jc w:val="both"/>
      </w:pPr>
      <w:r>
        <w:rPr>
          <w:sz w:val="28"/>
          <w:b/>
        </w:rPr>
        <w:t>六</w:t>
      </w:r>
      <w:r>
        <w:rPr>
          <w:sz w:val="28"/>
          <w:b/>
        </w:rPr>
        <w:t xml:space="preserve">. </w:t>
      </w:r>
      <w:r>
        <w:rPr>
          <w:sz w:val="28"/>
          <w:b/>
        </w:rPr>
        <w:t>培训</w:t>
      </w:r>
    </w:p>
    <w:p>
      <w:pPr>
        <w:pStyle w:val="null3"/>
        <w:ind w:firstLine="420"/>
        <w:jc w:val="both"/>
      </w:pPr>
      <w:r>
        <w:rPr>
          <w:sz w:val="21"/>
        </w:rPr>
        <w:t>供货方应为院方进行培训，包括使用培训和维护培训。</w:t>
      </w:r>
    </w:p>
    <w:p>
      <w:pPr>
        <w:pStyle w:val="null3"/>
        <w:ind w:firstLine="420"/>
        <w:jc w:val="both"/>
      </w:pPr>
      <w:r>
        <w:rPr>
          <w:sz w:val="21"/>
        </w:rPr>
        <w:t>供货方应提出详细的培训计划，提供培训教材。技术培训的内容必须覆盖产品的安装、日常操作和管理维护，以及基本的故障诊断与排错，并保证培训效果。</w:t>
      </w:r>
    </w:p>
    <w:p>
      <w:pPr>
        <w:pStyle w:val="null3"/>
        <w:jc w:val="both"/>
      </w:pPr>
      <w:r>
        <w:rPr>
          <w:sz w:val="28"/>
          <w:b/>
        </w:rPr>
        <w:t>七</w:t>
      </w:r>
      <w:r>
        <w:rPr>
          <w:sz w:val="28"/>
          <w:b/>
        </w:rPr>
        <w:t>.</w:t>
      </w:r>
      <w:r>
        <w:rPr>
          <w:sz w:val="28"/>
          <w:b/>
        </w:rPr>
        <w:t>人员要求</w:t>
      </w:r>
    </w:p>
    <w:p>
      <w:pPr>
        <w:pStyle w:val="null3"/>
        <w:ind w:firstLine="420"/>
        <w:jc w:val="both"/>
      </w:pPr>
      <w:r>
        <w:rPr>
          <w:sz w:val="21"/>
        </w:rPr>
        <w:t>投标人应为项目配置项目经理、技术负责人及团队技术人员，为项目配备的人员应具备软件工程或电子信息或网络安全相关等计算机专业背景，具备计算机专业知识和能力，取得相应证书如网络工程师证书、信息系统项目管理师证书、信息安全工程师等相关证书。</w:t>
      </w:r>
    </w:p>
    <w:p>
      <w:pPr>
        <w:pStyle w:val="null3"/>
        <w:jc w:val="both"/>
      </w:pPr>
      <w:r>
        <w:rPr>
          <w:sz w:val="28"/>
          <w:b/>
        </w:rPr>
        <w:t>八</w:t>
      </w:r>
      <w:r>
        <w:rPr>
          <w:sz w:val="28"/>
          <w:b/>
        </w:rPr>
        <w:t xml:space="preserve">. </w:t>
      </w:r>
      <w:r>
        <w:rPr>
          <w:sz w:val="28"/>
          <w:b/>
        </w:rPr>
        <w:t>合同款支付方式</w:t>
      </w:r>
    </w:p>
    <w:p>
      <w:pPr>
        <w:pStyle w:val="null3"/>
        <w:ind w:firstLine="420"/>
        <w:jc w:val="both"/>
      </w:pPr>
      <w:r>
        <w:rPr>
          <w:sz w:val="21"/>
        </w:rPr>
        <w:t>(</w:t>
      </w:r>
      <w:r>
        <w:rPr>
          <w:sz w:val="21"/>
        </w:rPr>
        <w:t>一</w:t>
      </w:r>
      <w:r>
        <w:rPr>
          <w:sz w:val="21"/>
        </w:rPr>
        <w:t>)</w:t>
      </w:r>
      <w:r>
        <w:rPr>
          <w:sz w:val="21"/>
        </w:rPr>
        <w:t>合同签订后，在收到中标人开具相应金额正式发票后，支付合同总金额的</w:t>
      </w:r>
      <w:r>
        <w:rPr>
          <w:sz w:val="21"/>
        </w:rPr>
        <w:t>30%</w:t>
      </w:r>
      <w:r>
        <w:rPr>
          <w:sz w:val="21"/>
        </w:rPr>
        <w:t>。</w:t>
      </w:r>
    </w:p>
    <w:p>
      <w:pPr>
        <w:pStyle w:val="null3"/>
        <w:ind w:firstLine="420"/>
        <w:jc w:val="both"/>
      </w:pPr>
      <w:r>
        <w:rPr>
          <w:sz w:val="21"/>
        </w:rPr>
        <w:t>(</w:t>
      </w:r>
      <w:r>
        <w:rPr>
          <w:sz w:val="21"/>
        </w:rPr>
        <w:t>二</w:t>
      </w:r>
      <w:r>
        <w:rPr>
          <w:sz w:val="21"/>
        </w:rPr>
        <w:t>)</w:t>
      </w:r>
      <w:r>
        <w:rPr>
          <w:sz w:val="21"/>
        </w:rPr>
        <w:t>项目通过验收后，在收到中标人开具相应金额正式发票以及售后服务履约承诺函后，向中标人支付至结算审核价的</w:t>
      </w:r>
      <w:r>
        <w:rPr>
          <w:sz w:val="21"/>
        </w:rPr>
        <w:t>100%</w:t>
      </w:r>
      <w:r>
        <w:rPr>
          <w:sz w:val="21"/>
        </w:rPr>
        <w:t>。</w:t>
      </w:r>
    </w:p>
    <w:p>
      <w:pPr>
        <w:pStyle w:val="null3"/>
        <w:jc w:val="both"/>
      </w:pPr>
      <w:r>
        <w:rPr>
          <w:sz w:val="21"/>
        </w:rPr>
        <w:t>★（三）履约保证金（投标时提供承诺，可参照“投标文件格式”中《承诺函》格式）</w:t>
      </w:r>
    </w:p>
    <w:p>
      <w:pPr>
        <w:pStyle w:val="null3"/>
        <w:jc w:val="both"/>
      </w:pPr>
      <w:r>
        <w:rPr>
          <w:sz w:val="21"/>
        </w:rPr>
        <w:t>1.</w:t>
      </w:r>
      <w:r>
        <w:rPr>
          <w:sz w:val="21"/>
        </w:rPr>
        <w:t>中标人在发出中标通知书之日起</w:t>
      </w:r>
      <w:r>
        <w:rPr>
          <w:sz w:val="21"/>
        </w:rPr>
        <w:t>15</w:t>
      </w:r>
      <w:r>
        <w:rPr>
          <w:sz w:val="21"/>
        </w:rPr>
        <w:t>个工作日内，按照合同金额的</w:t>
      </w:r>
      <w:r>
        <w:rPr>
          <w:sz w:val="21"/>
        </w:rPr>
        <w:t>5%</w:t>
      </w:r>
      <w:r>
        <w:rPr>
          <w:sz w:val="21"/>
        </w:rPr>
        <w:t>向采购人支付履约保证金（供应商以支票、汇票、本票、保函等非现金形式提交）。</w:t>
      </w:r>
    </w:p>
    <w:p>
      <w:pPr>
        <w:pStyle w:val="null3"/>
        <w:ind w:firstLine="420"/>
        <w:jc w:val="both"/>
      </w:pPr>
      <w:r>
        <w:rPr>
          <w:sz w:val="21"/>
        </w:rPr>
        <w:t>2.</w:t>
      </w:r>
      <w:r>
        <w:rPr>
          <w:sz w:val="21"/>
        </w:rPr>
        <w:t>如中标人发生违约，采购人不予退还履约保证金。如中标人未按招标文件规定签订采购合同并提交履约保证金，则该中标人的投标保证金不予退还。</w:t>
      </w:r>
    </w:p>
    <w:p>
      <w:pPr>
        <w:pStyle w:val="null3"/>
        <w:ind w:firstLine="420"/>
        <w:jc w:val="both"/>
      </w:pPr>
      <w:r>
        <w:rPr>
          <w:sz w:val="21"/>
        </w:rPr>
        <w:t>3.</w:t>
      </w:r>
      <w:r>
        <w:rPr>
          <w:sz w:val="21"/>
        </w:rPr>
        <w:t>本项目验收合格且中标人不存在违约情形的，供应商可以申请退还保证金。采购人在履行完必要审批手续之日起</w:t>
      </w:r>
      <w:r>
        <w:rPr>
          <w:sz w:val="21"/>
        </w:rPr>
        <w:t>15</w:t>
      </w:r>
      <w:r>
        <w:rPr>
          <w:sz w:val="21"/>
        </w:rPr>
        <w:t>个工作日内将履约保证金无息退还给供应商。采购人无正当理由逾期退还履约保证金，导致供应商权益受损的，采购人除应退还履约保证金外，应给予赔偿。</w:t>
      </w:r>
    </w:p>
    <w:p>
      <w:pPr>
        <w:pStyle w:val="null3"/>
        <w:jc w:val="both"/>
      </w:pPr>
      <w:r>
        <w:rPr>
          <w:sz w:val="28"/>
          <w:b/>
        </w:rPr>
        <w:t>九、其他要求</w:t>
      </w:r>
    </w:p>
    <w:p>
      <w:pPr>
        <w:pStyle w:val="null3"/>
        <w:ind w:firstLine="420"/>
        <w:jc w:val="both"/>
      </w:pPr>
      <w:r>
        <w:rPr>
          <w:sz w:val="21"/>
        </w:rPr>
        <w:t>★合同递交要求：中标人应在中标通知书发出之日起</w:t>
      </w:r>
      <w:r>
        <w:rPr>
          <w:sz w:val="21"/>
        </w:rPr>
        <w:t>5</w:t>
      </w:r>
      <w:r>
        <w:rPr>
          <w:sz w:val="21"/>
        </w:rPr>
        <w:t>个工作日内，按招标文件合同格式的要求完成合同文本编制，合同纸质版经盖章后，与电子版一并递交采购人审核。若遇特殊情况，中标人应向采购人书面申请经批准后适当延期。（投标时提供承诺，可参照“投标文件格式”中《承诺函》格式）</w:t>
      </w:r>
    </w:p>
    <w:p>
      <w:pPr>
        <w:pStyle w:val="null3"/>
        <w:ind w:firstLine="420"/>
        <w:jc w:val="both"/>
      </w:pPr>
      <w:r>
        <w:rPr>
          <w:sz w:val="21"/>
        </w:rPr>
        <w:t>如出现中标人放弃中标或者没有在法律规定时间内与采购人签订合同，该中标人的投标保证金不予退还；在此情况下，采购人可以重新开展采购活动，也可以按照评审报告推荐的中标候选人名单排序，确定下一中标候选人为中标人。</w:t>
      </w:r>
    </w:p>
    <w:p>
      <w:pPr>
        <w:pStyle w:val="null3"/>
        <w:ind w:firstLine="420"/>
        <w:jc w:val="both"/>
      </w:pPr>
      <w:r>
        <w:rPr>
          <w:sz w:val="21"/>
        </w:rPr>
        <w:t>★投标人须承诺所投设备均符合国家强制性要求。（投标时提供承诺，可参照“投标（响应）文件格式”中《承诺函》格式）。</w:t>
      </w:r>
    </w:p>
    <w:p>
      <w:pPr>
        <w:pStyle w:val="null3"/>
        <w:ind w:firstLine="420"/>
        <w:jc w:val="both"/>
      </w:pPr>
      <w:r>
        <w:rPr>
          <w:sz w:val="21"/>
        </w:rPr>
        <w:t>★投标人须承诺本项目所投设备均符合国家相关法律法规要求，如所投设备属于“中国强制性产品认证目录”（</w:t>
      </w:r>
      <w:r>
        <w:rPr>
          <w:sz w:val="21"/>
        </w:rPr>
        <w:t>CCC</w:t>
      </w:r>
      <w:r>
        <w:rPr>
          <w:sz w:val="21"/>
        </w:rPr>
        <w:t>认证），供货时提供相关证明（提供在</w:t>
      </w:r>
      <w:r>
        <w:rPr>
          <w:sz w:val="21"/>
        </w:rPr>
        <w:t>http://cx.cnca.cn/</w:t>
      </w:r>
      <w:r>
        <w:rPr>
          <w:sz w:val="21"/>
        </w:rPr>
        <w:t>查询的产品的证书编号及查询结果截图）。（投标时提供承诺，可参照“投标文件格式”中《承诺函》格式）。</w:t>
      </w:r>
    </w:p>
    <w:p>
      <w:pPr>
        <w:pStyle w:val="null3"/>
        <w:ind w:firstLine="420"/>
      </w:pP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响应）文件格式”中《承诺函》格式）</w:t>
      </w:r>
    </w:p>
    <w:p>
      <w:pPr>
        <w:pStyle w:val="null3"/>
        <w:ind w:firstLine="420"/>
        <w:jc w:val="both"/>
      </w:pPr>
      <w:r>
        <w:rPr>
          <w:sz w:val="21"/>
        </w:rPr>
        <w:t>投标供应商及设备制造厂商应具备完善的质量管理控制体系，具有良好的售后服务能力，具备</w:t>
      </w:r>
      <w:r>
        <w:rPr>
          <w:sz w:val="21"/>
          <w:color w:val="000000"/>
        </w:rPr>
        <w:t>质量管理体系认证、商品售后服务评价体系等证书。</w:t>
      </w:r>
    </w:p>
    <w:p>
      <w:pPr>
        <w:pStyle w:val="null3"/>
        <w:spacing w:before="345" w:after="330"/>
        <w:jc w:val="both"/>
      </w:pPr>
      <w:r>
        <w:rPr>
          <w:sz w:val="28"/>
          <w:b/>
        </w:rPr>
        <w:t>附件：政策适用性说明</w:t>
      </w:r>
      <w:r>
        <w:rPr>
          <w:sz w:val="21"/>
          <w:b/>
          <w:shd w:fill="FFFFFF" w:val="clear"/>
        </w:rPr>
        <w:t>（因云平台投标格式中的“</w:t>
      </w:r>
      <w:r>
        <w:rPr>
          <w:sz w:val="21"/>
          <w:b/>
          <w:shd w:fill="FFFFFF" w:val="clear"/>
        </w:rPr>
        <w:t>政策适用性说明”无法满足项目实际，请投标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both"/>
      </w:pPr>
      <w:r>
        <w:rPr>
          <w:sz w:val="21"/>
          <w:shd w:fill="FFFFFF" w:val="clear"/>
        </w:rPr>
        <w:t xml:space="preserve"> </w:t>
      </w:r>
      <w:r>
        <w:rPr>
          <w:sz w:val="21"/>
          <w:shd w:fill="FFFFFF" w:val="clear"/>
        </w:rPr>
        <w:t>供应商所投的产品，符合节能产品、环境标志产品政策要求的，按以下格式提供说明。</w:t>
      </w:r>
    </w:p>
    <w:p>
      <w:pPr>
        <w:pStyle w:val="null3"/>
        <w:numPr>
          <w:ilvl w:val="0"/>
          <w:numId w:val="1"/>
        </w:numPr>
        <w:jc w:val="both"/>
      </w:pPr>
      <w:r>
        <w:rPr>
          <w:sz w:val="21"/>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63"/>
        <w:gridCol w:w="1271"/>
        <w:gridCol w:w="1780"/>
        <w:gridCol w:w="1229"/>
        <w:gridCol w:w="1229"/>
        <w:gridCol w:w="2034"/>
      </w:tblGrid>
      <w:tr>
        <w:tc>
          <w:tcPr>
            <w:tcW w:type="dxa" w:w="76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27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p>
            <w:pPr>
              <w:pStyle w:val="null3"/>
              <w:jc w:val="center"/>
            </w:pP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458"/>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203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p>
            <w:pPr>
              <w:pStyle w:val="null3"/>
              <w:jc w:val="center"/>
            </w:p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（一）强制节能产品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强制节能产品，此处无须填报价格</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（二）优先采购节能产品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5043"/>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节能产品价格合计</w:t>
            </w:r>
          </w:p>
        </w:tc>
        <w:tc>
          <w:tcPr>
            <w:tcW w:type="dxa" w:w="3263"/>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r>
      <w:tr>
        <w:tc>
          <w:tcPr>
            <w:tcW w:type="dxa" w:w="763"/>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71"/>
            <w:tcBorders>
              <w:top w:val="none" w:color="000000" w:sz="4"/>
              <w:left w:val="none" w:color="000000" w:sz="4"/>
              <w:bottom w:val="none" w:color="000000" w:sz="4"/>
              <w:right w:val="none" w:color="000000" w:sz="4"/>
            </w:tcBorders>
            <w:shd w:fill="FFFFFF"/>
          </w:tcPr>
          <w:p>
            <w:pPr>
              <w:pStyle w:val="null3"/>
            </w:pPr>
            <w:r>
              <w:rPr/>
              <w:t xml:space="preserve"> </w:t>
            </w:r>
          </w:p>
        </w:tc>
        <w:tc>
          <w:tcPr>
            <w:tcW w:type="dxa" w:w="1780"/>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2034"/>
            <w:tcBorders>
              <w:top w:val="none" w:color="000000" w:sz="4"/>
              <w:left w:val="none" w:color="000000" w:sz="4"/>
              <w:bottom w:val="none" w:color="000000" w:sz="4"/>
              <w:right w:val="none" w:color="000000" w:sz="4"/>
            </w:tcBorders>
            <w:shd w:fill="FFFFFF"/>
          </w:tcPr>
          <w:p>
            <w:pPr>
              <w:pStyle w:val="null3"/>
            </w:pPr>
            <w:r>
              <w:rPr/>
              <w:t xml:space="preserve"> </w:t>
            </w:r>
          </w:p>
        </w:tc>
      </w:tr>
    </w:tbl>
    <w:p>
      <w:pPr>
        <w:pStyle w:val="null3"/>
        <w:ind w:firstLine="480"/>
        <w:jc w:val="right"/>
      </w:pPr>
      <w:r>
        <w:rPr>
          <w:sz w:val="21"/>
          <w:shd w:fill="FFFFFF" w:val="clear"/>
        </w:rPr>
        <w:t xml:space="preserve"> </w:t>
      </w:r>
    </w:p>
    <w:p>
      <w:pPr>
        <w:pStyle w:val="null3"/>
        <w:ind w:firstLine="480"/>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w:t>
      </w:r>
      <w:r>
        <w:rPr>
          <w:sz w:val="21"/>
          <w:shd w:fill="FFFFFF" w:val="clear"/>
        </w:rPr>
        <w:t>年</w:t>
      </w:r>
      <w:r>
        <w:rPr>
          <w:sz w:val="21"/>
          <w:shd w:fill="FFFFFF" w:val="clear"/>
        </w:rPr>
        <w:t>月</w:t>
      </w:r>
      <w:r>
        <w:rPr>
          <w:sz w:val="21"/>
          <w:shd w:fill="FFFFFF" w:val="clear"/>
        </w:rPr>
        <w:t>日</w:t>
      </w:r>
    </w:p>
    <w:p>
      <w:pPr>
        <w:pStyle w:val="null3"/>
      </w:pPr>
      <w:r>
        <w:rPr>
          <w:sz w:val="21"/>
        </w:rPr>
        <w:t>注：上述节能产品包括节水产品。</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39"/>
        <w:gridCol w:w="1610"/>
        <w:gridCol w:w="1780"/>
        <w:gridCol w:w="2627"/>
        <w:gridCol w:w="1949"/>
      </w:tblGrid>
      <w:tr>
        <w:tc>
          <w:tcPr>
            <w:tcW w:type="dxa" w:w="339"/>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序号</w:t>
            </w:r>
          </w:p>
        </w:tc>
        <w:tc>
          <w:tcPr>
            <w:tcW w:type="dxa" w:w="161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1"/>
              </w:rPr>
              <w:t>产品名称</w:t>
            </w: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105"/>
              <w:jc w:val="left"/>
            </w:pPr>
            <w:r>
              <w:rPr>
                <w:sz w:val="21"/>
              </w:rPr>
              <w:t>对应《环境标志产品政府采购品目清单》的品目序号</w:t>
            </w:r>
          </w:p>
          <w:p>
            <w:pPr>
              <w:pStyle w:val="null3"/>
              <w:jc w:val="left"/>
            </w:pPr>
          </w:p>
        </w:tc>
        <w:tc>
          <w:tcPr>
            <w:tcW w:type="dxa" w:w="262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产品认证证书所在投标文件页码</w:t>
            </w:r>
          </w:p>
        </w:tc>
        <w:tc>
          <w:tcPr>
            <w:tcW w:type="dxa" w:w="194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1"/>
              </w:rPr>
              <w:t>产品报价（元）</w:t>
            </w:r>
          </w:p>
          <w:p>
            <w:pPr>
              <w:pStyle w:val="null3"/>
              <w:jc w:val="left"/>
            </w:p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2</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3</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356"/>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环境标志产品价格合计</w:t>
            </w: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w:t>
      </w:r>
      <w:r>
        <w:rPr>
          <w:sz w:val="21"/>
          <w:shd w:fill="FFFFFF" w:val="clear"/>
        </w:rPr>
        <w:t>年</w:t>
      </w:r>
      <w:r>
        <w:rPr>
          <w:sz w:val="21"/>
          <w:shd w:fill="FFFFFF" w:val="clear"/>
        </w:rPr>
        <w:t>月</w:t>
      </w:r>
      <w:r>
        <w:rPr>
          <w:sz w:val="21"/>
          <w:shd w:fill="FFFFFF" w:val="clear"/>
        </w:rPr>
        <w:t>日</w:t>
      </w:r>
    </w:p>
    <w:p>
      <w:pPr>
        <w:pStyle w:val="null3"/>
        <w:ind w:left="36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numPr>
          <w:ilvl w:val="0"/>
          <w:numId w:val="2"/>
        </w:numPr>
        <w:jc w:val="both"/>
      </w:pPr>
      <w:r>
        <w:rPr>
          <w:sz w:val="21"/>
          <w:shd w:fill="FFFFFF" w:val="clear"/>
        </w:rPr>
        <w:t>环境标志产品说明</w:t>
      </w:r>
    </w:p>
    <w:p>
      <w:pPr>
        <w:pStyle w:val="null3"/>
        <w:jc w:val="center"/>
      </w:pPr>
      <w:r>
        <w:rPr/>
        <w:t xml:space="preserve"> </w:t>
      </w:r>
    </w:p>
    <w:p>
      <w:pPr>
        <w:pStyle w:val="null3"/>
      </w:pPr>
      <w:r>
        <w:rPr/>
        <w:t>采购包1（AI服务器和虚拟化服务器）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供货方须在院方支付合同首款后的7个工作日内向院方提交采购清单中的物品。</w:t>
            </w:r>
          </w:p>
        </w:tc>
      </w:tr>
      <w:tr>
        <w:tc>
          <w:tcPr>
            <w:tcW w:type="dxa" w:w="4153"/>
          </w:tcPr>
          <w:p>
            <w:pPr>
              <w:pStyle w:val="null3"/>
            </w:pPr>
            <w:r>
              <w:rPr/>
              <w:t>标的提供的地点</w:t>
            </w:r>
          </w:p>
        </w:tc>
        <w:tc>
          <w:tcPr>
            <w:tcW w:type="dxa" w:w="4153"/>
          </w:tcPr>
          <w:p>
            <w:pPr>
              <w:pStyle w:val="null3"/>
            </w:pPr>
            <w:r>
              <w:rPr/>
              <w:t>广州市越秀区中山二路广东省人民医院（以采购人指定为准）</w:t>
            </w:r>
          </w:p>
        </w:tc>
      </w:tr>
      <w:tr/>
      <w:tr/>
      <w:tr>
        <w:tc>
          <w:tcPr>
            <w:tcW w:type="dxa" w:w="4153"/>
          </w:tcPr>
          <w:p>
            <w:pPr>
              <w:pStyle w:val="null3"/>
            </w:pPr>
            <w:r>
              <w:rPr/>
              <w:t>付款方式</w:t>
            </w:r>
          </w:p>
        </w:tc>
        <w:tc>
          <w:tcPr>
            <w:tcW w:type="dxa" w:w="4153"/>
          </w:tcPr>
          <w:p>
            <w:pPr>
              <w:pStyle w:val="null3"/>
            </w:pPr>
            <w:r>
              <w:rPr/>
              <w:t>第1期为(预付款)：支付比例30%，支付比例30%,合同签订后，在收到中标人开具相应金额正式发票后，支付合同总金额的30%。。</w:t>
            </w:r>
          </w:p>
          <w:p>
            <w:pPr>
              <w:pStyle w:val="null3"/>
            </w:pPr>
            <w:r>
              <w:rPr/>
              <w:t>第2期为(尾款)：支付比例70%，支付比例70%,项目通过验收后，在收到中标人开具相应金额正式发票以及售后服务履约承诺函后，向中标人支付至结算审核价的100%。。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1期：符合合同和采购文件中列举的要求、功能和指标，按原厂家产品标准验收。</w:t>
            </w:r>
          </w:p>
        </w:tc>
      </w:tr>
      <w:tr>
        <w:tc>
          <w:tcPr>
            <w:tcW w:type="dxa" w:w="4153"/>
          </w:tcPr>
          <w:p>
            <w:pPr>
              <w:pStyle w:val="null3"/>
            </w:pPr>
            <w:r>
              <w:rPr/>
              <w:t>履约保证金</w:t>
            </w:r>
          </w:p>
        </w:tc>
        <w:tc>
          <w:tcPr>
            <w:tcW w:type="dxa" w:w="4153"/>
          </w:tcPr>
          <w:p>
            <w:pPr>
              <w:pStyle w:val="null3"/>
            </w:pPr>
            <w:r>
              <w:rPr/>
              <w:t>收取比例：5%,说明：1.中标人在发出中标通知书之日起15个工作日内，按照合同金额的5%向采购人支付履约保证金（供应商以支票、汇票、本票、保函等非现金形式提交）。 2.如中标人发生违约，采购人不予退还履约保证金。如中标人未按招标文件规定签订采购合同并提交履约保证金，则该中标人的投标保证金不予退还。 3.本项目验收合格且中标人不存在违约情形的，供应商可以申请退还保证金。采购人在履行完必要审批手续之日起15个工作日内将履约保证金无息退还给供应商。采购人无正当理由逾期退还履约保证金，导致供应商权益受损的，采购人除应退还履约保证金外，应给予赔偿。</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不允许分包</w:t>
            </w:r>
          </w:p>
        </w:tc>
        <w:tc>
          <w:tcPr>
            <w:tcW w:type="dxa" w:w="2076"/>
          </w:tcPr>
          <w:p>
            <w:pPr>
              <w:pStyle w:val="null3"/>
              <w:jc w:val="left"/>
            </w:pPr>
            <w:r>
              <w:rPr/>
              <w:t>本项目各包组不允许分包，如供应商在投标/响应文件中未出现《分包协议意向书》，则视为未采取分包。</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履约保证金（投标时提供承诺，可参照“投标文件格式”中《承诺函》格式）</w:t>
            </w:r>
          </w:p>
        </w:tc>
        <w:tc>
          <w:tcPr>
            <w:tcW w:type="dxa" w:w="2076"/>
          </w:tcPr>
          <w:p>
            <w:pPr>
              <w:pStyle w:val="null3"/>
              <w:jc w:val="left"/>
            </w:pPr>
            <w:r>
              <w:rPr/>
              <w:t>1.中标人在发出中标通知书之日起15个工作日内，按照合同金额的5%向采购人支付履约保证金（供应商以支票、汇票、本票、保函等非现金形式提交）。 2.如中标人发生违约，采购人不予退还履约保证金。如中标人未按招标文件规定签订采购合同并提交履约保证金，则该中标人的投标保证金不予退还。 3.本项目验收合格且中标人不存在违约情形的，供应商可以申请退还保证金。采购人在履行完必要审批手续之日起15个工作日内将履约保证金无息退还给供应商。采购人无正当理由逾期退还履约保证金，导致供应商权益受损的，采购人除应退还履约保证金外，应给予赔偿。</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合同递交要求</w:t>
            </w:r>
          </w:p>
        </w:tc>
        <w:tc>
          <w:tcPr>
            <w:tcW w:type="dxa" w:w="2076"/>
          </w:tcPr>
          <w:p>
            <w:pPr>
              <w:pStyle w:val="null3"/>
              <w:jc w:val="left"/>
            </w:pPr>
            <w:r>
              <w:rPr/>
              <w:t>中标人应在中标通知书发出之日起5个工作日内，按招标文件合同格式的要求完成合同文本编制，合同纸质版经盖章后，与电子版一并递交采购人审核。若遇特殊情况，中标人应向采购人书面申请经批准后适当延期。（投标时提供承诺，可参照“投标文件格式”中《承诺函》格式）</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其他要求</w:t>
            </w:r>
          </w:p>
        </w:tc>
        <w:tc>
          <w:tcPr>
            <w:tcW w:type="dxa" w:w="2076"/>
          </w:tcPr>
          <w:p>
            <w:pPr>
              <w:pStyle w:val="null3"/>
              <w:jc w:val="left"/>
            </w:pPr>
            <w:r>
              <w:rPr/>
              <w:t>投标人须承诺所投设备均符合国家强制性要求。（投标时提供承诺，可参照“投标（响应）文件格式”中《承诺函》格式）</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其他要求</w:t>
            </w:r>
          </w:p>
        </w:tc>
        <w:tc>
          <w:tcPr>
            <w:tcW w:type="dxa" w:w="2076"/>
          </w:tcPr>
          <w:p>
            <w:pPr>
              <w:pStyle w:val="null3"/>
              <w:jc w:val="left"/>
            </w:pPr>
            <w:r>
              <w:rPr/>
              <w:t>投标人须承诺本项目所投设备均符合国家相关法律法规要求，如所投设备属于“中国强制性产品认证目录”（CCC认证），供货时提供相关证明（提供在http://cx.cnca.cn/查询的产品的证书编号及查询结果截图）。（投标时提供承诺，可参照“投标文件格式”中《承诺函》格式）</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其他要求</w:t>
            </w:r>
          </w:p>
        </w:tc>
        <w:tc>
          <w:tcPr>
            <w:tcW w:type="dxa" w:w="2076"/>
          </w:tcPr>
          <w:p>
            <w:pPr>
              <w:pStyle w:val="null3"/>
              <w:jc w:val="left"/>
            </w:pPr>
            <w:r>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响应）文件格式”中《承诺函》格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服务器</w:t>
            </w:r>
          </w:p>
        </w:tc>
        <w:tc>
          <w:tcPr>
            <w:tcW w:type="dxa" w:w="831"/>
          </w:tcPr>
          <w:p>
            <w:pPr>
              <w:pStyle w:val="null3"/>
              <w:jc w:val="left"/>
            </w:pPr>
            <w:r>
              <w:rPr/>
              <w:t>AI服务器</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200,000.00</w:t>
            </w:r>
          </w:p>
        </w:tc>
        <w:tc>
          <w:tcPr>
            <w:tcW w:type="dxa" w:w="831"/>
          </w:tcPr>
          <w:p>
            <w:pPr>
              <w:pStyle w:val="null3"/>
              <w:jc w:val="right"/>
            </w:pPr>
            <w:r>
              <w:rPr/>
              <w:t>1,200,000.00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服务器</w:t>
            </w:r>
          </w:p>
        </w:tc>
        <w:tc>
          <w:tcPr>
            <w:tcW w:type="dxa" w:w="831"/>
          </w:tcPr>
          <w:p>
            <w:pPr>
              <w:pStyle w:val="null3"/>
              <w:jc w:val="left"/>
            </w:pPr>
            <w:r>
              <w:rPr/>
              <w:t>虚拟化服务器</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120,000.00</w:t>
            </w:r>
          </w:p>
        </w:tc>
        <w:tc>
          <w:tcPr>
            <w:tcW w:type="dxa" w:w="831"/>
          </w:tcPr>
          <w:p>
            <w:pPr>
              <w:pStyle w:val="null3"/>
              <w:jc w:val="right"/>
            </w:pPr>
            <w:r>
              <w:rPr/>
              <w:t>720,000.00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AI服务器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管理芯片</w:t>
            </w:r>
            <w:r>
              <w:rPr>
                <w:sz w:val="21"/>
              </w:rPr>
              <w:t>-</w:t>
            </w:r>
            <w:r>
              <w:rPr>
                <w:sz w:val="21"/>
              </w:rPr>
              <w:t>服务器管理软件支持在中华人民共和国境内工商局登记注册的芯片。服务器支持</w:t>
            </w:r>
            <w:r>
              <w:rPr>
                <w:sz w:val="21"/>
              </w:rPr>
              <w:t>Redfish</w:t>
            </w:r>
            <w:r>
              <w:rPr>
                <w:sz w:val="21"/>
              </w:rPr>
              <w:t>、</w:t>
            </w:r>
            <w:r>
              <w:rPr>
                <w:sz w:val="21"/>
              </w:rPr>
              <w:t>SNMP</w:t>
            </w:r>
            <w:r>
              <w:rPr>
                <w:sz w:val="21"/>
              </w:rPr>
              <w:t>、</w:t>
            </w:r>
            <w:r>
              <w:rPr>
                <w:sz w:val="21"/>
              </w:rPr>
              <w:t>IPMI2.0</w:t>
            </w:r>
            <w:r>
              <w:rPr>
                <w:sz w:val="21"/>
              </w:rPr>
              <w:t>等标准接口；提供基于</w:t>
            </w:r>
            <w:r>
              <w:rPr>
                <w:sz w:val="21"/>
              </w:rPr>
              <w:t>HTML5/VNC KVM</w:t>
            </w:r>
            <w:r>
              <w:rPr>
                <w:sz w:val="21"/>
              </w:rPr>
              <w:t>的远程管理界面；支持监控、诊断、配置、</w:t>
            </w:r>
            <w:r>
              <w:rPr>
                <w:sz w:val="21"/>
              </w:rPr>
              <w:t>Agentless</w:t>
            </w:r>
            <w:r>
              <w:rPr>
                <w:sz w:val="21"/>
              </w:rPr>
              <w:t>及远程控制等带外管理功能，简化管理复杂度。</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安全管理</w:t>
            </w:r>
            <w:r>
              <w:rPr>
                <w:sz w:val="21"/>
              </w:rPr>
              <w:t>-</w:t>
            </w:r>
            <w:r>
              <w:rPr>
                <w:sz w:val="21"/>
              </w:rPr>
              <w:t>支持基于</w:t>
            </w:r>
            <w:r>
              <w:rPr>
                <w:sz w:val="21"/>
              </w:rPr>
              <w:t>Kerberos</w:t>
            </w:r>
            <w:r>
              <w:rPr>
                <w:sz w:val="21"/>
              </w:rPr>
              <w:t>协议的用户认证管理机制，基于芯片可信根实现固件启动前的完整性校验，支持</w:t>
            </w:r>
            <w:r>
              <w:rPr>
                <w:sz w:val="21"/>
              </w:rPr>
              <w:t>TLS 1.2</w:t>
            </w:r>
            <w:r>
              <w:rPr>
                <w:sz w:val="21"/>
              </w:rPr>
              <w:t>、</w:t>
            </w:r>
            <w:r>
              <w:rPr>
                <w:sz w:val="21"/>
              </w:rPr>
              <w:t>TLS 1.3</w:t>
            </w:r>
            <w:r>
              <w:rPr>
                <w:sz w:val="21"/>
              </w:rPr>
              <w:t>版本，支持</w:t>
            </w:r>
            <w:r>
              <w:rPr>
                <w:sz w:val="21"/>
              </w:rPr>
              <w:t>SNMP</w:t>
            </w:r>
            <w:r>
              <w:rPr>
                <w:sz w:val="21"/>
              </w:rPr>
              <w:t>功能及</w:t>
            </w:r>
            <w:r>
              <w:rPr>
                <w:sz w:val="21"/>
              </w:rPr>
              <w:t>SHA256/SHA384/SHA512</w:t>
            </w:r>
            <w:r>
              <w:rPr>
                <w:sz w:val="21"/>
              </w:rPr>
              <w:t>鉴权和</w:t>
            </w:r>
            <w:r>
              <w:rPr>
                <w:sz w:val="21"/>
              </w:rPr>
              <w:t>AES256</w:t>
            </w:r>
            <w:r>
              <w:rPr>
                <w:sz w:val="21"/>
              </w:rPr>
              <w:t>加密算法。</w:t>
            </w:r>
          </w:p>
        </w:tc>
      </w:tr>
      <w:tr>
        <w:tc>
          <w:tcPr>
            <w:tcW w:type="dxa" w:w="2076"/>
          </w:tcPr>
          <w:p/>
        </w:tc>
        <w:tc>
          <w:tcPr>
            <w:tcW w:type="dxa" w:w="415"/>
          </w:tcPr>
          <w:p>
            <w:pPr>
              <w:pStyle w:val="null3"/>
            </w:pPr>
            <w:r>
              <w:rPr/>
              <w:t>3</w:t>
            </w:r>
          </w:p>
        </w:tc>
        <w:tc>
          <w:tcPr>
            <w:tcW w:type="dxa" w:w="5814"/>
          </w:tcPr>
          <w:p>
            <w:pPr>
              <w:pStyle w:val="null3"/>
            </w:pPr>
            <w:r>
              <w:rPr>
                <w:sz w:val="21"/>
              </w:rPr>
              <w:t>其他要求详见采购需求。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虚拟化服务器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管理芯片</w:t>
            </w:r>
            <w:r>
              <w:rPr>
                <w:sz w:val="21"/>
              </w:rPr>
              <w:t>-</w:t>
            </w:r>
            <w:r>
              <w:rPr>
                <w:sz w:val="21"/>
              </w:rPr>
              <w:t>服务器管理软件支持在中华人民共和国境内工商局登记注册的芯片。服务器支持</w:t>
            </w:r>
            <w:r>
              <w:rPr>
                <w:sz w:val="21"/>
              </w:rPr>
              <w:t>Redfish</w:t>
            </w:r>
            <w:r>
              <w:rPr>
                <w:sz w:val="21"/>
              </w:rPr>
              <w:t>、</w:t>
            </w:r>
            <w:r>
              <w:rPr>
                <w:sz w:val="21"/>
              </w:rPr>
              <w:t>SNMP</w:t>
            </w:r>
            <w:r>
              <w:rPr>
                <w:sz w:val="21"/>
              </w:rPr>
              <w:t>、</w:t>
            </w:r>
            <w:r>
              <w:rPr>
                <w:sz w:val="21"/>
              </w:rPr>
              <w:t>IPMI2.0</w:t>
            </w:r>
            <w:r>
              <w:rPr>
                <w:sz w:val="21"/>
              </w:rPr>
              <w:t>等标准接口；提供基于</w:t>
            </w:r>
            <w:r>
              <w:rPr>
                <w:sz w:val="21"/>
              </w:rPr>
              <w:t>HTML5/VNC KVM</w:t>
            </w:r>
            <w:r>
              <w:rPr>
                <w:sz w:val="21"/>
              </w:rPr>
              <w:t>的远程管理界面；支持监控、诊断、配置、</w:t>
            </w:r>
            <w:r>
              <w:rPr>
                <w:sz w:val="21"/>
              </w:rPr>
              <w:t>Agentless</w:t>
            </w:r>
            <w:r>
              <w:rPr>
                <w:sz w:val="21"/>
              </w:rPr>
              <w:t>及远程控制等带外管理功能，简化管理复杂度。</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安全管理</w:t>
            </w:r>
            <w:r>
              <w:rPr>
                <w:sz w:val="21"/>
              </w:rPr>
              <w:t>-</w:t>
            </w:r>
            <w:r>
              <w:rPr>
                <w:sz w:val="21"/>
              </w:rPr>
              <w:t>支持基于</w:t>
            </w:r>
            <w:r>
              <w:rPr>
                <w:sz w:val="21"/>
              </w:rPr>
              <w:t>Kerberos</w:t>
            </w:r>
            <w:r>
              <w:rPr>
                <w:sz w:val="21"/>
              </w:rPr>
              <w:t>协议的用户认证管理机制，基于芯片可信根实现固件启动前的完整性校验，支持</w:t>
            </w:r>
            <w:r>
              <w:rPr>
                <w:sz w:val="21"/>
              </w:rPr>
              <w:t>TLS 1.2</w:t>
            </w:r>
            <w:r>
              <w:rPr>
                <w:sz w:val="21"/>
              </w:rPr>
              <w:t>、</w:t>
            </w:r>
            <w:r>
              <w:rPr>
                <w:sz w:val="21"/>
              </w:rPr>
              <w:t>TLS 1.3</w:t>
            </w:r>
            <w:r>
              <w:rPr>
                <w:sz w:val="21"/>
              </w:rPr>
              <w:t>版本，支持</w:t>
            </w:r>
            <w:r>
              <w:rPr>
                <w:sz w:val="21"/>
              </w:rPr>
              <w:t>SNMP</w:t>
            </w:r>
            <w:r>
              <w:rPr>
                <w:sz w:val="21"/>
              </w:rPr>
              <w:t>功能及</w:t>
            </w:r>
            <w:r>
              <w:rPr>
                <w:sz w:val="21"/>
              </w:rPr>
              <w:t>SHA256/SHA384/SHA512</w:t>
            </w:r>
            <w:r>
              <w:rPr>
                <w:sz w:val="21"/>
              </w:rPr>
              <w:t>鉴权和</w:t>
            </w:r>
            <w:r>
              <w:rPr>
                <w:sz w:val="21"/>
              </w:rPr>
              <w:t>AES256</w:t>
            </w:r>
            <w:r>
              <w:rPr>
                <w:sz w:val="21"/>
              </w:rPr>
              <w:t>加密算法。</w:t>
            </w:r>
          </w:p>
        </w:tc>
      </w:tr>
      <w:tr>
        <w:tc>
          <w:tcPr>
            <w:tcW w:type="dxa" w:w="2076"/>
          </w:tcPr>
          <w:p/>
        </w:tc>
        <w:tc>
          <w:tcPr>
            <w:tcW w:type="dxa" w:w="415"/>
          </w:tcPr>
          <w:p>
            <w:pPr>
              <w:pStyle w:val="null3"/>
            </w:pPr>
            <w:r>
              <w:rPr/>
              <w:t>3</w:t>
            </w:r>
          </w:p>
        </w:tc>
        <w:tc>
          <w:tcPr>
            <w:tcW w:type="dxa" w:w="5814"/>
          </w:tcPr>
          <w:p>
            <w:pPr>
              <w:pStyle w:val="null3"/>
            </w:pPr>
            <w:r>
              <w:rPr>
                <w:sz w:val="21"/>
              </w:rPr>
              <w:t>其他要求详见采购需求。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采购包1：保证金人民币：38,400.00元整。</w:t>
            </w:r>
          </w:p>
          <w:p>
            <w:pPr>
              <w:pStyle w:val="null3"/>
            </w:pPr>
            <w:r>
              <w:rPr/>
              <w:t xml:space="preserve">开户单位： </w:t>
            </w:r>
            <w:r>
              <w:rPr/>
              <w:t xml:space="preserve"> 推荐通过云平台办理电子保函，其他形式缴纳详见附件《投标保证金缴纳指引》</w:t>
            </w:r>
          </w:p>
          <w:p>
            <w:pPr>
              <w:pStyle w:val="null3"/>
            </w:pPr>
            <w:r>
              <w:rPr/>
              <w:t xml:space="preserve">开户账号： </w:t>
            </w:r>
            <w:r>
              <w:rPr/>
              <w:t>000000</w:t>
            </w:r>
          </w:p>
          <w:p>
            <w:pPr>
              <w:pStyle w:val="null3"/>
            </w:pPr>
            <w:r>
              <w:rPr/>
              <w:t xml:space="preserve">开户银行： </w:t>
            </w:r>
            <w:r>
              <w:rPr/>
              <w:t xml:space="preserve"> 推荐通过云平台办理电子保函，其他形式缴纳详见附件《投标保证金缴纳指引》</w:t>
            </w:r>
          </w:p>
          <w:p>
            <w:pPr>
              <w:pStyle w:val="null3"/>
            </w:pPr>
            <w:r>
              <w:rPr/>
              <w:t xml:space="preserve">支票提交方式： </w:t>
            </w:r>
            <w:r>
              <w:rPr/>
              <w:t xml:space="preserve"> 推荐通过云平台办理电子保函，其他形式缴纳详见附件《投标保证金缴纳指引》</w:t>
            </w:r>
          </w:p>
          <w:p>
            <w:pPr>
              <w:pStyle w:val="null3"/>
            </w:pPr>
            <w:r>
              <w:rPr/>
              <w:t xml:space="preserve">汇票、本票提交方式： </w:t>
            </w:r>
            <w:r>
              <w:rPr/>
              <w:t>如采用转账、支票、本票、汇票形式提交的，投标保证金从供应商账户递交，由广东省政府采购中心代收，并由广东省政府采购中心依法退还。医院不负责退还投标保证金，推荐供应商采用金融机构、专业担保机构开具的投标担保函、投标保证保险函等形式提交投标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采购机构代理服务收费标准：http://gpcgd.gd.gov.cn/ywdt/tzgg/content/post_3049076.html（以中标金额为基数计算）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采购包1(AI服务器和虚拟化服务器)：综合评分法,是指投标文件满足招标文件全部实质性要求，且按照评审因素的量化指标评审得分最高的投标人为中标候选人的评标方法。（最低报价不是中标的唯一依据。）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采购包1（AI服务器和虚拟化服务器）：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1）供应商所投产品属于“环境标志产品政府采购品目清单”范围的，提供国家确定的认证机构出具的、处于有效期之内的环境标志产品认证证书，环境标志产品核实价给予C2的价格扣除。 评审价＝核实价－环境标志产品核实价×C2（C2的取值为1 %）； 2）供应商所投产品属于“节能产品政府采购品目清单”优先采购范围（即非标注星号的产品）的，提供国家确定的认证机构出具的、处于有效期之内的节能标志产品认证证书，节能产品核实价给予C3的价格扣除。 评审价＝核实价－节能产品核实价×C3（C3的取值为1%）；上述节能产品包括节水产品。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采购包1（AI服务器和虚拟化服务器）：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（提供以下2种证明材料之一：①经会计师事务所审计的2023年度财务状况报告；②同时提供a.基本开户行出具的资信证明，b.《基本存款账号信息》或《开户许可证》。）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采购包1（AI服务器和虚拟化服务器）：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投标（报价）总金额是固定价且是唯一的，未超过采购预算，分项报价未超过分项预算。</w:t>
            </w:r>
          </w:p>
        </w:tc>
        <w:tc>
          <w:tcPr>
            <w:tcW w:type="dxa" w:w="4238"/>
          </w:tcPr>
          <w:p>
            <w:pPr>
              <w:pStyle w:val="null3"/>
            </w:pPr>
            <w:r>
              <w:rPr/>
              <w:t>投标（报价）总金额是固定价且是唯一的，未超过采购预算，分项报价未超过分项预算。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4</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5</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8</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11</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12</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13</w:t>
            </w:r>
          </w:p>
        </w:tc>
        <w:tc>
          <w:tcPr>
            <w:tcW w:type="dxa" w:w="3178"/>
          </w:tcPr>
          <w:p>
            <w:pPr>
              <w:pStyle w:val="null3"/>
            </w:pPr>
            <w:r>
              <w:rPr/>
              <w:t>按要求缴纳了投标保证金。</w:t>
            </w:r>
          </w:p>
        </w:tc>
        <w:tc>
          <w:tcPr>
            <w:tcW w:type="dxa" w:w="4238"/>
          </w:tcPr>
          <w:p>
            <w:pPr>
              <w:pStyle w:val="null3"/>
            </w:pPr>
            <w:r>
              <w:rPr/>
              <w:t>按要求缴纳了投标保证金。</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采购包1(AI服务器和虚拟化服务器):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(16.0分)</w:t>
            </w:r>
          </w:p>
        </w:tc>
        <w:tc>
          <w:tcPr>
            <w:tcW w:type="dxa" w:w="5076"/>
          </w:tcPr>
          <w:p>
            <w:pPr>
              <w:pStyle w:val="null3"/>
              <w:jc w:val="left"/>
            </w:pPr>
            <w:r>
              <w:rPr/>
              <w:t>▲条款（共4条），每有一个满足要求得4分，共16分。 如用户需求书▲条款中有明确要求提供证明资料的，投标人无提供或未按要求提供证明材料的不得分；如▲条款中未要求提供证明材料的，以投标人自行响应为准，未响应的视为负偏离。</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根据用户需求书 “售后服务要求”相关要求，对投标人提供的方案进行评价： （1）方案完全满足且优于项目要求的，得4分； （2）方案完全满足项目要求的，得3分； （3）方案不完全满足项目要求的，得2分； （4）未提供或其他不得分。</w:t>
            </w:r>
          </w:p>
        </w:tc>
      </w:tr>
      <w:tr>
        <w:tc>
          <w:tcPr>
            <w:tcW w:type="dxa" w:w="922"/>
            <w:gridSpan w:val="2"/>
            <w:vMerge/>
          </w:tcPr>
          <w:p/>
        </w:tc>
        <w:tc>
          <w:tcPr>
            <w:tcW w:type="dxa" w:w="2307"/>
          </w:tcPr>
          <w:p>
            <w:pPr>
              <w:pStyle w:val="null3"/>
              <w:jc w:val="left"/>
            </w:pPr>
            <w:r>
              <w:rPr/>
              <w:t>产品管理能力 (10.0分)</w:t>
            </w:r>
          </w:p>
        </w:tc>
        <w:tc>
          <w:tcPr>
            <w:tcW w:type="dxa" w:w="5076"/>
          </w:tcPr>
          <w:p>
            <w:pPr>
              <w:pStyle w:val="null3"/>
              <w:jc w:val="left"/>
            </w:pPr>
            <w:r>
              <w:rPr/>
              <w:t>1、批量运维：提供一个支持在现场运维工具，支持以下所有批量功能：iBMC/BIOS/Raid的批量配置、OS部署、固件升级、设备健康检查、日志收集、设备配置检查。提供官网软件下载链接及对应官网证明材料截图。 2、能耗管理：支持服务器风扇智能调速，有节能模式、低噪声模式、高性能模式、自定义模式等多种模式可供选择。提供官网可供下载的技术白皮书材料证明。 3、高可靠：服务器管理软件的固件支持双镜像备份。提供官网可供下载的技术白皮书材料证明。 4、维保管理：支持提供电子保单信息查询和配置能力，便于在服务器设备上录入维保服务起始时间和服务年限信息，方便集中批量统计设备维保状态。提供官网可供下载的技术白皮书材料证明。 以上功能每满足一项得2.5分，最高10分。</w:t>
            </w:r>
          </w:p>
        </w:tc>
      </w:tr>
      <w:tr>
        <w:tc>
          <w:tcPr>
            <w:tcW w:type="dxa" w:w="922"/>
            <w:gridSpan w:val="2"/>
            <w:vMerge/>
          </w:tcPr>
          <w:p/>
        </w:tc>
        <w:tc>
          <w:tcPr>
            <w:tcW w:type="dxa" w:w="2307"/>
          </w:tcPr>
          <w:p>
            <w:pPr>
              <w:pStyle w:val="null3"/>
              <w:jc w:val="left"/>
            </w:pPr>
            <w:r>
              <w:rPr/>
              <w:t>服务器生产厂商资质 (10.0分)</w:t>
            </w:r>
          </w:p>
        </w:tc>
        <w:tc>
          <w:tcPr>
            <w:tcW w:type="dxa" w:w="5076"/>
          </w:tcPr>
          <w:p>
            <w:pPr>
              <w:pStyle w:val="null3"/>
              <w:jc w:val="left"/>
            </w:pPr>
            <w:r>
              <w:rPr/>
              <w:t>1、服务器生产厂商均通过GB/T 27922-2011《商品售后服务评价体系》标准要求，提供证书复印件。 2、服务器生产厂商均具备ISO9001质量管理体系认证证书（认证范围与计算机设备相关）。 以上每提供一项得5分，满分10分。 1-2项备注：提供证书复印件，并须同时提供在“全国认证认可信息公共服务平台”对体系证书的信息查询截图作为评审依据，已暂停、失效或撤消或不提供的对应项不得分；新设立企业成立时间不足3个月导致无法获得上述证书的，对应项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(12.0分)</w:t>
            </w:r>
          </w:p>
        </w:tc>
        <w:tc>
          <w:tcPr>
            <w:tcW w:type="dxa" w:w="5076"/>
          </w:tcPr>
          <w:p>
            <w:pPr>
              <w:pStyle w:val="null3"/>
              <w:jc w:val="left"/>
            </w:pPr>
            <w:r>
              <w:rPr/>
              <w:t>根据供应商2021年1月1日以来（以合同签订时间为准）至今，投标人承担过同类项目业绩（系统集成或服务器相关业绩）评分：每个案例得3分，最多12分。 备注：须提供合同关键页（标的页、合同金额页、盖章页），合同须能体现相关业绩内容。</w:t>
            </w:r>
          </w:p>
        </w:tc>
      </w:tr>
      <w:tr>
        <w:tc>
          <w:tcPr>
            <w:tcW w:type="dxa" w:w="922"/>
            <w:gridSpan w:val="2"/>
            <w:vMerge/>
          </w:tcPr>
          <w:p/>
        </w:tc>
        <w:tc>
          <w:tcPr>
            <w:tcW w:type="dxa" w:w="2307"/>
          </w:tcPr>
          <w:p>
            <w:pPr>
              <w:pStyle w:val="null3"/>
              <w:jc w:val="left"/>
            </w:pPr>
            <w:r>
              <w:rPr/>
              <w:t>资质情况 (4.0分)</w:t>
            </w:r>
          </w:p>
        </w:tc>
        <w:tc>
          <w:tcPr>
            <w:tcW w:type="dxa" w:w="5076"/>
          </w:tcPr>
          <w:p>
            <w:pPr>
              <w:pStyle w:val="null3"/>
              <w:jc w:val="left"/>
            </w:pPr>
            <w:r>
              <w:rPr/>
              <w:t>投标人具有有效期内的质量管理体系认证证书，认证范围与计算机设备相关，满足得4分，不提供不得分。 注：投标人应提供上述有效证书扫描件及“全国认证认可信息公共服务平台”（网址http://www.cnca.gov.cn/）互联网查询截图（证书状态须为有效）并加盖投标人公章，否则不得分。如因投标人成立时间不足3个月导致无法获得上述评价的，对应项得分。</w:t>
            </w:r>
          </w:p>
        </w:tc>
      </w:tr>
      <w:tr>
        <w:tc>
          <w:tcPr>
            <w:tcW w:type="dxa" w:w="922"/>
            <w:gridSpan w:val="2"/>
            <w:vMerge/>
          </w:tcPr>
          <w:p/>
        </w:tc>
        <w:tc>
          <w:tcPr>
            <w:tcW w:type="dxa" w:w="2307"/>
          </w:tcPr>
          <w:p>
            <w:pPr>
              <w:pStyle w:val="null3"/>
              <w:jc w:val="left"/>
            </w:pPr>
            <w:r>
              <w:rPr/>
              <w:t>项目经理 (4.0分)</w:t>
            </w:r>
          </w:p>
        </w:tc>
        <w:tc>
          <w:tcPr>
            <w:tcW w:type="dxa" w:w="5076"/>
          </w:tcPr>
          <w:p>
            <w:pPr>
              <w:pStyle w:val="null3"/>
              <w:jc w:val="left"/>
            </w:pPr>
            <w:r>
              <w:rPr/>
              <w:t>项目经理具有网络工程师证书。满足得4分。 备注：提供有效证书复印件及报价人自2024年3月以来任意1个月为其缴纳社保（须至少体现养老保险）的证明材料的复印件为证明材料，未按要求提供相关材料或复印件不清晰导致无法识别的不计得分。</w:t>
            </w:r>
          </w:p>
        </w:tc>
      </w:tr>
      <w:tr>
        <w:tc>
          <w:tcPr>
            <w:tcW w:type="dxa" w:w="922"/>
            <w:gridSpan w:val="2"/>
            <w:vMerge/>
          </w:tcPr>
          <w:p/>
        </w:tc>
        <w:tc>
          <w:tcPr>
            <w:tcW w:type="dxa" w:w="2307"/>
          </w:tcPr>
          <w:p>
            <w:pPr>
              <w:pStyle w:val="null3"/>
              <w:jc w:val="left"/>
            </w:pPr>
            <w:r>
              <w:rPr/>
              <w:t>技术负责人（非项目经理） (6.0分)</w:t>
            </w:r>
          </w:p>
        </w:tc>
        <w:tc>
          <w:tcPr>
            <w:tcW w:type="dxa" w:w="5076"/>
          </w:tcPr>
          <w:p>
            <w:pPr>
              <w:pStyle w:val="null3"/>
              <w:jc w:val="left"/>
            </w:pPr>
            <w:r>
              <w:rPr/>
              <w:t>供应商为本项目安排的技术负责人具有以下证书，每个得2分，共6分： （1）具备信息安全工程师（计算机技术与软件专业技术资格）或注册信息安全专业人员（CISP）（信息安全测评中心颁发）或者信息安全保障人员认证CISAW (中国网络安全审查技术与认证中心颁发)； （2）具备软件工程或电子信息或网络安全相关专业硕士或以上学位； （3）具有网络工程师证书。 注：提供有效证书复印件及报价人自2024年3月以来任意1个月为其缴纳社保（须至少体现养老保险）的证明材料的复印件为证明材料，未按要求提供相关材料或复印件不清晰导致无法识别的不计得分。供应商如提供国（境）外学位证书的，须同时提供中文翻译及教育部留学服务中心出具的“国外学历学位认证书”，否则不得分。</w:t>
            </w:r>
          </w:p>
        </w:tc>
      </w:tr>
      <w:tr>
        <w:tc>
          <w:tcPr>
            <w:tcW w:type="dxa" w:w="922"/>
            <w:gridSpan w:val="2"/>
            <w:vMerge/>
          </w:tcPr>
          <w:p/>
        </w:tc>
        <w:tc>
          <w:tcPr>
            <w:tcW w:type="dxa" w:w="2307"/>
          </w:tcPr>
          <w:p>
            <w:pPr>
              <w:pStyle w:val="null3"/>
              <w:jc w:val="left"/>
            </w:pPr>
            <w:r>
              <w:rPr/>
              <w:t>团队技术人员（不含项目经理、技术负责人） (4.0分)</w:t>
            </w:r>
          </w:p>
        </w:tc>
        <w:tc>
          <w:tcPr>
            <w:tcW w:type="dxa" w:w="5076"/>
          </w:tcPr>
          <w:p>
            <w:pPr>
              <w:pStyle w:val="null3"/>
              <w:jc w:val="left"/>
            </w:pPr>
            <w:r>
              <w:rPr/>
              <w:t>具有中国信息安全测评中心颁发的信息安全工程师（计算机技术与软件专业技术资格）或注册信息安全专业人员（CISP）（信息安全测评中心颁发）或者信息安全保障人员认证CISAW (中国网络安全审查技术与认证中心颁发)、网络工程师证书中的一个或多个证书，每人得1分，本项最高的得4分。1人有多种证书按1名人员计算。 备注：提供有效证书复印件及报价人自2024年3月以来任意1个月为其缴纳社保（须至少体现养老保险）的证明材料的复印件为证明材料，未按要求提供相关材料或复印件不清晰导致无法识别的不计得分。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ind w:firstLine="2349"/>
      </w:pPr>
      <w:r>
        <w:rPr>
          <w:sz w:val="52"/>
          <w:b/>
        </w:rPr>
        <w:t>广东省人民医院</w:t>
      </w:r>
    </w:p>
    <w:p>
      <w:pPr>
        <w:pStyle w:val="null3"/>
        <w:spacing w:before="150"/>
        <w:jc w:val="center"/>
      </w:pPr>
      <w:r>
        <w:rPr>
          <w:sz w:val="52"/>
          <w:b/>
        </w:rPr>
        <w:t>信息设备（产品）采购合同</w:t>
      </w:r>
    </w:p>
    <w:p>
      <w:pPr>
        <w:pStyle w:val="null3"/>
        <w:spacing w:before="150"/>
        <w:jc w:val="both"/>
      </w:pPr>
      <w:r>
        <w:rPr>
          <w:sz w:val="32"/>
          <w:b/>
        </w:rPr>
        <w:t>项目名称：</w:t>
      </w:r>
    </w:p>
    <w:p>
      <w:pPr>
        <w:pStyle w:val="null3"/>
        <w:spacing w:before="150"/>
        <w:ind w:left="1050"/>
        <w:jc w:val="both"/>
      </w:pPr>
      <w:r>
        <w:rPr>
          <w:sz w:val="32"/>
          <w:b/>
        </w:rPr>
        <w:t>甲</w:t>
      </w:r>
      <w:r>
        <w:rPr>
          <w:sz w:val="20"/>
          <w:b/>
        </w:rPr>
        <w:t xml:space="preserve">    </w:t>
      </w:r>
      <w:r>
        <w:rPr>
          <w:sz w:val="32"/>
          <w:b/>
        </w:rPr>
        <w:t>方：</w:t>
      </w:r>
    </w:p>
    <w:p>
      <w:pPr>
        <w:pStyle w:val="null3"/>
        <w:spacing w:before="150"/>
        <w:ind w:left="1050"/>
        <w:jc w:val="both"/>
      </w:pPr>
      <w:r>
        <w:rPr>
          <w:sz w:val="32"/>
          <w:b/>
        </w:rPr>
        <w:t>乙</w:t>
      </w:r>
      <w:r>
        <w:rPr>
          <w:sz w:val="20"/>
          <w:b/>
        </w:rPr>
        <w:t xml:space="preserve">    </w:t>
      </w:r>
      <w:r>
        <w:rPr>
          <w:sz w:val="32"/>
          <w:b/>
        </w:rPr>
        <w:t>方：</w:t>
      </w:r>
    </w:p>
    <w:p>
      <w:pPr>
        <w:pStyle w:val="null3"/>
      </w:pPr>
      <w:r>
        <w:rPr>
          <w:sz w:val="28"/>
          <w:b/>
        </w:rPr>
        <w:t>第一条</w:t>
      </w:r>
      <w:r>
        <w:rPr>
          <w:sz w:val="28"/>
          <w:b/>
        </w:rPr>
        <w:t>合同总则</w:t>
      </w:r>
    </w:p>
    <w:p>
      <w:pPr>
        <w:pStyle w:val="null3"/>
        <w:spacing w:before="120"/>
        <w:ind w:firstLine="480"/>
        <w:jc w:val="both"/>
      </w:pPr>
      <w:r>
        <w:rPr>
          <w:sz w:val="24"/>
          <w:b/>
        </w:rPr>
        <w:t>一、</w:t>
      </w:r>
      <w:r>
        <w:rPr>
          <w:sz w:val="20"/>
          <w:b/>
        </w:rPr>
        <w:t xml:space="preserve">    </w:t>
      </w:r>
      <w:r>
        <w:rPr>
          <w:sz w:val="24"/>
          <w:b/>
        </w:rPr>
        <w:t>本合同的签署方</w:t>
      </w:r>
    </w:p>
    <w:p>
      <w:pPr>
        <w:pStyle w:val="null3"/>
        <w:ind w:firstLine="480"/>
        <w:jc w:val="both"/>
      </w:pPr>
      <w:r>
        <w:rPr>
          <w:sz w:val="24"/>
        </w:rPr>
        <w:t>甲方：</w:t>
      </w:r>
      <w:r>
        <w:rPr>
          <w:sz w:val="24"/>
        </w:rPr>
        <w:t>广东省人民医院</w:t>
      </w:r>
    </w:p>
    <w:p>
      <w:pPr>
        <w:pStyle w:val="null3"/>
        <w:ind w:firstLine="480"/>
        <w:jc w:val="both"/>
      </w:pPr>
      <w:r>
        <w:rPr>
          <w:sz w:val="24"/>
        </w:rPr>
        <w:t>乙方：</w:t>
      </w:r>
      <w:r>
        <w:rPr>
          <w:sz w:val="24"/>
        </w:rPr>
        <w:t xml:space="preserve"> ___________________________</w:t>
      </w:r>
    </w:p>
    <w:p>
      <w:pPr>
        <w:pStyle w:val="null3"/>
        <w:spacing w:before="120"/>
        <w:ind w:firstLine="480"/>
        <w:jc w:val="both"/>
      </w:pPr>
      <w:r>
        <w:rPr>
          <w:sz w:val="24"/>
          <w:b/>
        </w:rPr>
        <w:t>二、</w:t>
      </w:r>
      <w:r>
        <w:rPr>
          <w:sz w:val="20"/>
          <w:b/>
        </w:rPr>
        <w:t xml:space="preserve">    </w:t>
      </w:r>
      <w:r>
        <w:rPr>
          <w:sz w:val="24"/>
          <w:b/>
        </w:rPr>
        <w:t>项目名称</w:t>
      </w:r>
    </w:p>
    <w:p>
      <w:pPr>
        <w:pStyle w:val="null3"/>
        <w:ind w:firstLine="480"/>
        <w:jc w:val="both"/>
      </w:pPr>
      <w:r>
        <w:rPr>
          <w:sz w:val="24"/>
          <w:color w:val="000000"/>
        </w:rPr>
        <w:t>根据项目的采购结果，按照</w:t>
      </w:r>
      <w:r>
        <w:rPr>
          <w:sz w:val="24"/>
        </w:rPr>
        <w:t>《中华人民共和国民法典》</w:t>
      </w:r>
      <w:r>
        <w:rPr>
          <w:sz w:val="24"/>
          <w:color w:val="000000"/>
        </w:rPr>
        <w:t>，经甲乙双方友好协商一致：甲方向乙方购买信息设备（产品）清单中的物品，并签订本合同。</w:t>
      </w:r>
    </w:p>
    <w:p>
      <w:pPr>
        <w:pStyle w:val="null3"/>
        <w:jc w:val="center"/>
      </w:pPr>
      <w:r>
        <w:rPr>
          <w:sz w:val="28"/>
          <w:b/>
        </w:rPr>
        <w:t>信息设备（产品）清单</w:t>
      </w:r>
    </w:p>
    <w:tbl>
      <w:tblPr>
        <w:tblW w:w="0" w:type="auto"/>
        <w:tblBorders>
          <w:top w:val="none" w:color="000000" w:sz="4"/>
          <w:left w:val="none" w:color="000000" w:sz="4"/>
          <w:bottom w:val="none" w:color="000000" w:sz="4"/>
          <w:right w:val="none" w:color="000000" w:sz="4"/>
          <w:insideH w:val="none"/>
          <w:insideV w:val="none"/>
        </w:tblBorders>
      </w:tblPr>
      <w:tblGrid>
        <w:gridCol w:w="688"/>
        <w:gridCol w:w="2215"/>
        <w:gridCol w:w="943"/>
        <w:gridCol w:w="1287"/>
        <w:gridCol w:w="1033"/>
        <w:gridCol w:w="943"/>
        <w:gridCol w:w="1197"/>
      </w:tblGrid>
      <w:tr>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2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产品名称</w:t>
            </w:r>
          </w:p>
        </w:tc>
        <w:tc>
          <w:tcPr>
            <w:tcW w:type="dxa" w:w="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型号</w:t>
            </w:r>
          </w:p>
        </w:tc>
        <w:tc>
          <w:tcPr>
            <w:tcW w:type="dxa" w:w="1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描述</w:t>
            </w:r>
          </w:p>
        </w:tc>
        <w:tc>
          <w:tcPr>
            <w:tcW w:type="dxa" w:w="1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单价</w:t>
            </w:r>
          </w:p>
        </w:tc>
        <w:tc>
          <w:tcPr>
            <w:tcW w:type="dxa" w:w="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1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总价</w:t>
            </w: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w:t>
            </w: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2</w:t>
            </w: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3</w:t>
            </w: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w:t>
            </w:r>
          </w:p>
        </w:tc>
        <w:tc>
          <w:tcPr>
            <w:tcW w:type="dxa" w:w="2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0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合</w:t>
            </w:r>
            <w:r>
              <w:rPr>
                <w:sz w:val="20"/>
                <w:b/>
              </w:rPr>
              <w:t xml:space="preserve">  </w:t>
            </w:r>
            <w:r>
              <w:rPr>
                <w:sz w:val="24"/>
                <w:b/>
              </w:rPr>
              <w:t>计</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right"/>
      </w:pPr>
      <w:r>
        <w:rPr>
          <w:sz w:val="18"/>
        </w:rPr>
        <w:t>（单位：元）</w:t>
      </w:r>
    </w:p>
    <w:p>
      <w:pPr>
        <w:pStyle w:val="null3"/>
        <w:spacing w:before="120"/>
        <w:ind w:firstLine="480"/>
        <w:jc w:val="both"/>
      </w:pPr>
      <w:r>
        <w:rPr>
          <w:sz w:val="24"/>
          <w:b/>
        </w:rPr>
        <w:t>（一）设备要求</w:t>
      </w:r>
    </w:p>
    <w:p>
      <w:pPr>
        <w:pStyle w:val="null3"/>
        <w:ind w:firstLine="480"/>
        <w:jc w:val="both"/>
      </w:pPr>
      <w:r>
        <w:rPr>
          <w:sz w:val="24"/>
          <w:color w:val="000000"/>
        </w:rPr>
        <w:t>1</w:t>
      </w:r>
      <w:r>
        <w:rPr>
          <w:sz w:val="24"/>
          <w:color w:val="000000"/>
        </w:rPr>
        <w:t>．货物为原制造商制造的全新产品，整机无污染，无侵权行为、表面无划损、无任何缺陷隐患，在中国境内可依常规安全合法使用。</w:t>
      </w:r>
    </w:p>
    <w:p>
      <w:pPr>
        <w:pStyle w:val="null3"/>
        <w:ind w:firstLine="480"/>
        <w:jc w:val="both"/>
      </w:pPr>
      <w:r>
        <w:rPr>
          <w:sz w:val="24"/>
          <w:color w:val="000000"/>
        </w:rPr>
        <w:t>2</w:t>
      </w:r>
      <w:r>
        <w:rPr>
          <w:sz w:val="24"/>
          <w:color w:val="000000"/>
        </w:rPr>
        <w:t>．标准：本合同所指的货物及服务应符合合同附件的技术规格所述的标准：如果没有提及适用标准，则应符合中华人民共和国国家标准或行业标准；如果中华人民共和国没有相关标准的，则采用货物来源国适用的官方标准。这些标准必须是有关机构发布的最新版本的标准。</w:t>
      </w:r>
    </w:p>
    <w:p>
      <w:pPr>
        <w:pStyle w:val="null3"/>
        <w:ind w:left="885"/>
        <w:jc w:val="center"/>
      </w:pPr>
      <w:r>
        <w:rPr>
          <w:sz w:val="28"/>
          <w:b/>
        </w:rPr>
        <w:t>第二条</w:t>
      </w:r>
      <w:r>
        <w:rPr>
          <w:sz w:val="20"/>
          <w:b/>
        </w:rPr>
        <w:t xml:space="preserve">   </w:t>
      </w:r>
      <w:r>
        <w:rPr>
          <w:sz w:val="28"/>
          <w:b/>
        </w:rPr>
        <w:t>运输方式及费用</w:t>
      </w:r>
    </w:p>
    <w:p>
      <w:pPr>
        <w:pStyle w:val="null3"/>
        <w:spacing w:before="120"/>
        <w:ind w:firstLine="480"/>
        <w:jc w:val="both"/>
      </w:pPr>
      <w:r>
        <w:rPr>
          <w:sz w:val="24"/>
          <w:b/>
        </w:rPr>
        <w:t>一、</w:t>
      </w:r>
      <w:r>
        <w:rPr>
          <w:sz w:val="20"/>
          <w:b/>
        </w:rPr>
        <w:t xml:space="preserve">    </w:t>
      </w:r>
      <w:r>
        <w:rPr>
          <w:sz w:val="24"/>
          <w:b/>
        </w:rPr>
        <w:t>运输方式：</w:t>
      </w:r>
      <w:r>
        <w:rPr>
          <w:sz w:val="24"/>
          <w:b/>
        </w:rPr>
        <w:t></w:t>
      </w:r>
      <w:r>
        <w:rPr>
          <w:sz w:val="24"/>
          <w:b/>
        </w:rPr>
        <w:t>铁快航空</w:t>
      </w:r>
      <w:r>
        <w:rPr>
          <w:sz w:val="24"/>
          <w:b/>
        </w:rPr>
        <w:t xml:space="preserve">  </w:t>
      </w:r>
      <w:r>
        <w:rPr>
          <w:sz w:val="24"/>
          <w:b/>
        </w:rPr>
        <w:t>汽运</w:t>
      </w:r>
      <w:r>
        <w:rPr>
          <w:sz w:val="24"/>
          <w:b/>
        </w:rPr>
        <w:t xml:space="preserve">  EMS</w:t>
      </w:r>
      <w:r>
        <w:rPr>
          <w:sz w:val="24"/>
          <w:b/>
        </w:rPr>
        <w:t>快递</w:t>
      </w:r>
      <w:r>
        <w:rPr>
          <w:sz w:val="24"/>
          <w:b/>
        </w:rPr>
        <w:t xml:space="preserve">  </w:t>
      </w:r>
      <w:r>
        <w:rPr>
          <w:sz w:val="24"/>
          <w:b/>
        </w:rPr>
        <w:t>自提</w:t>
      </w:r>
    </w:p>
    <w:p>
      <w:pPr>
        <w:pStyle w:val="null3"/>
        <w:spacing w:before="120"/>
        <w:ind w:firstLine="480"/>
        <w:jc w:val="both"/>
      </w:pPr>
      <w:r>
        <w:rPr>
          <w:sz w:val="24"/>
          <w:b/>
        </w:rPr>
        <w:t>二、</w:t>
      </w:r>
      <w:r>
        <w:rPr>
          <w:sz w:val="20"/>
          <w:b/>
        </w:rPr>
        <w:t xml:space="preserve">    </w:t>
      </w:r>
      <w:r>
        <w:rPr>
          <w:sz w:val="24"/>
          <w:b/>
        </w:rPr>
        <w:t>运输费用：</w:t>
      </w:r>
      <w:r>
        <w:rPr>
          <w:sz w:val="24"/>
          <w:b/>
        </w:rPr>
        <w:t></w:t>
      </w:r>
      <w:r>
        <w:rPr>
          <w:sz w:val="24"/>
          <w:b/>
        </w:rPr>
        <w:t>供方</w:t>
      </w:r>
      <w:r>
        <w:rPr>
          <w:sz w:val="24"/>
          <w:b/>
        </w:rPr>
        <w:t xml:space="preserve">  </w:t>
      </w:r>
      <w:r>
        <w:rPr>
          <w:sz w:val="24"/>
          <w:b/>
        </w:rPr>
        <w:t>需方</w:t>
      </w:r>
      <w:r>
        <w:rPr>
          <w:sz w:val="20"/>
          <w:b/>
        </w:rPr>
        <w:t xml:space="preserve">  </w:t>
      </w:r>
      <w:r>
        <w:rPr>
          <w:sz w:val="24"/>
          <w:b/>
        </w:rPr>
        <w:t>负责货物运费。</w:t>
      </w:r>
    </w:p>
    <w:p>
      <w:pPr>
        <w:pStyle w:val="null3"/>
        <w:spacing w:before="120"/>
        <w:ind w:firstLine="480"/>
        <w:jc w:val="both"/>
      </w:pPr>
      <w:r>
        <w:rPr>
          <w:sz w:val="24"/>
          <w:b/>
        </w:rPr>
        <w:t>三、</w:t>
      </w:r>
      <w:r>
        <w:rPr>
          <w:sz w:val="20"/>
          <w:b/>
        </w:rPr>
        <w:t xml:space="preserve">    </w:t>
      </w:r>
      <w:r>
        <w:rPr>
          <w:sz w:val="24"/>
          <w:b/>
        </w:rPr>
        <w:t>甲方货运详细地址：</w:t>
      </w:r>
      <w:r>
        <w:rPr>
          <w:sz w:val="24"/>
          <w:b/>
        </w:rPr>
        <w:t>__</w:t>
      </w:r>
      <w:r>
        <w:rPr>
          <w:sz w:val="24"/>
          <w:b/>
        </w:rPr>
        <w:t>广东省人民医院办公楼</w:t>
      </w:r>
      <w:r>
        <w:rPr>
          <w:sz w:val="24"/>
          <w:b/>
        </w:rPr>
        <w:t>5</w:t>
      </w:r>
      <w:r>
        <w:rPr>
          <w:sz w:val="24"/>
          <w:b/>
        </w:rPr>
        <w:t>楼</w:t>
      </w:r>
      <w:r>
        <w:rPr>
          <w:sz w:val="24"/>
          <w:b/>
        </w:rPr>
        <w:t>_______</w:t>
      </w:r>
    </w:p>
    <w:p>
      <w:pPr>
        <w:pStyle w:val="null3"/>
        <w:spacing w:before="120"/>
        <w:ind w:firstLine="480"/>
        <w:jc w:val="both"/>
      </w:pPr>
      <w:r>
        <w:rPr>
          <w:sz w:val="24"/>
          <w:b/>
        </w:rPr>
        <w:t>四、</w:t>
      </w:r>
      <w:r>
        <w:rPr>
          <w:sz w:val="20"/>
          <w:b/>
        </w:rPr>
        <w:t xml:space="preserve">    </w:t>
      </w:r>
      <w:r>
        <w:rPr>
          <w:sz w:val="24"/>
          <w:b/>
        </w:rPr>
        <w:t>甲方收货人：</w:t>
      </w:r>
      <w:r>
        <w:rPr>
          <w:sz w:val="24"/>
          <w:b/>
        </w:rPr>
        <w:t>___________________________________</w:t>
      </w:r>
    </w:p>
    <w:p>
      <w:pPr>
        <w:pStyle w:val="null3"/>
        <w:jc w:val="both"/>
      </w:pPr>
      <w:r>
        <w:rPr>
          <w:sz w:val="28"/>
          <w:b/>
        </w:rPr>
        <w:t>第三条</w:t>
      </w:r>
      <w:r>
        <w:rPr>
          <w:sz w:val="20"/>
          <w:b/>
        </w:rPr>
        <w:t xml:space="preserve">   </w:t>
      </w:r>
      <w:r>
        <w:rPr>
          <w:sz w:val="28"/>
          <w:b/>
        </w:rPr>
        <w:t>交货日期、方式</w:t>
      </w:r>
    </w:p>
    <w:p>
      <w:pPr>
        <w:pStyle w:val="null3"/>
        <w:spacing w:before="120"/>
        <w:ind w:firstLine="480"/>
        <w:jc w:val="both"/>
      </w:pPr>
      <w:r>
        <w:rPr>
          <w:sz w:val="24"/>
          <w:b/>
        </w:rPr>
        <w:t>一、</w:t>
      </w:r>
      <w:r>
        <w:rPr>
          <w:sz w:val="20"/>
          <w:b/>
        </w:rPr>
        <w:t xml:space="preserve">    </w:t>
      </w:r>
      <w:r>
        <w:rPr>
          <w:sz w:val="24"/>
          <w:b/>
        </w:rPr>
        <w:t>交货日期</w:t>
      </w:r>
    </w:p>
    <w:p>
      <w:pPr>
        <w:pStyle w:val="null3"/>
        <w:ind w:firstLine="480"/>
        <w:jc w:val="both"/>
      </w:pPr>
      <w:r>
        <w:rPr>
          <w:sz w:val="24"/>
          <w:color w:val="000000"/>
        </w:rPr>
        <w:t>(</w:t>
      </w:r>
      <w:r>
        <w:rPr>
          <w:sz w:val="24"/>
          <w:color w:val="000000"/>
        </w:rPr>
        <w:t>一</w:t>
      </w:r>
      <w:r>
        <w:rPr>
          <w:sz w:val="24"/>
          <w:color w:val="000000"/>
        </w:rPr>
        <w:t xml:space="preserve">)     </w:t>
      </w:r>
      <w:r>
        <w:rPr>
          <w:sz w:val="24"/>
          <w:color w:val="000000"/>
        </w:rPr>
        <w:t>乙方须在甲方支付合同首款后的</w:t>
      </w:r>
      <w:r>
        <w:rPr>
          <w:sz w:val="24"/>
          <w:color w:val="000000"/>
        </w:rPr>
        <w:t>______</w:t>
      </w:r>
      <w:r>
        <w:rPr>
          <w:sz w:val="24"/>
          <w:color w:val="000000"/>
        </w:rPr>
        <w:t>个工作日内向甲方提交信息设备（产品）清单中的物品。</w:t>
      </w:r>
    </w:p>
    <w:p>
      <w:pPr>
        <w:pStyle w:val="null3"/>
        <w:ind w:firstLine="480"/>
        <w:jc w:val="both"/>
      </w:pPr>
      <w:r>
        <w:rPr>
          <w:sz w:val="24"/>
          <w:color w:val="000000"/>
        </w:rPr>
        <w:t>(</w:t>
      </w:r>
      <w:r>
        <w:rPr>
          <w:sz w:val="24"/>
          <w:color w:val="000000"/>
        </w:rPr>
        <w:t>二</w:t>
      </w:r>
      <w:r>
        <w:rPr>
          <w:sz w:val="24"/>
          <w:color w:val="000000"/>
        </w:rPr>
        <w:t xml:space="preserve">)     </w:t>
      </w:r>
      <w:r>
        <w:rPr>
          <w:sz w:val="24"/>
          <w:color w:val="000000"/>
        </w:rPr>
        <w:t>交货日期以货物到达甲方指定货运详细地址的日期为准。</w:t>
      </w:r>
    </w:p>
    <w:p>
      <w:pPr>
        <w:pStyle w:val="null3"/>
        <w:spacing w:before="120"/>
        <w:ind w:firstLine="480"/>
        <w:jc w:val="both"/>
      </w:pPr>
      <w:r>
        <w:rPr>
          <w:sz w:val="24"/>
          <w:b/>
        </w:rPr>
        <w:t>二、</w:t>
      </w:r>
      <w:r>
        <w:rPr>
          <w:sz w:val="20"/>
          <w:b/>
        </w:rPr>
        <w:t xml:space="preserve">    </w:t>
      </w:r>
      <w:r>
        <w:rPr>
          <w:sz w:val="24"/>
          <w:b/>
        </w:rPr>
        <w:t>交货方式</w:t>
      </w:r>
    </w:p>
    <w:p>
      <w:pPr>
        <w:pStyle w:val="null3"/>
        <w:ind w:firstLine="480"/>
        <w:jc w:val="both"/>
      </w:pPr>
      <w:r>
        <w:rPr>
          <w:sz w:val="24"/>
          <w:color w:val="000000"/>
        </w:rPr>
        <w:t>(</w:t>
      </w:r>
      <w:r>
        <w:rPr>
          <w:sz w:val="24"/>
          <w:color w:val="000000"/>
        </w:rPr>
        <w:t>一</w:t>
      </w:r>
      <w:r>
        <w:rPr>
          <w:sz w:val="24"/>
          <w:color w:val="000000"/>
        </w:rPr>
        <w:t xml:space="preserve">)     </w:t>
      </w:r>
      <w:r>
        <w:rPr>
          <w:sz w:val="24"/>
          <w:color w:val="000000"/>
        </w:rPr>
        <w:t>甲方在收到货物时不得无故拒收信息设备（产品）清单中的物品。</w:t>
      </w:r>
    </w:p>
    <w:p>
      <w:pPr>
        <w:pStyle w:val="null3"/>
        <w:ind w:firstLine="480"/>
        <w:jc w:val="both"/>
      </w:pPr>
      <w:r>
        <w:rPr>
          <w:sz w:val="24"/>
          <w:color w:val="000000"/>
        </w:rPr>
        <w:t>(</w:t>
      </w:r>
      <w:r>
        <w:rPr>
          <w:sz w:val="24"/>
          <w:color w:val="000000"/>
        </w:rPr>
        <w:t>二</w:t>
      </w:r>
      <w:r>
        <w:rPr>
          <w:sz w:val="24"/>
          <w:color w:val="000000"/>
        </w:rPr>
        <w:t xml:space="preserve">)     </w:t>
      </w:r>
      <w:r>
        <w:rPr>
          <w:sz w:val="24"/>
          <w:color w:val="000000"/>
        </w:rPr>
        <w:t>如需分批交货，甲方应按照分批交货金额分批结算；结算期依据合同约定付款方式类推。</w:t>
      </w:r>
    </w:p>
    <w:p>
      <w:pPr>
        <w:pStyle w:val="null3"/>
        <w:ind w:firstLine="480"/>
        <w:jc w:val="both"/>
      </w:pPr>
      <w:r>
        <w:rPr>
          <w:sz w:val="24"/>
          <w:color w:val="000000"/>
        </w:rPr>
        <w:t>(</w:t>
      </w:r>
      <w:r>
        <w:rPr>
          <w:sz w:val="24"/>
          <w:color w:val="000000"/>
        </w:rPr>
        <w:t>三</w:t>
      </w:r>
      <w:r>
        <w:rPr>
          <w:sz w:val="24"/>
          <w:color w:val="000000"/>
        </w:rPr>
        <w:t xml:space="preserve">)     </w:t>
      </w:r>
      <w:r>
        <w:rPr>
          <w:sz w:val="24"/>
          <w:color w:val="000000"/>
        </w:rPr>
        <w:t>乙方应按时将货物送至甲方指定货运详细地址，如因甲方原因或临时变更送货地点的原因，导致乙方无法送货或无法按时送货，乙方不承担责任，且甲方应承担因此给乙方增加的费用。</w:t>
      </w:r>
    </w:p>
    <w:p>
      <w:pPr>
        <w:pStyle w:val="null3"/>
        <w:ind w:firstLine="480"/>
        <w:jc w:val="both"/>
      </w:pPr>
      <w:r>
        <w:rPr>
          <w:sz w:val="24"/>
          <w:color w:val="000000"/>
        </w:rPr>
        <w:t>(</w:t>
      </w:r>
      <w:r>
        <w:rPr>
          <w:sz w:val="24"/>
          <w:color w:val="000000"/>
        </w:rPr>
        <w:t>四</w:t>
      </w:r>
      <w:r>
        <w:rPr>
          <w:sz w:val="24"/>
          <w:color w:val="000000"/>
        </w:rPr>
        <w:t xml:space="preserve">)     </w:t>
      </w:r>
      <w:r>
        <w:rPr>
          <w:sz w:val="24"/>
          <w:color w:val="000000"/>
        </w:rPr>
        <w:t>交货完成的有效证明：乙方送货人，必须随货物提交交货签收单给甲方收货人，交货签收单必须有甲方、乙方两方的签字方有效。</w:t>
      </w:r>
    </w:p>
    <w:p>
      <w:pPr>
        <w:pStyle w:val="null3"/>
        <w:ind w:firstLine="480"/>
        <w:jc w:val="both"/>
      </w:pPr>
      <w:r>
        <w:rPr>
          <w:sz w:val="24"/>
          <w:color w:val="000000"/>
        </w:rPr>
        <w:t>(</w:t>
      </w:r>
      <w:r>
        <w:rPr>
          <w:sz w:val="24"/>
          <w:color w:val="000000"/>
        </w:rPr>
        <w:t>五</w:t>
      </w:r>
      <w:r>
        <w:rPr>
          <w:sz w:val="24"/>
          <w:color w:val="000000"/>
        </w:rPr>
        <w:t xml:space="preserve">)     </w:t>
      </w:r>
      <w:r>
        <w:rPr>
          <w:sz w:val="24"/>
          <w:color w:val="000000"/>
        </w:rPr>
        <w:t>风险转移：货物损毁的风险自甲方收货之日起凭交货完成的有效证明转移到甲方。</w:t>
      </w:r>
    </w:p>
    <w:p>
      <w:pPr>
        <w:pStyle w:val="null3"/>
        <w:ind w:left="420"/>
        <w:jc w:val="both"/>
      </w:pPr>
      <w:r>
        <w:rPr>
          <w:sz w:val="28"/>
          <w:b/>
        </w:rPr>
        <w:t>第四条</w:t>
      </w:r>
      <w:r>
        <w:rPr>
          <w:sz w:val="20"/>
          <w:b/>
        </w:rPr>
        <w:t xml:space="preserve">   </w:t>
      </w:r>
      <w:r>
        <w:rPr>
          <w:sz w:val="28"/>
          <w:b/>
        </w:rPr>
        <w:t>验收</w:t>
      </w:r>
    </w:p>
    <w:p>
      <w:pPr>
        <w:pStyle w:val="null3"/>
        <w:spacing w:before="120"/>
        <w:ind w:firstLine="480"/>
        <w:jc w:val="both"/>
      </w:pPr>
      <w:r>
        <w:rPr>
          <w:sz w:val="24"/>
          <w:b/>
        </w:rPr>
        <w:t>一、</w:t>
      </w:r>
      <w:r>
        <w:rPr>
          <w:sz w:val="20"/>
          <w:b/>
        </w:rPr>
        <w:t xml:space="preserve">    </w:t>
      </w:r>
      <w:r>
        <w:rPr>
          <w:sz w:val="24"/>
          <w:b/>
        </w:rPr>
        <w:t>验收标准：按原厂家产品标准。</w:t>
      </w:r>
    </w:p>
    <w:p>
      <w:pPr>
        <w:pStyle w:val="null3"/>
        <w:spacing w:before="120"/>
        <w:ind w:firstLine="480"/>
        <w:jc w:val="both"/>
      </w:pPr>
      <w:r>
        <w:rPr>
          <w:sz w:val="24"/>
          <w:b/>
        </w:rPr>
        <w:t>二、</w:t>
      </w:r>
      <w:r>
        <w:rPr>
          <w:sz w:val="20"/>
          <w:b/>
        </w:rPr>
        <w:t xml:space="preserve">    </w:t>
      </w:r>
      <w:r>
        <w:rPr>
          <w:sz w:val="24"/>
          <w:b/>
        </w:rPr>
        <w:t>验收方式</w:t>
      </w:r>
    </w:p>
    <w:p>
      <w:pPr>
        <w:pStyle w:val="null3"/>
        <w:ind w:firstLine="480"/>
        <w:jc w:val="both"/>
      </w:pPr>
      <w:r>
        <w:rPr>
          <w:sz w:val="24"/>
          <w:color w:val="000000"/>
        </w:rPr>
        <w:t>(</w:t>
      </w:r>
      <w:r>
        <w:rPr>
          <w:sz w:val="24"/>
          <w:color w:val="000000"/>
        </w:rPr>
        <w:t>一</w:t>
      </w:r>
      <w:r>
        <w:rPr>
          <w:sz w:val="24"/>
          <w:color w:val="000000"/>
        </w:rPr>
        <w:t xml:space="preserve">)     </w:t>
      </w:r>
      <w:r>
        <w:rPr>
          <w:sz w:val="24"/>
          <w:color w:val="000000"/>
        </w:rPr>
        <w:t>甲方应督促最终用户在货物安装完成并能正常运转之日起</w:t>
      </w:r>
      <w:r>
        <w:rPr>
          <w:sz w:val="24"/>
          <w:color w:val="000000"/>
        </w:rPr>
        <w:t>______</w:t>
      </w:r>
      <w:r>
        <w:rPr>
          <w:sz w:val="24"/>
          <w:color w:val="000000"/>
        </w:rPr>
        <w:t>个工作日内组织验收。</w:t>
      </w:r>
    </w:p>
    <w:p>
      <w:pPr>
        <w:pStyle w:val="null3"/>
        <w:ind w:firstLine="480"/>
        <w:jc w:val="both"/>
      </w:pPr>
      <w:r>
        <w:rPr>
          <w:sz w:val="24"/>
          <w:color w:val="000000"/>
        </w:rPr>
        <w:t>(</w:t>
      </w:r>
      <w:r>
        <w:rPr>
          <w:sz w:val="24"/>
          <w:color w:val="000000"/>
        </w:rPr>
        <w:t>二</w:t>
      </w:r>
      <w:r>
        <w:rPr>
          <w:sz w:val="24"/>
          <w:color w:val="000000"/>
        </w:rPr>
        <w:t xml:space="preserve">)     </w:t>
      </w:r>
      <w:r>
        <w:rPr>
          <w:sz w:val="24"/>
          <w:color w:val="000000"/>
        </w:rPr>
        <w:t>如有质量问题或包装破损严重的，甲方应在货到</w:t>
      </w:r>
      <w:r>
        <w:rPr>
          <w:sz w:val="24"/>
          <w:color w:val="000000"/>
        </w:rPr>
        <w:t>______</w:t>
      </w:r>
      <w:r>
        <w:rPr>
          <w:sz w:val="24"/>
          <w:color w:val="000000"/>
        </w:rPr>
        <w:t>个工作日内出具书面说明并交乙方处理，否则</w:t>
      </w:r>
      <w:r>
        <w:rPr>
          <w:sz w:val="24"/>
        </w:rPr>
        <w:t>甲方有权拒收并要求赔偿</w:t>
      </w:r>
      <w:r>
        <w:rPr>
          <w:sz w:val="24"/>
          <w:color w:val="000000"/>
        </w:rPr>
        <w:t>。</w:t>
      </w:r>
    </w:p>
    <w:p>
      <w:pPr>
        <w:pStyle w:val="null3"/>
        <w:ind w:firstLine="480"/>
        <w:jc w:val="both"/>
      </w:pPr>
      <w:r>
        <w:rPr>
          <w:sz w:val="24"/>
          <w:color w:val="000000"/>
        </w:rPr>
        <w:t>(</w:t>
      </w:r>
      <w:r>
        <w:rPr>
          <w:sz w:val="24"/>
          <w:color w:val="000000"/>
        </w:rPr>
        <w:t>三</w:t>
      </w:r>
      <w:r>
        <w:rPr>
          <w:sz w:val="24"/>
          <w:color w:val="000000"/>
        </w:rPr>
        <w:t xml:space="preserve">)     </w:t>
      </w:r>
      <w:r>
        <w:rPr>
          <w:sz w:val="24"/>
          <w:color w:val="000000"/>
        </w:rPr>
        <w:t>无论承运商为乙方所指定的其他方、或是乙方自身，甲方仅凭交货完成的有效证明和验收合格文件为准，乙方与承运商之间因货物运输引起的一切纠纷自行解决，与甲方无关。</w:t>
      </w:r>
    </w:p>
    <w:p>
      <w:pPr>
        <w:pStyle w:val="null3"/>
        <w:ind w:left="705"/>
        <w:jc w:val="both"/>
      </w:pPr>
      <w:r>
        <w:rPr>
          <w:sz w:val="28"/>
          <w:b/>
        </w:rPr>
        <w:t>第五条</w:t>
      </w:r>
      <w:r>
        <w:rPr>
          <w:sz w:val="20"/>
          <w:b/>
        </w:rPr>
        <w:t xml:space="preserve">   </w:t>
      </w:r>
      <w:r>
        <w:rPr>
          <w:sz w:val="28"/>
          <w:b/>
        </w:rPr>
        <w:t>安装、保修、培训</w:t>
      </w:r>
    </w:p>
    <w:p>
      <w:pPr>
        <w:pStyle w:val="null3"/>
        <w:spacing w:before="120"/>
        <w:ind w:firstLine="480"/>
        <w:jc w:val="both"/>
      </w:pPr>
      <w:r>
        <w:rPr>
          <w:sz w:val="24"/>
          <w:b/>
        </w:rPr>
        <w:t>一、</w:t>
      </w:r>
      <w:r>
        <w:rPr>
          <w:sz w:val="20"/>
          <w:b/>
        </w:rPr>
        <w:t xml:space="preserve">    </w:t>
      </w:r>
      <w:r>
        <w:rPr>
          <w:sz w:val="24"/>
          <w:b/>
        </w:rPr>
        <w:t>安装、搬迁</w:t>
      </w:r>
    </w:p>
    <w:p>
      <w:pPr>
        <w:pStyle w:val="null3"/>
        <w:ind w:firstLine="480"/>
        <w:jc w:val="both"/>
      </w:pPr>
      <w:r>
        <w:rPr>
          <w:sz w:val="24"/>
          <w:color w:val="000000"/>
        </w:rPr>
        <w:t>(</w:t>
      </w:r>
      <w:r>
        <w:rPr>
          <w:sz w:val="24"/>
          <w:color w:val="000000"/>
        </w:rPr>
        <w:t>一</w:t>
      </w:r>
      <w:r>
        <w:rPr>
          <w:sz w:val="24"/>
          <w:color w:val="000000"/>
        </w:rPr>
        <w:t xml:space="preserve">)     </w:t>
      </w:r>
      <w:r>
        <w:rPr>
          <w:sz w:val="24"/>
          <w:color w:val="000000"/>
        </w:rPr>
        <w:t>乙方负责合同项下设备的安装调试，并按甲方要求，免费提供本合同项下设备的搬迁工作。</w:t>
      </w:r>
    </w:p>
    <w:p>
      <w:pPr>
        <w:pStyle w:val="null3"/>
        <w:ind w:firstLine="480"/>
        <w:jc w:val="both"/>
      </w:pPr>
      <w:r>
        <w:rPr>
          <w:sz w:val="24"/>
          <w:color w:val="000000"/>
        </w:rPr>
        <w:t>(</w:t>
      </w:r>
      <w:r>
        <w:rPr>
          <w:sz w:val="24"/>
          <w:color w:val="000000"/>
        </w:rPr>
        <w:t>二</w:t>
      </w:r>
      <w:r>
        <w:rPr>
          <w:sz w:val="24"/>
          <w:color w:val="000000"/>
        </w:rPr>
        <w:t xml:space="preserve">)     </w:t>
      </w:r>
      <w:r>
        <w:rPr>
          <w:sz w:val="24"/>
          <w:color w:val="000000"/>
        </w:rPr>
        <w:t>乙方应按甲方指定的安装日期、安装要求进行安装工作。</w:t>
      </w:r>
    </w:p>
    <w:p>
      <w:pPr>
        <w:pStyle w:val="null3"/>
        <w:ind w:firstLine="480"/>
        <w:jc w:val="both"/>
      </w:pPr>
      <w:r>
        <w:rPr>
          <w:sz w:val="24"/>
          <w:color w:val="000000"/>
        </w:rPr>
        <w:t>(</w:t>
      </w:r>
      <w:r>
        <w:rPr>
          <w:sz w:val="24"/>
          <w:color w:val="000000"/>
        </w:rPr>
        <w:t>三</w:t>
      </w:r>
      <w:r>
        <w:rPr>
          <w:sz w:val="24"/>
          <w:color w:val="000000"/>
        </w:rPr>
        <w:t xml:space="preserve">)     </w:t>
      </w:r>
      <w:r>
        <w:rPr>
          <w:sz w:val="24"/>
          <w:color w:val="000000"/>
        </w:rPr>
        <w:t>安装、调试</w:t>
      </w:r>
    </w:p>
    <w:p>
      <w:pPr>
        <w:pStyle w:val="null3"/>
        <w:ind w:firstLine="480"/>
        <w:jc w:val="both"/>
      </w:pPr>
      <w:r>
        <w:rPr>
          <w:sz w:val="24"/>
          <w:color w:val="000000"/>
        </w:rPr>
        <w:t>乙方需根据甲方的详细需求，提交项目产品的安装、调试及培训实施方案，方案得到甲方确认后实施，保证系统按时、正常地投入运行。</w:t>
      </w:r>
    </w:p>
    <w:p>
      <w:pPr>
        <w:pStyle w:val="null3"/>
        <w:spacing w:before="120"/>
        <w:ind w:firstLine="480"/>
        <w:jc w:val="both"/>
      </w:pPr>
      <w:r>
        <w:rPr>
          <w:sz w:val="24"/>
          <w:b/>
        </w:rPr>
        <w:t>二、</w:t>
      </w:r>
      <w:r>
        <w:rPr>
          <w:sz w:val="20"/>
          <w:b/>
        </w:rPr>
        <w:t xml:space="preserve">    </w:t>
      </w:r>
      <w:r>
        <w:rPr>
          <w:sz w:val="24"/>
          <w:b/>
        </w:rPr>
        <w:t>保修</w:t>
      </w:r>
    </w:p>
    <w:p>
      <w:pPr>
        <w:pStyle w:val="null3"/>
        <w:ind w:firstLine="480"/>
        <w:jc w:val="both"/>
      </w:pPr>
      <w:r>
        <w:rPr>
          <w:sz w:val="24"/>
          <w:color w:val="000000"/>
        </w:rPr>
        <w:t>(</w:t>
      </w:r>
      <w:r>
        <w:rPr>
          <w:sz w:val="24"/>
          <w:color w:val="000000"/>
        </w:rPr>
        <w:t>一</w:t>
      </w:r>
      <w:r>
        <w:rPr>
          <w:sz w:val="24"/>
          <w:color w:val="000000"/>
        </w:rPr>
        <w:t xml:space="preserve">)     </w:t>
      </w:r>
      <w:r>
        <w:rPr>
          <w:sz w:val="24"/>
          <w:color w:val="000000"/>
        </w:rPr>
        <w:t>整机保修；保修期自验收合格之日</w:t>
      </w:r>
      <w:r>
        <w:rPr>
          <w:sz w:val="24"/>
        </w:rPr>
        <w:t>（分段验收的以最后验收期为准）</w:t>
      </w:r>
      <w:r>
        <w:rPr>
          <w:sz w:val="24"/>
          <w:color w:val="000000"/>
        </w:rPr>
        <w:t>起计算。</w:t>
      </w:r>
    </w:p>
    <w:p>
      <w:pPr>
        <w:pStyle w:val="null3"/>
        <w:ind w:firstLine="480"/>
        <w:jc w:val="both"/>
      </w:pPr>
      <w:r>
        <w:rPr>
          <w:sz w:val="24"/>
          <w:color w:val="000000"/>
        </w:rPr>
        <w:t>(</w:t>
      </w:r>
      <w:r>
        <w:rPr>
          <w:sz w:val="24"/>
          <w:color w:val="000000"/>
        </w:rPr>
        <w:t>二</w:t>
      </w:r>
      <w:r>
        <w:rPr>
          <w:sz w:val="24"/>
          <w:color w:val="000000"/>
        </w:rPr>
        <w:t xml:space="preserve">)     </w:t>
      </w:r>
      <w:r>
        <w:rPr>
          <w:sz w:val="24"/>
          <w:color w:val="000000"/>
        </w:rPr>
        <w:t>提供</w:t>
      </w:r>
      <w:r>
        <w:rPr>
          <w:sz w:val="24"/>
          <w:color w:val="000000"/>
          <w:u w:val="single"/>
        </w:rPr>
        <w:t>_</w:t>
      </w:r>
      <w:r>
        <w:rPr>
          <w:sz w:val="24"/>
          <w:color w:val="000000"/>
          <w:u w:val="single"/>
        </w:rPr>
        <w:t>五</w:t>
      </w:r>
      <w:r>
        <w:rPr>
          <w:sz w:val="24"/>
          <w:color w:val="000000"/>
          <w:u w:val="single"/>
        </w:rPr>
        <w:t>_</w:t>
      </w:r>
      <w:r>
        <w:rPr>
          <w:sz w:val="24"/>
          <w:color w:val="000000"/>
        </w:rPr>
        <w:t>年</w:t>
      </w:r>
      <w:r>
        <w:rPr>
          <w:sz w:val="24"/>
          <w:color w:val="000000"/>
        </w:rPr>
        <w:t>__</w:t>
      </w:r>
      <w:r>
        <w:rPr>
          <w:sz w:val="24"/>
          <w:color w:val="000000"/>
        </w:rPr>
        <w:t>原</w:t>
      </w:r>
      <w:r>
        <w:rPr>
          <w:sz w:val="24"/>
          <w:color w:val="000000"/>
        </w:rPr>
        <w:t>__</w:t>
      </w:r>
      <w:r>
        <w:rPr>
          <w:sz w:val="24"/>
          <w:color w:val="000000"/>
        </w:rPr>
        <w:t>厂家保修服务；提供</w:t>
      </w:r>
      <w:r>
        <w:rPr>
          <w:sz w:val="24"/>
          <w:color w:val="000000"/>
          <w:u w:val="single"/>
        </w:rPr>
        <w:t>_</w:t>
      </w:r>
      <w:r>
        <w:rPr>
          <w:sz w:val="24"/>
          <w:color w:val="000000"/>
          <w:u w:val="single"/>
        </w:rPr>
        <w:t>原</w:t>
      </w:r>
      <w:r>
        <w:rPr>
          <w:sz w:val="24"/>
          <w:color w:val="000000"/>
          <w:u w:val="single"/>
        </w:rPr>
        <w:t>___</w:t>
      </w:r>
      <w:r>
        <w:rPr>
          <w:sz w:val="24"/>
          <w:color w:val="000000"/>
        </w:rPr>
        <w:t>厂家保修承诺函。</w:t>
      </w:r>
    </w:p>
    <w:p>
      <w:pPr>
        <w:pStyle w:val="null3"/>
        <w:ind w:firstLine="480"/>
        <w:jc w:val="both"/>
      </w:pPr>
      <w:r>
        <w:rPr>
          <w:sz w:val="24"/>
          <w:color w:val="000000"/>
        </w:rPr>
        <w:t>(</w:t>
      </w:r>
      <w:r>
        <w:rPr>
          <w:sz w:val="24"/>
          <w:color w:val="000000"/>
        </w:rPr>
        <w:t>三</w:t>
      </w:r>
      <w:r>
        <w:rPr>
          <w:sz w:val="24"/>
          <w:color w:val="000000"/>
        </w:rPr>
        <w:t xml:space="preserve">)     </w:t>
      </w:r>
      <w:r>
        <w:rPr>
          <w:sz w:val="24"/>
          <w:color w:val="000000"/>
        </w:rPr>
        <w:t>在免费维护期结束前，须由乙方和甲方进行一次全面检查，任何缺陷必须由乙方负责修复，在修复之后，乙方应将缺陷原因、修复内容、完成修理及恢复正常的时间和日期等报告给甲方，形成项目总结报告</w:t>
      </w:r>
      <w:r>
        <w:rPr>
          <w:sz w:val="24"/>
        </w:rPr>
        <w:t>加盖公章提交甲方</w:t>
      </w:r>
      <w:r>
        <w:rPr>
          <w:sz w:val="24"/>
          <w:color w:val="000000"/>
        </w:rPr>
        <w:t>（一式两份）。</w:t>
      </w:r>
    </w:p>
    <w:p>
      <w:pPr>
        <w:pStyle w:val="null3"/>
        <w:ind w:firstLine="480"/>
        <w:jc w:val="both"/>
      </w:pPr>
      <w:r>
        <w:rPr>
          <w:sz w:val="24"/>
          <w:color w:val="000000"/>
        </w:rPr>
        <w:t>(</w:t>
      </w:r>
      <w:r>
        <w:rPr>
          <w:sz w:val="24"/>
          <w:color w:val="000000"/>
        </w:rPr>
        <w:t>四</w:t>
      </w:r>
      <w:r>
        <w:rPr>
          <w:sz w:val="24"/>
          <w:color w:val="000000"/>
        </w:rPr>
        <w:t xml:space="preserve">)     </w:t>
      </w:r>
      <w:r>
        <w:rPr>
          <w:sz w:val="24"/>
          <w:color w:val="000000"/>
        </w:rPr>
        <w:t>超过免费维护期的，双方另行协商签订维护合同，信息设备（产品）的维护报价不超过合同信息设备（产品）部分金额的</w:t>
      </w:r>
      <w:r>
        <w:rPr>
          <w:sz w:val="24"/>
          <w:color w:val="000000"/>
        </w:rPr>
        <w:t>_5_%</w:t>
      </w:r>
      <w:r>
        <w:rPr>
          <w:sz w:val="24"/>
          <w:color w:val="000000"/>
        </w:rPr>
        <w:t>。</w:t>
      </w:r>
    </w:p>
    <w:p>
      <w:pPr>
        <w:pStyle w:val="null3"/>
        <w:spacing w:before="120"/>
        <w:ind w:firstLine="480"/>
        <w:jc w:val="both"/>
      </w:pPr>
      <w:r>
        <w:rPr>
          <w:sz w:val="24"/>
          <w:b/>
        </w:rPr>
        <w:t>三、</w:t>
      </w:r>
      <w:r>
        <w:rPr>
          <w:sz w:val="20"/>
          <w:b/>
        </w:rPr>
        <w:t xml:space="preserve">    </w:t>
      </w:r>
      <w:r>
        <w:rPr>
          <w:sz w:val="24"/>
          <w:b/>
        </w:rPr>
        <w:t>售后服务：提供原</w:t>
      </w:r>
      <w:r>
        <w:rPr>
          <w:sz w:val="24"/>
          <w:b/>
        </w:rPr>
        <w:t>______</w:t>
      </w:r>
      <w:r>
        <w:rPr>
          <w:sz w:val="24"/>
          <w:b/>
        </w:rPr>
        <w:t>厂家</w:t>
      </w:r>
      <w:r>
        <w:rPr>
          <w:sz w:val="24"/>
          <w:b/>
        </w:rPr>
        <w:t>7*24</w:t>
      </w:r>
      <w:r>
        <w:rPr>
          <w:sz w:val="24"/>
          <w:b/>
        </w:rPr>
        <w:t>小时维修服务。</w:t>
      </w:r>
    </w:p>
    <w:p>
      <w:pPr>
        <w:pStyle w:val="null3"/>
        <w:spacing w:before="120"/>
        <w:ind w:firstLine="480"/>
        <w:jc w:val="both"/>
      </w:pPr>
      <w:r>
        <w:rPr>
          <w:sz w:val="24"/>
          <w:b/>
        </w:rPr>
        <w:t>四、</w:t>
      </w:r>
      <w:r>
        <w:rPr>
          <w:sz w:val="20"/>
          <w:b/>
        </w:rPr>
        <w:t xml:space="preserve">    </w:t>
      </w:r>
      <w:r>
        <w:rPr>
          <w:sz w:val="24"/>
          <w:b/>
        </w:rPr>
        <w:t>响应时间、方式：</w:t>
      </w:r>
      <w:r>
        <w:rPr>
          <w:sz w:val="24"/>
          <w:b/>
        </w:rPr>
        <w:t>2</w:t>
      </w:r>
      <w:r>
        <w:rPr>
          <w:sz w:val="24"/>
          <w:b/>
        </w:rPr>
        <w:t>小时内响应到甲方报修处，乙方需提供备件先行服务。</w:t>
      </w:r>
    </w:p>
    <w:p>
      <w:pPr>
        <w:pStyle w:val="null3"/>
        <w:spacing w:before="120"/>
        <w:ind w:firstLine="480"/>
        <w:jc w:val="both"/>
      </w:pPr>
      <w:r>
        <w:rPr>
          <w:sz w:val="24"/>
          <w:b/>
        </w:rPr>
        <w:t>五、</w:t>
      </w:r>
      <w:r>
        <w:rPr>
          <w:sz w:val="20"/>
          <w:b/>
        </w:rPr>
        <w:t xml:space="preserve">    </w:t>
      </w:r>
      <w:r>
        <w:rPr>
          <w:sz w:val="24"/>
          <w:b/>
        </w:rPr>
        <w:t>培训</w:t>
      </w:r>
    </w:p>
    <w:p>
      <w:pPr>
        <w:pStyle w:val="null3"/>
        <w:ind w:firstLine="480"/>
        <w:jc w:val="both"/>
      </w:pPr>
      <w:r>
        <w:rPr>
          <w:sz w:val="24"/>
          <w:color w:val="000000"/>
        </w:rPr>
        <w:t>乙方应为甲方进行培训，包括使用培训和维护培训。</w:t>
      </w:r>
    </w:p>
    <w:p>
      <w:pPr>
        <w:pStyle w:val="null3"/>
        <w:ind w:firstLine="480"/>
        <w:jc w:val="both"/>
      </w:pPr>
      <w:r>
        <w:rPr>
          <w:sz w:val="24"/>
        </w:rPr>
        <w:t>乙方应提出详细的培训计划，提供培训教材。技术培训的内容必须覆盖产品的安装、日常操作和管理维护，以及基本的故障诊断与排错，并保证培训效果。</w:t>
      </w:r>
    </w:p>
    <w:p>
      <w:pPr>
        <w:pStyle w:val="null3"/>
        <w:ind w:left="705"/>
        <w:jc w:val="both"/>
      </w:pPr>
      <w:r>
        <w:rPr>
          <w:sz w:val="28"/>
          <w:b/>
        </w:rPr>
        <w:t>第六条</w:t>
      </w:r>
      <w:r>
        <w:rPr>
          <w:sz w:val="20"/>
          <w:b/>
        </w:rPr>
        <w:t xml:space="preserve">   </w:t>
      </w:r>
      <w:r>
        <w:rPr>
          <w:sz w:val="28"/>
          <w:b/>
        </w:rPr>
        <w:t>合同价款及支付方式</w:t>
      </w:r>
    </w:p>
    <w:p>
      <w:pPr>
        <w:pStyle w:val="null3"/>
        <w:spacing w:before="120"/>
        <w:ind w:firstLine="480"/>
        <w:jc w:val="both"/>
      </w:pPr>
      <w:r>
        <w:rPr>
          <w:sz w:val="24"/>
          <w:b/>
        </w:rPr>
        <w:t>一、</w:t>
      </w:r>
      <w:r>
        <w:rPr>
          <w:sz w:val="20"/>
          <w:b/>
        </w:rPr>
        <w:t xml:space="preserve">    </w:t>
      </w:r>
      <w:r>
        <w:rPr>
          <w:sz w:val="24"/>
          <w:b/>
        </w:rPr>
        <w:t>合同价款</w:t>
      </w:r>
    </w:p>
    <w:p>
      <w:pPr>
        <w:pStyle w:val="null3"/>
        <w:spacing w:before="120"/>
        <w:ind w:firstLine="480"/>
        <w:jc w:val="both"/>
      </w:pPr>
      <w:r>
        <w:rPr>
          <w:sz w:val="24"/>
        </w:rPr>
        <w:t>本合同费用总计人民币</w:t>
      </w:r>
      <w:r>
        <w:rPr>
          <w:sz w:val="24"/>
        </w:rPr>
        <w:t>_________</w:t>
      </w:r>
      <w:r>
        <w:rPr>
          <w:sz w:val="24"/>
        </w:rPr>
        <w:t>元。</w:t>
      </w:r>
      <w:r>
        <w:rPr>
          <w:sz w:val="24"/>
        </w:rPr>
        <w:t>(</w:t>
      </w:r>
      <w:r>
        <w:rPr>
          <w:sz w:val="24"/>
        </w:rPr>
        <w:t>大写：人民币</w:t>
      </w:r>
      <w:r>
        <w:rPr>
          <w:sz w:val="24"/>
        </w:rPr>
        <w:t>_________</w:t>
      </w:r>
      <w:r>
        <w:rPr>
          <w:sz w:val="24"/>
        </w:rPr>
        <w:t>元整</w:t>
      </w:r>
      <w:r>
        <w:rPr>
          <w:sz w:val="24"/>
        </w:rPr>
        <w:t>)</w:t>
      </w:r>
    </w:p>
    <w:p>
      <w:pPr>
        <w:pStyle w:val="null3"/>
        <w:spacing w:before="120"/>
        <w:ind w:firstLine="480"/>
        <w:jc w:val="both"/>
      </w:pPr>
      <w:r>
        <w:rPr>
          <w:sz w:val="24"/>
          <w:b/>
        </w:rPr>
        <w:t>二、</w:t>
      </w:r>
      <w:r>
        <w:rPr>
          <w:sz w:val="20"/>
          <w:b/>
        </w:rPr>
        <w:t xml:space="preserve">    </w:t>
      </w:r>
      <w:r>
        <w:rPr>
          <w:sz w:val="24"/>
          <w:b/>
        </w:rPr>
        <w:t>付款方式</w:t>
      </w:r>
    </w:p>
    <w:p>
      <w:pPr>
        <w:pStyle w:val="null3"/>
        <w:ind w:firstLine="480"/>
        <w:jc w:val="both"/>
      </w:pPr>
      <w:r>
        <w:rPr>
          <w:sz w:val="24"/>
        </w:rPr>
        <w:t>甲方将按如下方式向乙方支付合同费用：</w:t>
      </w:r>
    </w:p>
    <w:p>
      <w:pPr>
        <w:pStyle w:val="null3"/>
        <w:ind w:firstLine="480"/>
        <w:jc w:val="both"/>
      </w:pPr>
      <w:r>
        <w:rPr>
          <w:sz w:val="24"/>
          <w:color w:val="000000"/>
        </w:rPr>
        <w:t>（一）</w:t>
      </w:r>
      <w:r>
        <w:rPr>
          <w:sz w:val="24"/>
          <w:b/>
          <w:color w:val="000000"/>
          <w:u w:val="single"/>
        </w:rPr>
        <w:t>合同签订后</w:t>
      </w:r>
      <w:r>
        <w:rPr>
          <w:sz w:val="24"/>
          <w:color w:val="000000"/>
        </w:rPr>
        <w:t>，甲方在收到乙方开具相应金额正式发票后，向乙方支付合同总金额的</w:t>
      </w:r>
      <w:r>
        <w:rPr>
          <w:sz w:val="24"/>
          <w:color w:val="000000"/>
        </w:rPr>
        <w:t>30%</w:t>
      </w:r>
      <w:r>
        <w:rPr>
          <w:sz w:val="24"/>
          <w:color w:val="000000"/>
        </w:rPr>
        <w:t>，共计人民币</w:t>
      </w:r>
      <w:r>
        <w:rPr>
          <w:sz w:val="24"/>
          <w:color w:val="000000"/>
        </w:rPr>
        <w:t>_________</w:t>
      </w:r>
      <w:r>
        <w:rPr>
          <w:sz w:val="24"/>
          <w:color w:val="000000"/>
        </w:rPr>
        <w:t>元</w:t>
      </w:r>
      <w:r>
        <w:rPr>
          <w:sz w:val="24"/>
          <w:color w:val="000000"/>
        </w:rPr>
        <w:t>(</w:t>
      </w:r>
      <w:r>
        <w:rPr>
          <w:sz w:val="24"/>
          <w:color w:val="000000"/>
        </w:rPr>
        <w:t>大写：人民币</w:t>
      </w:r>
      <w:r>
        <w:rPr>
          <w:sz w:val="24"/>
          <w:color w:val="000000"/>
        </w:rPr>
        <w:t>_________</w:t>
      </w:r>
      <w:r>
        <w:rPr>
          <w:sz w:val="24"/>
          <w:color w:val="000000"/>
        </w:rPr>
        <w:t>元整</w:t>
      </w:r>
      <w:r>
        <w:rPr>
          <w:sz w:val="24"/>
          <w:color w:val="000000"/>
        </w:rPr>
        <w:t>)</w:t>
      </w:r>
      <w:r>
        <w:rPr>
          <w:sz w:val="24"/>
          <w:color w:val="000000"/>
        </w:rPr>
        <w:t>。</w:t>
      </w:r>
    </w:p>
    <w:p>
      <w:pPr>
        <w:pStyle w:val="null3"/>
        <w:ind w:firstLine="480"/>
        <w:jc w:val="both"/>
      </w:pPr>
      <w:r>
        <w:rPr>
          <w:sz w:val="24"/>
          <w:color w:val="000000"/>
        </w:rPr>
        <w:t>（二）</w:t>
      </w:r>
      <w:r>
        <w:rPr>
          <w:sz w:val="24"/>
          <w:b/>
          <w:color w:val="000000"/>
          <w:u w:val="single"/>
        </w:rPr>
        <w:t>合同所有设备（产品）运至甲方指定货运详细地址、开箱合格运转正常，并经最终用户签字验收（加电验收）</w:t>
      </w:r>
      <w:r>
        <w:rPr>
          <w:sz w:val="24"/>
          <w:color w:val="000000"/>
        </w:rPr>
        <w:t>，且甲方在收到乙方开具相应金额正式发票以及</w:t>
      </w:r>
      <w:r>
        <w:rPr>
          <w:sz w:val="24"/>
        </w:rPr>
        <w:t>售后服务履约承诺函</w:t>
      </w:r>
      <w:r>
        <w:rPr>
          <w:sz w:val="24"/>
          <w:color w:val="000000"/>
        </w:rPr>
        <w:t>后，向乙方支付至结算审核价的</w:t>
      </w:r>
      <w:r>
        <w:rPr>
          <w:sz w:val="24"/>
          <w:color w:val="000000"/>
        </w:rPr>
        <w:t>100%</w:t>
      </w:r>
      <w:r>
        <w:rPr>
          <w:sz w:val="24"/>
          <w:color w:val="000000"/>
        </w:rPr>
        <w:t>。</w:t>
      </w:r>
    </w:p>
    <w:p>
      <w:pPr>
        <w:pStyle w:val="null3"/>
        <w:spacing w:before="120"/>
        <w:ind w:firstLine="480"/>
        <w:jc w:val="both"/>
      </w:pPr>
      <w:r>
        <w:rPr>
          <w:sz w:val="24"/>
          <w:b/>
        </w:rPr>
        <w:t>三、</w:t>
      </w:r>
      <w:r>
        <w:rPr>
          <w:sz w:val="20"/>
          <w:b/>
        </w:rPr>
        <w:t xml:space="preserve">    </w:t>
      </w:r>
      <w:r>
        <w:rPr>
          <w:sz w:val="24"/>
          <w:b/>
        </w:rPr>
        <w:t>履约保证金</w:t>
      </w:r>
    </w:p>
    <w:p>
      <w:pPr>
        <w:pStyle w:val="null3"/>
        <w:ind w:firstLine="480"/>
        <w:jc w:val="both"/>
      </w:pPr>
      <w:r>
        <w:rPr>
          <w:sz w:val="24"/>
          <w:color w:val="000000"/>
        </w:rPr>
        <w:t>(</w:t>
      </w:r>
      <w:r>
        <w:rPr>
          <w:sz w:val="24"/>
          <w:color w:val="000000"/>
        </w:rPr>
        <w:t>一</w:t>
      </w:r>
      <w:r>
        <w:rPr>
          <w:sz w:val="24"/>
          <w:color w:val="000000"/>
        </w:rPr>
        <w:t xml:space="preserve">)     </w:t>
      </w:r>
      <w:r>
        <w:rPr>
          <w:sz w:val="24"/>
          <w:color w:val="000000"/>
        </w:rPr>
        <w:t>乙方在签订合同前十个工作日内，应按照招标文件中提供的履约保证金保函格式或甲方可以接受的其它形式向甲方提交履约保证金（人民币万元）</w:t>
      </w:r>
      <w:r>
        <w:rPr>
          <w:sz w:val="24"/>
        </w:rPr>
        <w:t>，如现金支付履约保证金的，甲方在设备（产品）验收通过后无息退还</w:t>
      </w:r>
      <w:r>
        <w:rPr>
          <w:sz w:val="24"/>
          <w:color w:val="000000"/>
        </w:rPr>
        <w:t>。如发生违约可从履约保证金中扣除，于</w:t>
      </w:r>
      <w:r>
        <w:rPr>
          <w:sz w:val="24"/>
        </w:rPr>
        <w:t>质保期满</w:t>
      </w:r>
      <w:r>
        <w:rPr>
          <w:sz w:val="24"/>
          <w:color w:val="000000"/>
        </w:rPr>
        <w:t>或合同中止后结算。</w:t>
      </w:r>
    </w:p>
    <w:p>
      <w:pPr>
        <w:pStyle w:val="null3"/>
        <w:ind w:firstLine="480"/>
        <w:jc w:val="both"/>
      </w:pPr>
      <w:r>
        <w:rPr>
          <w:sz w:val="24"/>
          <w:color w:val="000000"/>
        </w:rPr>
        <w:t>(</w:t>
      </w:r>
      <w:r>
        <w:rPr>
          <w:sz w:val="24"/>
          <w:color w:val="000000"/>
        </w:rPr>
        <w:t>二</w:t>
      </w:r>
      <w:r>
        <w:rPr>
          <w:sz w:val="24"/>
          <w:color w:val="000000"/>
        </w:rPr>
        <w:t xml:space="preserve">)     </w:t>
      </w:r>
      <w:r>
        <w:rPr>
          <w:sz w:val="24"/>
          <w:color w:val="000000"/>
        </w:rPr>
        <w:t>若采用银行保函格式提交履约保证金，则银行保函的有效期限应至少保持到</w:t>
      </w:r>
      <w:r>
        <w:rPr>
          <w:sz w:val="24"/>
        </w:rPr>
        <w:t>合同期满</w:t>
      </w:r>
      <w:r>
        <w:rPr>
          <w:sz w:val="24"/>
        </w:rPr>
        <w:t>/</w:t>
      </w:r>
      <w:r>
        <w:rPr>
          <w:sz w:val="24"/>
        </w:rPr>
        <w:t>项目验收</w:t>
      </w:r>
      <w:r>
        <w:rPr>
          <w:sz w:val="24"/>
          <w:color w:val="000000"/>
        </w:rPr>
        <w:t>；如果项目延期，乙方有责任第一时间办理银行保函延期手续，保证银行保函的有效期限直至项目完成。如乙方拖延办理的，甲方有权罚扣履约保证金等额的合同款，直至乙方办理保函续期。</w:t>
      </w:r>
    </w:p>
    <w:p>
      <w:pPr>
        <w:pStyle w:val="null3"/>
        <w:ind w:firstLine="480"/>
        <w:jc w:val="both"/>
      </w:pPr>
      <w:r>
        <w:rPr>
          <w:sz w:val="24"/>
          <w:color w:val="000000"/>
        </w:rPr>
        <w:t>(</w:t>
      </w:r>
      <w:r>
        <w:rPr>
          <w:sz w:val="24"/>
          <w:color w:val="000000"/>
        </w:rPr>
        <w:t>三</w:t>
      </w:r>
      <w:r>
        <w:rPr>
          <w:sz w:val="24"/>
          <w:color w:val="000000"/>
        </w:rPr>
        <w:t xml:space="preserve">)     </w:t>
      </w:r>
      <w:r>
        <w:rPr>
          <w:sz w:val="24"/>
          <w:color w:val="000000"/>
        </w:rPr>
        <w:t>如果乙方没有按招标文件规定签订采购合同并提交履约保证金，则</w:t>
      </w:r>
      <w:r>
        <w:rPr>
          <w:sz w:val="24"/>
        </w:rPr>
        <w:t>视为乙方</w:t>
      </w:r>
      <w:r>
        <w:rPr>
          <w:sz w:val="24"/>
          <w:color w:val="000000"/>
        </w:rPr>
        <w:t>自动放弃中标资格，</w:t>
      </w:r>
      <w:r>
        <w:rPr>
          <w:sz w:val="24"/>
        </w:rPr>
        <w:t>甲方有权</w:t>
      </w:r>
      <w:r>
        <w:rPr>
          <w:sz w:val="24"/>
          <w:color w:val="000000"/>
        </w:rPr>
        <w:t>没收乙方的投标保证金。</w:t>
      </w:r>
    </w:p>
    <w:p>
      <w:pPr>
        <w:pStyle w:val="null3"/>
        <w:ind w:firstLine="480"/>
        <w:jc w:val="both"/>
      </w:pPr>
      <w:r>
        <w:rPr>
          <w:sz w:val="24"/>
        </w:rPr>
        <w:t>(</w:t>
      </w:r>
      <w:r>
        <w:rPr>
          <w:sz w:val="24"/>
        </w:rPr>
        <w:t>四</w:t>
      </w:r>
      <w:r>
        <w:rPr>
          <w:sz w:val="24"/>
        </w:rPr>
        <w:t xml:space="preserve">)     </w:t>
      </w:r>
      <w:r>
        <w:rPr>
          <w:sz w:val="24"/>
        </w:rPr>
        <w:t>在乙方按合同要求全部完成规定的本项目建设内容并提请甲方归还履约保证金后，甲方将把履约保证金无息全额退还给乙方；若乙方在完成项目建设内容后没有主动提请甲方归还履约保证金，则从质保期满之日起、三年诉讼时效期满后，视为乙方放弃要求退还履约保证金权利，甲方有权不予退还履约保证金。</w:t>
      </w:r>
    </w:p>
    <w:p>
      <w:pPr>
        <w:pStyle w:val="null3"/>
        <w:ind w:firstLine="480"/>
        <w:jc w:val="both"/>
      </w:pPr>
      <w:r>
        <w:rPr>
          <w:sz w:val="24"/>
        </w:rPr>
        <w:t>(</w:t>
      </w:r>
      <w:r>
        <w:rPr>
          <w:sz w:val="24"/>
        </w:rPr>
        <w:t>五</w:t>
      </w:r>
      <w:r>
        <w:rPr>
          <w:sz w:val="24"/>
        </w:rPr>
        <w:t xml:space="preserve">)     </w:t>
      </w:r>
      <w:r>
        <w:rPr>
          <w:sz w:val="24"/>
        </w:rPr>
        <w:t>如在质保期内，软硬件及</w:t>
      </w:r>
      <w:r>
        <w:rPr>
          <w:sz w:val="24"/>
        </w:rPr>
        <w:t>/</w:t>
      </w:r>
      <w:r>
        <w:rPr>
          <w:sz w:val="24"/>
        </w:rPr>
        <w:t>或服务出现任何缺陷，则应在该等缺陷完全修补并达到本合同要求后，甲方才有义务支付本款对应的价款。同时，甲方有权从履约保证金中扣除乙方按照本合同应当承担的任何赔偿金额。</w:t>
      </w:r>
    </w:p>
    <w:p>
      <w:pPr>
        <w:pStyle w:val="null3"/>
        <w:ind w:firstLine="480"/>
        <w:jc w:val="both"/>
      </w:pPr>
      <w:r>
        <w:rPr>
          <w:sz w:val="24"/>
        </w:rPr>
        <w:t>(</w:t>
      </w:r>
      <w:r>
        <w:rPr>
          <w:sz w:val="24"/>
        </w:rPr>
        <w:t>六</w:t>
      </w:r>
      <w:r>
        <w:rPr>
          <w:sz w:val="24"/>
        </w:rPr>
        <w:t xml:space="preserve">)     </w:t>
      </w:r>
      <w:r>
        <w:rPr>
          <w:sz w:val="24"/>
        </w:rPr>
        <w:t>如乙方未严格履行本合同义务，在不影响甲方任何其他权利或补救的前提下，甲方有权扣留或推迟支付任何到期款项，直至乙方履行义务或以甲方满意的方式进行补救。</w:t>
      </w:r>
    </w:p>
    <w:p>
      <w:pPr>
        <w:pStyle w:val="null3"/>
        <w:ind w:left="420"/>
        <w:jc w:val="both"/>
      </w:pPr>
      <w:r>
        <w:rPr>
          <w:sz w:val="24"/>
        </w:rPr>
        <w:t>（七）如乙方无法履行合同义务的，如无法交货或逾期未能通过验收的，甲方有权视乙方违约程度，罚扣全部或部分履约保证金。</w:t>
      </w:r>
    </w:p>
    <w:p>
      <w:pPr>
        <w:pStyle w:val="null3"/>
        <w:ind w:left="885"/>
        <w:jc w:val="center"/>
      </w:pPr>
      <w:r>
        <w:rPr>
          <w:sz w:val="28"/>
          <w:b/>
        </w:rPr>
        <w:t>第七条</w:t>
      </w:r>
      <w:r>
        <w:rPr>
          <w:sz w:val="20"/>
          <w:b/>
        </w:rPr>
        <w:t xml:space="preserve">   </w:t>
      </w:r>
      <w:r>
        <w:rPr>
          <w:sz w:val="28"/>
          <w:b/>
        </w:rPr>
        <w:t>双方的权利与义务</w:t>
      </w:r>
    </w:p>
    <w:p>
      <w:pPr>
        <w:pStyle w:val="null3"/>
        <w:spacing w:before="120"/>
        <w:ind w:left="420" w:firstLine="480"/>
        <w:jc w:val="both"/>
      </w:pPr>
      <w:r>
        <w:rPr>
          <w:sz w:val="24"/>
          <w:b/>
        </w:rPr>
        <w:t>一、</w:t>
      </w:r>
      <w:r>
        <w:rPr>
          <w:sz w:val="20"/>
          <w:b/>
        </w:rPr>
        <w:t xml:space="preserve">    </w:t>
      </w:r>
      <w:r>
        <w:rPr>
          <w:sz w:val="24"/>
          <w:b/>
        </w:rPr>
        <w:t>甲方</w:t>
      </w:r>
    </w:p>
    <w:p>
      <w:pPr>
        <w:pStyle w:val="null3"/>
        <w:ind w:firstLine="480"/>
        <w:jc w:val="both"/>
      </w:pPr>
      <w:r>
        <w:rPr>
          <w:sz w:val="24"/>
          <w:color w:val="000000"/>
        </w:rPr>
        <w:t>(</w:t>
      </w:r>
      <w:r>
        <w:rPr>
          <w:sz w:val="24"/>
          <w:color w:val="000000"/>
        </w:rPr>
        <w:t>一</w:t>
      </w:r>
      <w:r>
        <w:rPr>
          <w:sz w:val="24"/>
          <w:color w:val="000000"/>
        </w:rPr>
        <w:t xml:space="preserve">)     </w:t>
      </w:r>
      <w:r>
        <w:rPr>
          <w:sz w:val="24"/>
          <w:color w:val="000000"/>
        </w:rPr>
        <w:t>在合同实施的全过程中，甲方有对合同进度、信息设备（产品）质量进行监督控制的职责和权利。</w:t>
      </w:r>
    </w:p>
    <w:p>
      <w:pPr>
        <w:pStyle w:val="null3"/>
        <w:ind w:firstLine="480"/>
        <w:jc w:val="both"/>
      </w:pPr>
      <w:r>
        <w:rPr>
          <w:sz w:val="24"/>
          <w:color w:val="000000"/>
        </w:rPr>
        <w:t>(</w:t>
      </w:r>
      <w:r>
        <w:rPr>
          <w:sz w:val="24"/>
          <w:color w:val="000000"/>
        </w:rPr>
        <w:t>二</w:t>
      </w:r>
      <w:r>
        <w:rPr>
          <w:sz w:val="24"/>
          <w:color w:val="000000"/>
        </w:rPr>
        <w:t xml:space="preserve">)     </w:t>
      </w:r>
      <w:r>
        <w:rPr>
          <w:sz w:val="24"/>
          <w:color w:val="000000"/>
        </w:rPr>
        <w:t>甲方负责协调乙方以及相关部门及其他单位的工作关系和问题解决。</w:t>
      </w:r>
    </w:p>
    <w:p>
      <w:pPr>
        <w:pStyle w:val="null3"/>
        <w:ind w:firstLine="480"/>
        <w:jc w:val="both"/>
      </w:pPr>
      <w:r>
        <w:rPr>
          <w:sz w:val="24"/>
          <w:color w:val="000000"/>
        </w:rPr>
        <w:t>(</w:t>
      </w:r>
      <w:r>
        <w:rPr>
          <w:sz w:val="24"/>
          <w:color w:val="000000"/>
        </w:rPr>
        <w:t>三</w:t>
      </w:r>
      <w:r>
        <w:rPr>
          <w:sz w:val="24"/>
          <w:color w:val="000000"/>
        </w:rPr>
        <w:t xml:space="preserve">)     </w:t>
      </w:r>
      <w:r>
        <w:rPr>
          <w:sz w:val="24"/>
          <w:color w:val="000000"/>
        </w:rPr>
        <w:t>甲方负责按合同项目进度要求协调各方安排信息设备（产品）的安装、测试、开通及验收的环境及场所。</w:t>
      </w:r>
    </w:p>
    <w:p>
      <w:pPr>
        <w:pStyle w:val="null3"/>
        <w:ind w:firstLine="480"/>
        <w:jc w:val="both"/>
      </w:pPr>
      <w:r>
        <w:rPr>
          <w:sz w:val="24"/>
          <w:color w:val="000000"/>
        </w:rPr>
        <w:t>(</w:t>
      </w:r>
      <w:r>
        <w:rPr>
          <w:sz w:val="24"/>
          <w:color w:val="000000"/>
        </w:rPr>
        <w:t>四</w:t>
      </w:r>
      <w:r>
        <w:rPr>
          <w:sz w:val="24"/>
          <w:color w:val="000000"/>
        </w:rPr>
        <w:t xml:space="preserve">)     </w:t>
      </w:r>
      <w:r>
        <w:rPr>
          <w:sz w:val="24"/>
          <w:color w:val="000000"/>
        </w:rPr>
        <w:t>按本合同约定的项目价款及支付方式向乙方支付有关费用。</w:t>
      </w:r>
    </w:p>
    <w:p>
      <w:pPr>
        <w:pStyle w:val="null3"/>
        <w:spacing w:before="120"/>
        <w:ind w:firstLine="480"/>
        <w:jc w:val="both"/>
      </w:pPr>
      <w:r>
        <w:rPr>
          <w:sz w:val="24"/>
          <w:b/>
        </w:rPr>
        <w:t>二、</w:t>
      </w:r>
      <w:r>
        <w:rPr>
          <w:sz w:val="20"/>
          <w:b/>
        </w:rPr>
        <w:t xml:space="preserve">    </w:t>
      </w:r>
      <w:r>
        <w:rPr>
          <w:sz w:val="24"/>
          <w:b/>
        </w:rPr>
        <w:t>乙方</w:t>
      </w:r>
    </w:p>
    <w:p>
      <w:pPr>
        <w:pStyle w:val="null3"/>
        <w:ind w:firstLine="480"/>
        <w:jc w:val="both"/>
      </w:pPr>
      <w:r>
        <w:rPr>
          <w:sz w:val="24"/>
          <w:color w:val="000000"/>
        </w:rPr>
        <w:t>(</w:t>
      </w:r>
      <w:r>
        <w:rPr>
          <w:sz w:val="24"/>
          <w:color w:val="000000"/>
        </w:rPr>
        <w:t>一</w:t>
      </w:r>
      <w:r>
        <w:rPr>
          <w:sz w:val="24"/>
          <w:color w:val="000000"/>
        </w:rPr>
        <w:t xml:space="preserve">)     </w:t>
      </w:r>
      <w:r>
        <w:rPr>
          <w:sz w:val="24"/>
          <w:color w:val="000000"/>
        </w:rPr>
        <w:t>乙方如因非不可抗力的原因，应按合同要求和约定时间交货。</w:t>
      </w:r>
    </w:p>
    <w:p>
      <w:pPr>
        <w:pStyle w:val="null3"/>
        <w:ind w:firstLine="480"/>
        <w:jc w:val="both"/>
      </w:pPr>
      <w:r>
        <w:rPr>
          <w:sz w:val="24"/>
          <w:color w:val="000000"/>
        </w:rPr>
        <w:t>(</w:t>
      </w:r>
      <w:r>
        <w:rPr>
          <w:sz w:val="24"/>
          <w:color w:val="000000"/>
        </w:rPr>
        <w:t>二</w:t>
      </w:r>
      <w:r>
        <w:rPr>
          <w:sz w:val="24"/>
          <w:color w:val="000000"/>
        </w:rPr>
        <w:t xml:space="preserve">)     </w:t>
      </w:r>
      <w:r>
        <w:rPr>
          <w:sz w:val="24"/>
          <w:color w:val="000000"/>
        </w:rPr>
        <w:t>乙方不得将本合同部分或全部工作转让给第三方承担。</w:t>
      </w:r>
    </w:p>
    <w:p>
      <w:pPr>
        <w:pStyle w:val="null3"/>
        <w:ind w:firstLine="480"/>
        <w:jc w:val="both"/>
      </w:pPr>
      <w:r>
        <w:rPr>
          <w:sz w:val="24"/>
          <w:color w:val="000000"/>
        </w:rPr>
        <w:t>(</w:t>
      </w:r>
      <w:r>
        <w:rPr>
          <w:sz w:val="24"/>
          <w:color w:val="000000"/>
        </w:rPr>
        <w:t>三</w:t>
      </w:r>
      <w:r>
        <w:rPr>
          <w:sz w:val="24"/>
          <w:color w:val="000000"/>
        </w:rPr>
        <w:t xml:space="preserve">)     </w:t>
      </w:r>
      <w:r>
        <w:rPr>
          <w:sz w:val="24"/>
          <w:color w:val="000000"/>
        </w:rPr>
        <w:t>在项目实施的全过程中，乙方应全面配合、定期向甲方汇报项目进展情况。</w:t>
      </w:r>
    </w:p>
    <w:p>
      <w:pPr>
        <w:pStyle w:val="null3"/>
        <w:ind w:firstLine="480"/>
        <w:jc w:val="both"/>
      </w:pPr>
      <w:r>
        <w:rPr>
          <w:sz w:val="24"/>
          <w:color w:val="000000"/>
        </w:rPr>
        <w:t>(</w:t>
      </w:r>
      <w:r>
        <w:rPr>
          <w:sz w:val="24"/>
          <w:color w:val="000000"/>
        </w:rPr>
        <w:t>四</w:t>
      </w:r>
      <w:r>
        <w:rPr>
          <w:sz w:val="24"/>
          <w:color w:val="000000"/>
        </w:rPr>
        <w:t xml:space="preserve">)     </w:t>
      </w:r>
      <w:r>
        <w:rPr>
          <w:sz w:val="24"/>
          <w:color w:val="000000"/>
        </w:rPr>
        <w:t>在免费维护期届满之前，如发现乙方交付的信息设备（产品）有缺陷，或质量不符合本合同约定时，乙方负责排除缺陷、修理、替换或更换出现故障的信息设备（产品）及提供其他保修服务，上述服务所产生的所有费用由乙方承担。因乙方交付的信息设备（产品）存在缺陷，或质量不符合本合同约定而给甲方造成损失或者工作障碍的，乙方应承当相应的责任。</w:t>
      </w:r>
    </w:p>
    <w:p>
      <w:pPr>
        <w:pStyle w:val="null3"/>
        <w:ind w:firstLine="480"/>
        <w:jc w:val="both"/>
      </w:pPr>
      <w:r>
        <w:rPr>
          <w:sz w:val="24"/>
          <w:color w:val="000000"/>
        </w:rPr>
        <w:t>(</w:t>
      </w:r>
      <w:r>
        <w:rPr>
          <w:sz w:val="24"/>
          <w:color w:val="000000"/>
        </w:rPr>
        <w:t>五</w:t>
      </w:r>
      <w:r>
        <w:rPr>
          <w:sz w:val="24"/>
          <w:color w:val="000000"/>
        </w:rPr>
        <w:t xml:space="preserve">)     </w:t>
      </w:r>
      <w:r>
        <w:rPr>
          <w:sz w:val="24"/>
          <w:color w:val="000000"/>
        </w:rPr>
        <w:t>乙方承诺所提供的信息设备（产品）不含有任何安全隐患，并在信息设备（产品）使用期内承担全部责任（包括但不限于消除安全隐患、退款、赔偿损失等）。发生任何由于信息设备（产品）安全引起的事故时，乙方应赔偿甲方及相关用户因此所发生的损失。</w:t>
      </w:r>
    </w:p>
    <w:p>
      <w:pPr>
        <w:pStyle w:val="null3"/>
        <w:ind w:firstLine="480"/>
        <w:jc w:val="both"/>
      </w:pPr>
      <w:r>
        <w:rPr>
          <w:sz w:val="24"/>
          <w:color w:val="000000"/>
        </w:rPr>
        <w:t>(</w:t>
      </w:r>
      <w:r>
        <w:rPr>
          <w:sz w:val="24"/>
          <w:color w:val="000000"/>
        </w:rPr>
        <w:t>六</w:t>
      </w:r>
      <w:r>
        <w:rPr>
          <w:sz w:val="24"/>
          <w:color w:val="000000"/>
        </w:rPr>
        <w:t xml:space="preserve">)     </w:t>
      </w:r>
      <w:r>
        <w:rPr>
          <w:sz w:val="24"/>
        </w:rPr>
        <w:t>乙方不得将工程以任何形式转包、分包给第三方。</w:t>
      </w:r>
    </w:p>
    <w:p>
      <w:pPr>
        <w:pStyle w:val="null3"/>
        <w:ind w:firstLine="480"/>
        <w:jc w:val="both"/>
      </w:pPr>
      <w:r>
        <w:rPr>
          <w:sz w:val="24"/>
          <w:color w:val="000000"/>
        </w:rPr>
        <w:t>(</w:t>
      </w:r>
      <w:r>
        <w:rPr>
          <w:sz w:val="24"/>
          <w:color w:val="000000"/>
        </w:rPr>
        <w:t>七</w:t>
      </w:r>
      <w:r>
        <w:rPr>
          <w:sz w:val="24"/>
          <w:color w:val="000000"/>
        </w:rPr>
        <w:t xml:space="preserve">)     </w:t>
      </w:r>
      <w:r>
        <w:rPr>
          <w:sz w:val="24"/>
          <w:color w:val="000000"/>
        </w:rPr>
        <w:t>乙方承诺，将遵照甲方《</w:t>
      </w:r>
      <w:r>
        <w:rPr>
          <w:sz w:val="24"/>
        </w:rPr>
        <w:t>广东省人民医院信息项目供应商履约评价方案确认书</w:t>
      </w:r>
      <w:r>
        <w:rPr>
          <w:sz w:val="24"/>
          <w:color w:val="000000"/>
        </w:rPr>
        <w:t>》要求，每季度根据甲方项目组邮件反馈的《信息项目供应商履约评价表》对标改进项目实施过程中的不足之处。</w:t>
      </w:r>
    </w:p>
    <w:p>
      <w:pPr>
        <w:pStyle w:val="null3"/>
        <w:ind w:firstLine="480"/>
        <w:jc w:val="both"/>
      </w:pPr>
      <w:r>
        <w:rPr>
          <w:sz w:val="24"/>
          <w:color w:val="000000"/>
        </w:rPr>
        <w:t>(</w:t>
      </w:r>
      <w:r>
        <w:rPr>
          <w:sz w:val="24"/>
          <w:color w:val="000000"/>
        </w:rPr>
        <w:t>八</w:t>
      </w:r>
      <w:r>
        <w:rPr>
          <w:sz w:val="24"/>
          <w:color w:val="000000"/>
        </w:rPr>
        <w:t xml:space="preserve">)     </w:t>
      </w:r>
      <w:r>
        <w:rPr>
          <w:sz w:val="24"/>
          <w:color w:val="000000"/>
        </w:rPr>
        <w:t>乙方承诺，无恶意串通、围标、恶意竞争或其它违规行为，一经查实，将列入广东省人民医院供应商黑名单。</w:t>
      </w:r>
    </w:p>
    <w:p>
      <w:pPr>
        <w:pStyle w:val="null3"/>
        <w:ind w:firstLine="480"/>
        <w:jc w:val="both"/>
      </w:pPr>
      <w:r>
        <w:rPr>
          <w:sz w:val="24"/>
          <w:color w:val="000000"/>
        </w:rPr>
        <w:t>(</w:t>
      </w:r>
      <w:r>
        <w:rPr>
          <w:sz w:val="24"/>
          <w:color w:val="000000"/>
        </w:rPr>
        <w:t>九</w:t>
      </w:r>
      <w:r>
        <w:rPr>
          <w:sz w:val="24"/>
          <w:color w:val="000000"/>
        </w:rPr>
        <w:t xml:space="preserve">)     </w:t>
      </w:r>
      <w:r>
        <w:rPr>
          <w:sz w:val="24"/>
          <w:color w:val="000000"/>
        </w:rPr>
        <w:t>（如有需要）乙方承诺，如后续本项目升级为第三方供应商中标的，乙方应全力配合甲方及第三方供应商进行数据迁移部署等相关工作内容的交接。</w:t>
      </w:r>
    </w:p>
    <w:p>
      <w:pPr>
        <w:pStyle w:val="null3"/>
        <w:spacing w:before="120"/>
        <w:ind w:firstLine="480"/>
        <w:jc w:val="both"/>
      </w:pPr>
      <w:r>
        <w:rPr>
          <w:sz w:val="24"/>
          <w:b/>
        </w:rPr>
        <w:t>三、</w:t>
      </w:r>
      <w:r>
        <w:rPr>
          <w:sz w:val="20"/>
          <w:b/>
        </w:rPr>
        <w:t xml:space="preserve">    </w:t>
      </w:r>
      <w:r>
        <w:rPr>
          <w:sz w:val="24"/>
          <w:b/>
        </w:rPr>
        <w:t>双方共同</w:t>
      </w:r>
    </w:p>
    <w:p>
      <w:pPr>
        <w:pStyle w:val="null3"/>
        <w:ind w:firstLine="480"/>
        <w:jc w:val="both"/>
      </w:pPr>
      <w:r>
        <w:rPr>
          <w:sz w:val="24"/>
          <w:color w:val="000000"/>
        </w:rPr>
        <w:t>(</w:t>
      </w:r>
      <w:r>
        <w:rPr>
          <w:sz w:val="24"/>
          <w:color w:val="000000"/>
        </w:rPr>
        <w:t>一</w:t>
      </w:r>
      <w:r>
        <w:rPr>
          <w:sz w:val="24"/>
          <w:color w:val="000000"/>
        </w:rPr>
        <w:t xml:space="preserve">)     </w:t>
      </w:r>
      <w:r>
        <w:rPr>
          <w:sz w:val="24"/>
          <w:color w:val="000000"/>
        </w:rPr>
        <w:t>双方承担因其自身原因而导致交货、安装调试、验收延期的责任和费用。</w:t>
      </w:r>
    </w:p>
    <w:p>
      <w:pPr>
        <w:pStyle w:val="null3"/>
        <w:ind w:firstLine="480"/>
        <w:jc w:val="both"/>
      </w:pPr>
      <w:r>
        <w:rPr>
          <w:sz w:val="24"/>
          <w:color w:val="000000"/>
        </w:rPr>
        <w:t>(</w:t>
      </w:r>
      <w:r>
        <w:rPr>
          <w:sz w:val="24"/>
          <w:color w:val="000000"/>
        </w:rPr>
        <w:t>二</w:t>
      </w:r>
      <w:r>
        <w:rPr>
          <w:sz w:val="24"/>
          <w:color w:val="000000"/>
        </w:rPr>
        <w:t xml:space="preserve">)     </w:t>
      </w:r>
      <w:r>
        <w:rPr>
          <w:sz w:val="24"/>
          <w:color w:val="000000"/>
        </w:rPr>
        <w:t>如因不可抗力导致交货、安装调试、验收延误，双方无须为此负责；交货、安装调试、验收期如需调整必须在双方协商同意后方可生效。</w:t>
      </w:r>
    </w:p>
    <w:p>
      <w:pPr>
        <w:pStyle w:val="null3"/>
        <w:ind w:left="420"/>
        <w:jc w:val="both"/>
      </w:pPr>
      <w:r>
        <w:rPr>
          <w:sz w:val="28"/>
          <w:b/>
        </w:rPr>
        <w:t>第八条</w:t>
      </w:r>
      <w:r>
        <w:rPr>
          <w:sz w:val="20"/>
          <w:b/>
        </w:rPr>
        <w:t xml:space="preserve">   </w:t>
      </w:r>
      <w:r>
        <w:rPr>
          <w:sz w:val="28"/>
          <w:b/>
        </w:rPr>
        <w:t>违约责任</w:t>
      </w:r>
    </w:p>
    <w:p>
      <w:pPr>
        <w:pStyle w:val="null3"/>
        <w:ind w:firstLine="480"/>
        <w:jc w:val="both"/>
      </w:pPr>
      <w:r>
        <w:rPr>
          <w:sz w:val="24"/>
          <w:color w:val="000000"/>
        </w:rPr>
        <w:t>合同生效后，合同双方应严格遵守合同的条款，全面履行合同约定的义务，任何一方不得擅自变更或解除合同。甲、乙双方的任何一方不履行合同或履行合同义务不符合约定的条件，即属违约。</w:t>
      </w:r>
    </w:p>
    <w:p>
      <w:pPr>
        <w:pStyle w:val="null3"/>
        <w:ind w:firstLine="480"/>
        <w:jc w:val="both"/>
      </w:pPr>
      <w:r>
        <w:rPr>
          <w:sz w:val="24"/>
          <w:color w:val="000000"/>
        </w:rPr>
        <w:t>(</w:t>
      </w:r>
      <w:r>
        <w:rPr>
          <w:sz w:val="24"/>
          <w:color w:val="000000"/>
        </w:rPr>
        <w:t>一</w:t>
      </w:r>
      <w:r>
        <w:rPr>
          <w:sz w:val="24"/>
          <w:color w:val="000000"/>
        </w:rPr>
        <w:t xml:space="preserve">)     </w:t>
      </w:r>
      <w:r>
        <w:rPr>
          <w:sz w:val="24"/>
          <w:color w:val="000000"/>
        </w:rPr>
        <w:t>甲、乙双方的任何一方由于法定事由以及不可抗力的原因不能履行合同时，应在明确或预见事件可能发生时，尽快且不可超过天必须向对方通报不能履行或不能完全履行的理由，在取得有关主管机关证明后，双方友好协商允许延期履行、部分履行或者不履行合同，并根据法律规定可部分或全部免除其责任。</w:t>
      </w:r>
    </w:p>
    <w:p>
      <w:pPr>
        <w:pStyle w:val="null3"/>
        <w:ind w:firstLine="480"/>
        <w:jc w:val="both"/>
      </w:pPr>
      <w:r>
        <w:rPr>
          <w:sz w:val="24"/>
          <w:color w:val="000000"/>
        </w:rPr>
        <w:t>(</w:t>
      </w:r>
      <w:r>
        <w:rPr>
          <w:sz w:val="24"/>
          <w:color w:val="000000"/>
        </w:rPr>
        <w:t>二</w:t>
      </w:r>
      <w:r>
        <w:rPr>
          <w:sz w:val="24"/>
          <w:color w:val="000000"/>
        </w:rPr>
        <w:t xml:space="preserve">)     </w:t>
      </w:r>
      <w:r>
        <w:rPr>
          <w:sz w:val="24"/>
          <w:color w:val="000000"/>
        </w:rPr>
        <w:t>乙方投标中对甲方软件技术要求的承诺必须履行，如发现在投标自评不真实或其承诺未能履行，甲方有权取消合同，乙方赔偿对甲方所造成的一切损失。</w:t>
      </w:r>
    </w:p>
    <w:p>
      <w:pPr>
        <w:pStyle w:val="null3"/>
        <w:ind w:firstLine="480"/>
        <w:jc w:val="both"/>
      </w:pPr>
      <w:r>
        <w:rPr>
          <w:sz w:val="24"/>
          <w:color w:val="000000"/>
        </w:rPr>
        <w:t>(</w:t>
      </w:r>
      <w:r>
        <w:rPr>
          <w:sz w:val="24"/>
          <w:color w:val="000000"/>
        </w:rPr>
        <w:t>三</w:t>
      </w:r>
      <w:r>
        <w:rPr>
          <w:sz w:val="24"/>
          <w:color w:val="000000"/>
        </w:rPr>
        <w:t xml:space="preserve">)     </w:t>
      </w:r>
      <w:r>
        <w:rPr>
          <w:sz w:val="24"/>
          <w:color w:val="000000"/>
        </w:rPr>
        <w:t>项目正式运行后的个月内（含本数），由于乙方原因项目未能通过验收，自合同约定总工期最后一天起算每日向甲方支付合同款总额</w:t>
      </w:r>
      <w:r>
        <w:rPr>
          <w:sz w:val="24"/>
          <w:color w:val="000000"/>
        </w:rPr>
        <w:t>1</w:t>
      </w:r>
      <w:r>
        <w:rPr>
          <w:sz w:val="24"/>
          <w:color w:val="000000"/>
        </w:rPr>
        <w:t>‰</w:t>
      </w:r>
      <w:r>
        <w:rPr>
          <w:sz w:val="24"/>
          <w:color w:val="000000"/>
        </w:rPr>
        <w:t>的违约金；乙方在甲方指定的期限内再次验收无法通过的，甲方有权终止合同，乙方应返还甲方已支付的全部合同价款，并承担因此给甲方造成的损失。</w:t>
      </w:r>
    </w:p>
    <w:p>
      <w:pPr>
        <w:pStyle w:val="null3"/>
        <w:ind w:firstLine="480"/>
        <w:jc w:val="both"/>
      </w:pPr>
      <w:r>
        <w:rPr>
          <w:sz w:val="24"/>
          <w:color w:val="000000"/>
        </w:rPr>
        <w:t>(</w:t>
      </w:r>
      <w:r>
        <w:rPr>
          <w:sz w:val="24"/>
          <w:color w:val="000000"/>
        </w:rPr>
        <w:t>四</w:t>
      </w:r>
      <w:r>
        <w:rPr>
          <w:sz w:val="24"/>
          <w:color w:val="000000"/>
        </w:rPr>
        <w:t xml:space="preserve">)     </w:t>
      </w:r>
      <w:r>
        <w:rPr>
          <w:sz w:val="24"/>
          <w:color w:val="000000"/>
        </w:rPr>
        <w:t>在项目实施过程中及项目免费维护期内，信息设备（产品）运行出现故障时，乙方须在</w:t>
      </w:r>
      <w:r>
        <w:rPr>
          <w:sz w:val="24"/>
          <w:color w:val="000000"/>
        </w:rPr>
        <w:t>_____</w:t>
      </w:r>
      <w:r>
        <w:rPr>
          <w:sz w:val="24"/>
          <w:color w:val="000000"/>
        </w:rPr>
        <w:t>小时内作出响应；不影响甲方正常业务运作的属于一般故障，如果故障影响正常业务的进行属重大故障，如果出现重大故障乙方应立即派遣工程技术人员在</w:t>
      </w:r>
      <w:r>
        <w:rPr>
          <w:sz w:val="24"/>
          <w:color w:val="000000"/>
          <w:u w:val="single"/>
        </w:rPr>
        <w:t>XXX</w:t>
      </w:r>
      <w:r>
        <w:rPr>
          <w:sz w:val="24"/>
          <w:color w:val="000000"/>
        </w:rPr>
        <w:t>小时内（含本数）到达现场处理；重大故障从报障到系统恢复正常运行时间不可超过</w:t>
      </w:r>
      <w:r>
        <w:rPr>
          <w:sz w:val="24"/>
          <w:color w:val="000000"/>
        </w:rPr>
        <w:t>2</w:t>
      </w:r>
      <w:r>
        <w:rPr>
          <w:sz w:val="24"/>
          <w:color w:val="000000"/>
        </w:rPr>
        <w:t>小时，至相关问题彻底解决不可超过</w:t>
      </w:r>
      <w:r>
        <w:rPr>
          <w:sz w:val="24"/>
          <w:color w:val="000000"/>
        </w:rPr>
        <w:t>2</w:t>
      </w:r>
      <w:r>
        <w:rPr>
          <w:sz w:val="24"/>
          <w:color w:val="000000"/>
        </w:rPr>
        <w:t>个工作日。</w:t>
      </w:r>
    </w:p>
    <w:p>
      <w:pPr>
        <w:pStyle w:val="null3"/>
        <w:ind w:firstLine="480"/>
        <w:jc w:val="both"/>
      </w:pPr>
      <w:r>
        <w:rPr>
          <w:sz w:val="24"/>
        </w:rPr>
        <w:t>如乙方不能在上述约定时间内作出响应，或到达现场处理，故障持续超过</w:t>
      </w:r>
      <w:r>
        <w:rPr>
          <w:sz w:val="24"/>
        </w:rPr>
        <w:t>2</w:t>
      </w:r>
      <w:r>
        <w:rPr>
          <w:sz w:val="24"/>
        </w:rPr>
        <w:t>小时影响甲方正常业务进行，则属违约，乙方须承担甲方由此造成的各项损失，并按出现次数，每次向甲方支付合同款总额</w:t>
      </w:r>
      <w:r>
        <w:rPr>
          <w:sz w:val="24"/>
        </w:rPr>
        <w:t>1</w:t>
      </w:r>
      <w:r>
        <w:rPr>
          <w:sz w:val="24"/>
        </w:rPr>
        <w:t>‰</w:t>
      </w:r>
      <w:r>
        <w:rPr>
          <w:sz w:val="24"/>
        </w:rPr>
        <w:t>的违约金；</w:t>
      </w:r>
    </w:p>
    <w:p>
      <w:pPr>
        <w:pStyle w:val="null3"/>
        <w:ind w:firstLine="480"/>
        <w:jc w:val="both"/>
      </w:pPr>
      <w:r>
        <w:rPr>
          <w:sz w:val="24"/>
        </w:rPr>
        <w:t>任何故障如在</w:t>
      </w:r>
      <w:r>
        <w:rPr>
          <w:sz w:val="24"/>
        </w:rPr>
        <w:t>2</w:t>
      </w:r>
      <w:r>
        <w:rPr>
          <w:sz w:val="24"/>
        </w:rPr>
        <w:t>个工作日内仍未能排除或修复故障的，由故障出现之日起，乙方每日向甲方支付合同款总额</w:t>
      </w:r>
      <w:r>
        <w:rPr>
          <w:sz w:val="24"/>
        </w:rPr>
        <w:t>1</w:t>
      </w:r>
      <w:r>
        <w:rPr>
          <w:sz w:val="24"/>
        </w:rPr>
        <w:t>‰</w:t>
      </w:r>
      <w:r>
        <w:rPr>
          <w:sz w:val="24"/>
        </w:rPr>
        <w:t>的违约金；个工作日内故障仍未能排除或修复的，属于重大违约，甲方有权解除合同，而甲方有权聘请第三方修复或排除信息平台或系统出现的故障，该费用及引发后果由乙方承担</w:t>
      </w:r>
    </w:p>
    <w:p>
      <w:pPr>
        <w:pStyle w:val="null3"/>
        <w:ind w:firstLine="480"/>
        <w:jc w:val="both"/>
      </w:pPr>
      <w:r>
        <w:rPr>
          <w:sz w:val="24"/>
          <w:color w:val="000000"/>
        </w:rPr>
        <w:t>(</w:t>
      </w:r>
      <w:r>
        <w:rPr>
          <w:sz w:val="24"/>
          <w:color w:val="000000"/>
        </w:rPr>
        <w:t>五</w:t>
      </w:r>
      <w:r>
        <w:rPr>
          <w:sz w:val="24"/>
          <w:color w:val="000000"/>
        </w:rPr>
        <w:t xml:space="preserve">)     </w:t>
      </w:r>
      <w:r>
        <w:rPr>
          <w:sz w:val="24"/>
          <w:color w:val="000000"/>
        </w:rPr>
        <w:t>免费维护期内，如果甲方提出本合同“第五条</w:t>
      </w:r>
      <w:r>
        <w:rPr>
          <w:sz w:val="24"/>
          <w:color w:val="000000"/>
        </w:rPr>
        <w:t>后续维护服务”中的“四、技术支持服务”所列需求，乙方须按约定时间及时响应及执行，如未按约定超出最后限期之日起，乙方每日向甲方支付合同尾款总额</w:t>
      </w:r>
      <w:r>
        <w:rPr>
          <w:sz w:val="24"/>
          <w:color w:val="000000"/>
        </w:rPr>
        <w:t>1%</w:t>
      </w:r>
      <w:r>
        <w:rPr>
          <w:sz w:val="24"/>
          <w:color w:val="000000"/>
        </w:rPr>
        <w:t>的违约金直至合同尾款全部扣除；如乙方拒绝响应或执行属严重违约，甲方有权扣除合同尾款，乙方须承担因此给甲方造成的损失。</w:t>
      </w:r>
    </w:p>
    <w:p>
      <w:pPr>
        <w:pStyle w:val="null3"/>
        <w:ind w:firstLine="480"/>
        <w:jc w:val="both"/>
      </w:pPr>
      <w:r>
        <w:rPr>
          <w:sz w:val="24"/>
          <w:color w:val="000000"/>
        </w:rPr>
        <w:t>(</w:t>
      </w:r>
      <w:r>
        <w:rPr>
          <w:sz w:val="24"/>
          <w:color w:val="000000"/>
        </w:rPr>
        <w:t>六</w:t>
      </w:r>
      <w:r>
        <w:rPr>
          <w:sz w:val="24"/>
          <w:color w:val="000000"/>
        </w:rPr>
        <w:t xml:space="preserve">)     </w:t>
      </w:r>
      <w:r>
        <w:rPr>
          <w:sz w:val="24"/>
          <w:color w:val="000000"/>
        </w:rPr>
        <w:t>免费维护期内，乙方须确保信息设备（产品）符合验收标准保持正常运作，如软件或信息设备（产品）运作偏离验收标准而乙方无法修正，甲方有权追究责任，追讨已付合同金额，并要求乙方整改重新进行验收。如软件或信息设备（产品）的质量无法达到验收标准，乙方应根据影响范围返还甲方已支付的部分或全部合同价款。</w:t>
      </w:r>
    </w:p>
    <w:p>
      <w:pPr>
        <w:pStyle w:val="null3"/>
        <w:ind w:firstLine="480"/>
        <w:jc w:val="both"/>
      </w:pPr>
      <w:r>
        <w:rPr>
          <w:sz w:val="24"/>
          <w:color w:val="000000"/>
        </w:rPr>
        <w:t>(</w:t>
      </w:r>
      <w:r>
        <w:rPr>
          <w:sz w:val="24"/>
          <w:color w:val="000000"/>
        </w:rPr>
        <w:t>七</w:t>
      </w:r>
      <w:r>
        <w:rPr>
          <w:sz w:val="24"/>
          <w:color w:val="000000"/>
        </w:rPr>
        <w:t xml:space="preserve">)     </w:t>
      </w:r>
      <w:r>
        <w:rPr>
          <w:sz w:val="24"/>
          <w:color w:val="000000"/>
        </w:rPr>
        <w:t>甲方逾期支付合同价款的，应就逾期部分向乙方支付按照中国人民银行规定的同期贷款基准利率计算的逾期付款违约金。</w:t>
      </w:r>
    </w:p>
    <w:p>
      <w:pPr>
        <w:pStyle w:val="null3"/>
        <w:ind w:firstLine="480"/>
        <w:jc w:val="both"/>
      </w:pPr>
      <w:r>
        <w:rPr>
          <w:sz w:val="24"/>
          <w:color w:val="000000"/>
        </w:rPr>
        <w:t>(</w:t>
      </w:r>
      <w:r>
        <w:rPr>
          <w:sz w:val="24"/>
          <w:color w:val="000000"/>
        </w:rPr>
        <w:t>八</w:t>
      </w:r>
      <w:r>
        <w:rPr>
          <w:sz w:val="24"/>
          <w:color w:val="000000"/>
        </w:rPr>
        <w:t xml:space="preserve">)     </w:t>
      </w:r>
      <w:r>
        <w:rPr>
          <w:sz w:val="24"/>
          <w:color w:val="000000"/>
        </w:rPr>
        <w:t>乙方不得通过本项目下任何硬件留有“后台”，以获取甲方信息，如有违反的，甲方有权要求乙方双倍返还已经收到项目款项</w:t>
      </w:r>
      <w:r>
        <w:rPr>
          <w:sz w:val="24"/>
        </w:rPr>
        <w:t>，并列入甲方招采黑名单，同时该行为甲方有权通报至广东省政府采购平台</w:t>
      </w:r>
      <w:r>
        <w:rPr>
          <w:sz w:val="24"/>
          <w:color w:val="000000"/>
        </w:rPr>
        <w:t>。</w:t>
      </w:r>
    </w:p>
    <w:p>
      <w:pPr>
        <w:pStyle w:val="null3"/>
        <w:ind w:firstLine="480"/>
        <w:jc w:val="both"/>
      </w:pPr>
      <w:r>
        <w:rPr>
          <w:sz w:val="24"/>
          <w:color w:val="000000"/>
        </w:rPr>
        <w:t>(</w:t>
      </w:r>
      <w:r>
        <w:rPr>
          <w:sz w:val="24"/>
          <w:color w:val="000000"/>
        </w:rPr>
        <w:t>九</w:t>
      </w:r>
      <w:r>
        <w:rPr>
          <w:sz w:val="24"/>
          <w:color w:val="000000"/>
        </w:rPr>
        <w:t xml:space="preserve">)     </w:t>
      </w:r>
      <w:r>
        <w:rPr>
          <w:sz w:val="24"/>
        </w:rPr>
        <w:t>乙方如在履约及维保期间出现影响甲方的行为，包括但不限于乙方行为导致出现对甲方不利的舆情、影响甲方运营等，甲方有权立即启动供应商评价，进行处罚，必要时甲方有权通报至广东省政府采购平台，乙方同意无条件接受甲方处罚。</w:t>
      </w:r>
    </w:p>
    <w:p>
      <w:pPr>
        <w:pStyle w:val="null3"/>
        <w:ind w:firstLine="480"/>
        <w:jc w:val="both"/>
      </w:pPr>
      <w:r>
        <w:rPr>
          <w:sz w:val="24"/>
          <w:color w:val="000000"/>
        </w:rPr>
        <w:t>上述违约金的支付并不免除乙方继续交付信息设备（产品）的责任。</w:t>
      </w:r>
    </w:p>
    <w:p>
      <w:pPr>
        <w:pStyle w:val="null3"/>
        <w:ind w:firstLine="480"/>
        <w:jc w:val="both"/>
      </w:pPr>
      <w:r>
        <w:rPr>
          <w:sz w:val="28"/>
          <w:b/>
        </w:rPr>
        <w:t>第九条</w:t>
      </w:r>
      <w:r>
        <w:rPr>
          <w:sz w:val="20"/>
          <w:b/>
        </w:rPr>
        <w:t xml:space="preserve">   </w:t>
      </w:r>
      <w:r>
        <w:rPr>
          <w:sz w:val="28"/>
          <w:b/>
        </w:rPr>
        <w:t>争议解决的办法</w:t>
      </w:r>
    </w:p>
    <w:p>
      <w:pPr>
        <w:pStyle w:val="null3"/>
        <w:ind w:firstLine="480"/>
        <w:jc w:val="both"/>
      </w:pPr>
      <w:r>
        <w:rPr>
          <w:sz w:val="24"/>
          <w:color w:val="000000"/>
        </w:rPr>
        <w:t>如发生与本合同所列条款有关的一切争议，双方应通过友好协商，协调解决。如协商解决不成，通过诉讼方式解决。</w:t>
      </w:r>
    </w:p>
    <w:p>
      <w:pPr>
        <w:pStyle w:val="null3"/>
        <w:ind w:firstLine="480"/>
        <w:jc w:val="both"/>
      </w:pPr>
      <w:r>
        <w:rPr>
          <w:sz w:val="24"/>
          <w:color w:val="000000"/>
        </w:rPr>
        <w:t>诉讼地点：甲方所在地。</w:t>
      </w:r>
    </w:p>
    <w:p>
      <w:pPr>
        <w:pStyle w:val="null3"/>
        <w:ind w:firstLine="480"/>
        <w:jc w:val="both"/>
      </w:pPr>
      <w:r>
        <w:rPr>
          <w:sz w:val="24"/>
          <w:color w:val="000000"/>
        </w:rPr>
        <w:t>协商、调解或仲裁期间，除争议条款外，原则上不停止本合同的履行。</w:t>
      </w:r>
    </w:p>
    <w:p>
      <w:pPr>
        <w:pStyle w:val="null3"/>
        <w:jc w:val="both"/>
      </w:pPr>
      <w:r>
        <w:rPr>
          <w:sz w:val="28"/>
          <w:b/>
        </w:rPr>
        <w:t>第十条</w:t>
      </w:r>
      <w:r>
        <w:rPr>
          <w:sz w:val="20"/>
          <w:b/>
        </w:rPr>
        <w:t xml:space="preserve">   </w:t>
      </w:r>
      <w:r>
        <w:rPr>
          <w:sz w:val="28"/>
          <w:b/>
        </w:rPr>
        <w:t>保密条款</w:t>
      </w:r>
    </w:p>
    <w:p>
      <w:pPr>
        <w:pStyle w:val="null3"/>
        <w:ind w:firstLine="480"/>
        <w:jc w:val="both"/>
      </w:pPr>
      <w:r>
        <w:rPr>
          <w:sz w:val="24"/>
          <w:color w:val="000000"/>
        </w:rPr>
        <w:t>乙方遵守国家的经济、技术工作保密规定和甲方的保密工作条例，对标的技术实施期间在甲方了解的各种情况、获取的全部信息资料严格保密，不得泄露。对甲方有特殊保密要求的资料或要求特定人员接触的情况，如果乙方不具备相关条件，则提出具体的技术要求，委托甲方办理。</w:t>
      </w:r>
    </w:p>
    <w:p>
      <w:pPr>
        <w:pStyle w:val="null3"/>
        <w:ind w:firstLine="480"/>
        <w:jc w:val="both"/>
      </w:pPr>
      <w:r>
        <w:rPr>
          <w:sz w:val="28"/>
          <w:b/>
        </w:rPr>
        <w:t>第十一条</w:t>
      </w:r>
      <w:r>
        <w:rPr>
          <w:sz w:val="28"/>
          <w:b/>
        </w:rPr>
        <w:t>合同生效</w:t>
      </w:r>
    </w:p>
    <w:p>
      <w:pPr>
        <w:pStyle w:val="null3"/>
        <w:ind w:firstLine="480"/>
        <w:jc w:val="both"/>
      </w:pPr>
      <w:r>
        <w:rPr>
          <w:sz w:val="24"/>
          <w:color w:val="000000"/>
        </w:rPr>
        <w:t>本合同经双方授权代表签字盖章后生效，合同签字日期以最后一个签字日为准。</w:t>
      </w:r>
    </w:p>
    <w:p>
      <w:pPr>
        <w:pStyle w:val="null3"/>
        <w:ind w:left="885"/>
        <w:jc w:val="center"/>
      </w:pPr>
      <w:r>
        <w:rPr>
          <w:sz w:val="28"/>
          <w:b/>
        </w:rPr>
        <w:t>第十二条</w:t>
      </w:r>
      <w:r>
        <w:rPr>
          <w:sz w:val="28"/>
          <w:b/>
        </w:rPr>
        <w:t>其它</w:t>
      </w:r>
    </w:p>
    <w:p>
      <w:pPr>
        <w:pStyle w:val="null3"/>
        <w:ind w:firstLine="480"/>
        <w:jc w:val="both"/>
      </w:pPr>
      <w:r>
        <w:rPr>
          <w:sz w:val="24"/>
          <w:color w:val="000000"/>
        </w:rPr>
        <w:t>本合同一式</w:t>
      </w:r>
      <w:r>
        <w:rPr>
          <w:sz w:val="24"/>
          <w:color w:val="000000"/>
        </w:rPr>
        <w:t>__</w:t>
      </w:r>
      <w:r>
        <w:rPr>
          <w:sz w:val="24"/>
          <w:color w:val="000000"/>
        </w:rPr>
        <w:t>份，甲方</w:t>
      </w:r>
      <w:r>
        <w:rPr>
          <w:sz w:val="24"/>
          <w:color w:val="000000"/>
          <w:u w:val="single"/>
        </w:rPr>
        <w:t>2</w:t>
      </w:r>
      <w:r>
        <w:rPr>
          <w:sz w:val="24"/>
          <w:color w:val="000000"/>
        </w:rPr>
        <w:t>份，乙方</w:t>
      </w:r>
      <w:r>
        <w:rPr>
          <w:sz w:val="24"/>
          <w:color w:val="000000"/>
        </w:rPr>
        <w:t>__</w:t>
      </w:r>
      <w:r>
        <w:rPr>
          <w:sz w:val="24"/>
          <w:color w:val="000000"/>
        </w:rPr>
        <w:t>份，具有同等法律效力。本合同未尽事宜，经双方协商一致后，可对本合同签订补充条款。</w:t>
      </w:r>
    </w:p>
    <w:p>
      <w:pPr>
        <w:pStyle w:val="null3"/>
        <w:ind w:firstLine="480"/>
        <w:jc w:val="both"/>
      </w:pPr>
      <w:r>
        <w:rPr>
          <w:sz w:val="24"/>
        </w:rPr>
        <w:t>《用户需求说明书》、</w:t>
      </w:r>
      <w:r>
        <w:rPr>
          <w:sz w:val="24"/>
          <w:color w:val="000000"/>
        </w:rPr>
        <w:t>《需求规格说明书》</w:t>
      </w:r>
      <w:r>
        <w:rPr>
          <w:sz w:val="24"/>
        </w:rPr>
        <w:t>招标文件、投标文件及合同附件（如《广东省人民医院信息项目供应商履约评价方案确认书》等）具有同等的法律效力。最终解释权在甲方。</w:t>
      </w:r>
    </w:p>
    <w:p>
      <w:pPr>
        <w:pStyle w:val="null3"/>
        <w:ind w:firstLine="480"/>
        <w:jc w:val="both"/>
      </w:pPr>
      <w:r>
        <w:rPr>
          <w:sz w:val="36"/>
          <w:b/>
        </w:rPr>
        <w:t>广东省人民医院信息项目供应商</w:t>
      </w:r>
    </w:p>
    <w:p>
      <w:pPr>
        <w:pStyle w:val="null3"/>
        <w:spacing w:after="240"/>
        <w:jc w:val="center"/>
      </w:pPr>
      <w:r>
        <w:rPr>
          <w:sz w:val="36"/>
          <w:b/>
        </w:rPr>
        <w:t>履约评价方案确认书</w:t>
      </w:r>
    </w:p>
    <w:p>
      <w:pPr>
        <w:pStyle w:val="null3"/>
        <w:ind w:firstLine="640"/>
      </w:pPr>
      <w:r>
        <w:rPr>
          <w:sz w:val="32"/>
        </w:rPr>
        <w:t>为进一步完善对信息项目供应商管理、加强监管及有效推进项目进度，建立信息项目合作供应商履约评价反馈机制、具体方案如下：</w:t>
      </w:r>
    </w:p>
    <w:p>
      <w:pPr>
        <w:pStyle w:val="null3"/>
        <w:ind w:left="705"/>
      </w:pPr>
      <w:r>
        <w:rPr>
          <w:sz w:val="32"/>
          <w:b/>
        </w:rPr>
        <w:t>一、</w:t>
      </w:r>
      <w:r>
        <w:rPr>
          <w:sz w:val="32"/>
          <w:b/>
        </w:rPr>
        <w:t>评价反馈范围</w:t>
      </w:r>
    </w:p>
    <w:p>
      <w:pPr>
        <w:pStyle w:val="null3"/>
        <w:ind w:firstLine="640"/>
      </w:pPr>
      <w:r>
        <w:rPr>
          <w:sz w:val="32"/>
        </w:rPr>
        <w:t>通过招标采购方式的在建信息项目（即尚未完成验收信息项目）。</w:t>
      </w:r>
    </w:p>
    <w:p>
      <w:pPr>
        <w:pStyle w:val="null3"/>
        <w:ind w:left="705"/>
      </w:pPr>
      <w:r>
        <w:rPr>
          <w:sz w:val="32"/>
          <w:b/>
        </w:rPr>
        <w:t>二、</w:t>
      </w:r>
      <w:r>
        <w:rPr>
          <w:sz w:val="32"/>
          <w:b/>
        </w:rPr>
        <w:t>评价反馈周期</w:t>
      </w:r>
    </w:p>
    <w:p>
      <w:pPr>
        <w:pStyle w:val="null3"/>
        <w:ind w:firstLine="640"/>
      </w:pPr>
      <w:r>
        <w:rPr>
          <w:sz w:val="32"/>
        </w:rPr>
        <w:t>每三个月对项目承建供应商进行一次评价反馈。</w:t>
      </w:r>
    </w:p>
    <w:p>
      <w:pPr>
        <w:pStyle w:val="null3"/>
        <w:ind w:left="705"/>
      </w:pPr>
      <w:r>
        <w:rPr>
          <w:sz w:val="32"/>
          <w:b/>
        </w:rPr>
        <w:t>三、</w:t>
      </w:r>
      <w:r>
        <w:rPr>
          <w:sz w:val="32"/>
          <w:b/>
        </w:rPr>
        <w:t>评价评分机制</w:t>
      </w:r>
    </w:p>
    <w:p>
      <w:pPr>
        <w:pStyle w:val="null3"/>
        <w:ind w:firstLine="640"/>
      </w:pPr>
      <w:r>
        <w:rPr>
          <w:sz w:val="32"/>
        </w:rPr>
        <w:t>1</w:t>
      </w:r>
      <w:r>
        <w:rPr>
          <w:sz w:val="32"/>
        </w:rPr>
        <w:t>．每季度末由项目主管对项目承建供应商的履约情况进行评分，并填写《信息项目承建供应商履约评分表》（详见附件）、由项目监管对评分进行审核签字。</w:t>
      </w:r>
    </w:p>
    <w:p>
      <w:pPr>
        <w:pStyle w:val="null3"/>
        <w:ind w:firstLine="640"/>
      </w:pPr>
      <w:r>
        <w:rPr>
          <w:sz w:val="32"/>
        </w:rPr>
        <w:t>2</w:t>
      </w:r>
      <w:r>
        <w:rPr>
          <w:sz w:val="32"/>
        </w:rPr>
        <w:t>．由信管处业务管理科收集汇总每季度各信息项目承建供应商的履约评分情况、提交信管处处务会通报并呈报信息主管副院长。</w:t>
      </w:r>
    </w:p>
    <w:p>
      <w:pPr>
        <w:pStyle w:val="null3"/>
        <w:ind w:firstLine="640"/>
      </w:pPr>
      <w:r>
        <w:rPr>
          <w:sz w:val="32"/>
        </w:rPr>
        <w:t>3</w:t>
      </w:r>
      <w:r>
        <w:rPr>
          <w:sz w:val="32"/>
        </w:rPr>
        <w:t>．根据评分结果，对履约评分低于</w:t>
      </w:r>
      <w:r>
        <w:rPr>
          <w:sz w:val="32"/>
        </w:rPr>
        <w:t>70</w:t>
      </w:r>
      <w:r>
        <w:rPr>
          <w:sz w:val="32"/>
        </w:rPr>
        <w:t>分的供应商采取敦促措施如下：</w:t>
      </w:r>
    </w:p>
    <w:p>
      <w:pPr>
        <w:pStyle w:val="null3"/>
        <w:ind w:left="15" w:firstLine="640"/>
      </w:pPr>
      <w:r>
        <w:rPr>
          <w:sz w:val="32"/>
        </w:rPr>
        <w:t>（</w:t>
      </w:r>
      <w:r>
        <w:rPr>
          <w:sz w:val="32"/>
        </w:rPr>
        <w:t>1</w:t>
      </w:r>
      <w:r>
        <w:rPr>
          <w:sz w:val="32"/>
        </w:rPr>
        <w:t>）</w:t>
      </w:r>
      <w:r>
        <w:rPr>
          <w:sz w:val="32"/>
        </w:rPr>
        <w:t>首次季度履约评分低于</w:t>
      </w:r>
      <w:r>
        <w:rPr>
          <w:sz w:val="32"/>
        </w:rPr>
        <w:t>70</w:t>
      </w:r>
      <w:r>
        <w:rPr>
          <w:sz w:val="32"/>
        </w:rPr>
        <w:t>分（含</w:t>
      </w:r>
      <w:r>
        <w:rPr>
          <w:sz w:val="32"/>
        </w:rPr>
        <w:t>70</w:t>
      </w:r>
      <w:r>
        <w:rPr>
          <w:sz w:val="32"/>
        </w:rPr>
        <w:t>分）：由信管处业务管理科联同项目组约谈供应商，并将约谈记录和评分结果和通过公函正式反馈供应商。</w:t>
      </w:r>
    </w:p>
    <w:p>
      <w:pPr>
        <w:pStyle w:val="null3"/>
        <w:ind w:left="15" w:firstLine="640"/>
      </w:pPr>
      <w:r>
        <w:rPr>
          <w:sz w:val="32"/>
        </w:rPr>
        <w:t>（</w:t>
      </w:r>
      <w:r>
        <w:rPr>
          <w:sz w:val="32"/>
        </w:rPr>
        <w:t>2</w:t>
      </w:r>
      <w:r>
        <w:rPr>
          <w:sz w:val="32"/>
        </w:rPr>
        <w:t>）</w:t>
      </w:r>
      <w:r>
        <w:rPr>
          <w:sz w:val="32"/>
        </w:rPr>
        <w:t>连续两个季度履约评分低于</w:t>
      </w:r>
      <w:r>
        <w:rPr>
          <w:sz w:val="32"/>
        </w:rPr>
        <w:t>70</w:t>
      </w:r>
      <w:r>
        <w:rPr>
          <w:sz w:val="32"/>
        </w:rPr>
        <w:t>分（含</w:t>
      </w:r>
      <w:r>
        <w:rPr>
          <w:sz w:val="32"/>
        </w:rPr>
        <w:t>70</w:t>
      </w:r>
      <w:r>
        <w:rPr>
          <w:sz w:val="32"/>
        </w:rPr>
        <w:t>分）：由信管处业务管理科呈报提请信息主管副院长约谈供应商；将约谈记录和评分结果正式通过公函反馈供应商，并对应扣罚</w:t>
      </w:r>
      <w:r>
        <w:rPr>
          <w:sz w:val="32"/>
        </w:rPr>
        <w:t>20%</w:t>
      </w:r>
      <w:r>
        <w:rPr>
          <w:sz w:val="32"/>
        </w:rPr>
        <w:t>履约保证金。</w:t>
      </w:r>
    </w:p>
    <w:p>
      <w:pPr>
        <w:pStyle w:val="null3"/>
        <w:ind w:left="15" w:firstLine="640"/>
      </w:pPr>
      <w:r>
        <w:rPr>
          <w:sz w:val="32"/>
        </w:rPr>
        <w:t>（</w:t>
      </w:r>
      <w:r>
        <w:rPr>
          <w:sz w:val="32"/>
        </w:rPr>
        <w:t>3</w:t>
      </w:r>
      <w:r>
        <w:rPr>
          <w:sz w:val="32"/>
        </w:rPr>
        <w:t>）</w:t>
      </w:r>
      <w:r>
        <w:rPr>
          <w:sz w:val="32"/>
        </w:rPr>
        <w:t>连续三个季度履约评分低于</w:t>
      </w:r>
      <w:r>
        <w:rPr>
          <w:sz w:val="32"/>
        </w:rPr>
        <w:t>70</w:t>
      </w:r>
      <w:r>
        <w:rPr>
          <w:sz w:val="32"/>
        </w:rPr>
        <w:t>分（含</w:t>
      </w:r>
      <w:r>
        <w:rPr>
          <w:sz w:val="32"/>
        </w:rPr>
        <w:t>70</w:t>
      </w:r>
      <w:r>
        <w:rPr>
          <w:sz w:val="32"/>
        </w:rPr>
        <w:t>分）：由信管处形成报告呈报院长办公会、提请将该供应商列入我院采购黑名单、并扣罚该项目剩余履约保证金。</w:t>
      </w:r>
    </w:p>
    <w:p>
      <w:pPr>
        <w:pStyle w:val="null3"/>
        <w:ind w:left="705"/>
      </w:pPr>
      <w:r>
        <w:rPr>
          <w:sz w:val="32"/>
          <w:b/>
        </w:rPr>
        <w:t>四、</w:t>
      </w:r>
      <w:r>
        <w:rPr>
          <w:sz w:val="32"/>
          <w:b/>
        </w:rPr>
        <w:t>其他</w:t>
      </w:r>
    </w:p>
    <w:p>
      <w:pPr>
        <w:pStyle w:val="null3"/>
        <w:ind w:firstLine="640"/>
      </w:pPr>
      <w:r>
        <w:rPr>
          <w:sz w:val="32"/>
        </w:rPr>
        <w:t>本确认书一式两份，甲方一份，乙方一份，两份协议具有同等法律效力。本确认书自乙方盖章之日起生效。</w:t>
      </w:r>
    </w:p>
    <w:p>
      <w:pPr>
        <w:pStyle w:val="null3"/>
        <w:ind w:left="645"/>
      </w:pPr>
      <w:r>
        <w:rPr>
          <w:sz w:val="32"/>
        </w:rPr>
        <w:t>附件：信息项目承建供应商履约评分表（模板）</w:t>
      </w:r>
    </w:p>
    <w:p>
      <w:pPr>
        <w:pStyle w:val="null3"/>
        <w:ind w:left="1065"/>
      </w:pPr>
      <w:r>
        <w:rPr>
          <w:sz w:val="32"/>
          <w:b/>
        </w:rPr>
        <w:t>广东省人民医院</w:t>
      </w:r>
      <w:r>
        <w:rPr>
          <w:sz w:val="20"/>
          <w:b/>
        </w:rPr>
        <w:t xml:space="preserve"> </w:t>
      </w:r>
    </w:p>
    <w:p>
      <w:pPr>
        <w:pStyle w:val="null3"/>
        <w:ind w:left="1065"/>
        <w:jc w:val="right"/>
      </w:pPr>
      <w:r>
        <w:rPr>
          <w:sz w:val="32"/>
          <w:b/>
        </w:rPr>
        <w:t>信息管理处</w:t>
      </w:r>
    </w:p>
    <w:p>
      <w:pPr>
        <w:pStyle w:val="null3"/>
        <w:ind w:left="1065"/>
        <w:jc w:val="right"/>
      </w:pPr>
      <w:r>
        <w:rPr>
          <w:sz w:val="32"/>
          <w:b/>
        </w:rPr>
        <w:t xml:space="preserve">202    </w:t>
      </w:r>
      <w:r>
        <w:rPr>
          <w:sz w:val="32"/>
          <w:b/>
        </w:rPr>
        <w:t>年</w:t>
      </w:r>
      <w:r>
        <w:rPr>
          <w:sz w:val="20"/>
          <w:b/>
        </w:rPr>
        <w:t xml:space="preserve">    </w:t>
      </w:r>
      <w:r>
        <w:rPr>
          <w:sz w:val="32"/>
          <w:b/>
        </w:rPr>
        <w:t>月</w:t>
      </w:r>
      <w:r>
        <w:rPr>
          <w:sz w:val="20"/>
          <w:b/>
        </w:rPr>
        <w:t xml:space="preserve">    </w:t>
      </w:r>
      <w:r>
        <w:rPr>
          <w:sz w:val="32"/>
          <w:b/>
        </w:rPr>
        <w:t>日</w:t>
      </w:r>
    </w:p>
    <w:p>
      <w:pPr>
        <w:pStyle w:val="null3"/>
      </w:pPr>
      <w:r>
        <w:rPr>
          <w:sz w:val="32"/>
          <w:b/>
        </w:rPr>
        <w:t>供应商名称（盖章）：</w:t>
      </w:r>
    </w:p>
    <w:p>
      <w:pPr>
        <w:pStyle w:val="null3"/>
        <w:ind w:firstLine="643"/>
      </w:pPr>
      <w:r>
        <w:rPr>
          <w:sz w:val="32"/>
          <w:b/>
        </w:rPr>
        <w:t>我司同意执行贵院的履约评价方案。</w:t>
      </w:r>
    </w:p>
    <w:p>
      <w:pPr>
        <w:pStyle w:val="null3"/>
        <w:ind w:firstLine="643"/>
      </w:pPr>
      <w:r>
        <w:rPr>
          <w:sz w:val="32"/>
          <w:b/>
        </w:rPr>
        <w:t>项目负责人：</w:t>
      </w:r>
    </w:p>
    <w:p>
      <w:pPr>
        <w:pStyle w:val="null3"/>
      </w:pPr>
      <w:r>
        <w:rPr>
          <w:sz w:val="32"/>
          <w:b/>
        </w:rPr>
        <w:t>手</w:t>
      </w:r>
      <w:r>
        <w:rPr>
          <w:sz w:val="20"/>
          <w:b/>
        </w:rPr>
        <w:t xml:space="preserve">  </w:t>
      </w:r>
      <w:r>
        <w:rPr>
          <w:sz w:val="32"/>
          <w:b/>
        </w:rPr>
        <w:t>机</w:t>
      </w:r>
      <w:r>
        <w:rPr>
          <w:sz w:val="20"/>
          <w:b/>
        </w:rPr>
        <w:t xml:space="preserve">  </w:t>
      </w:r>
      <w:r>
        <w:rPr>
          <w:sz w:val="32"/>
          <w:b/>
        </w:rPr>
        <w:t>号：</w:t>
      </w:r>
    </w:p>
    <w:p>
      <w:pPr>
        <w:pStyle w:val="null3"/>
      </w:pPr>
      <w:r>
        <w:rPr>
          <w:sz w:val="32"/>
          <w:b/>
        </w:rPr>
        <w:t>邮</w:t>
      </w:r>
      <w:r>
        <w:rPr>
          <w:sz w:val="20"/>
          <w:b/>
        </w:rPr>
        <w:t xml:space="preserve">      </w:t>
      </w:r>
      <w:r>
        <w:rPr>
          <w:sz w:val="32"/>
          <w:b/>
        </w:rPr>
        <w:t>箱：</w:t>
      </w:r>
    </w:p>
    <w:p>
      <w:pPr>
        <w:pStyle w:val="null3"/>
        <w:spacing w:before="0" w:after="0" w:lineRule="auto" w:line="360"/>
        <w:ind w:left="0" w:right="0"/>
        <w:jc w:val="center"/>
      </w:pPr>
      <w:r>
        <w:rPr>
          <w:sz w:val="32"/>
          <w:b/>
        </w:rPr>
        <w:t>日</w:t>
      </w:r>
      <w:r>
        <w:rPr>
          <w:sz w:val="48"/>
          <w:b/>
        </w:rPr>
        <w:t xml:space="preserve">      </w:t>
      </w:r>
      <w:r>
        <w:rPr>
          <w:sz w:val="32"/>
          <w:b/>
        </w:rPr>
        <w:t>期：</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440001-2025-00488</w:t>
      </w:r>
    </w:p>
    <w:p>
      <w:pPr>
        <w:pStyle w:val="null3"/>
        <w:jc w:val="center"/>
        <w:outlineLvl w:val="3"/>
      </w:pPr>
      <w:r>
        <w:rPr>
          <w:sz w:val="24"/>
          <w:b/>
        </w:rPr>
        <w:t>采购项目编号：</w:t>
      </w:r>
      <w:r>
        <w:rPr>
          <w:sz w:val="24"/>
          <w:b/>
        </w:rPr>
        <w:t>GPCGD243174HG118J1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数据湖建设配套硬件资源项目（三次）</w:t>
      </w:r>
      <w:r>
        <w:rPr>
          <w:u w:val="single"/>
        </w:rPr>
        <w:t>”</w:t>
      </w:r>
      <w:r>
        <w:rPr/>
        <w:t>项目的招标[采购项目编号为：</w:t>
      </w:r>
      <w:r>
        <w:rPr>
          <w:u w:val="single"/>
        </w:rPr>
        <w:t>GPCGD243174HG118J1</w:t>
      </w:r>
      <w:r>
        <w:rPr/>
        <w:t>]，我方愿参与投标。</w:t>
      </w:r>
    </w:p>
    <w:p>
      <w:pPr>
        <w:pStyle w:val="null3"/>
        <w:ind w:firstLine="480"/>
      </w:pPr>
      <w:r>
        <w:rPr/>
        <w:t>我方确认收到贵方提供的</w:t>
      </w:r>
      <w:r>
        <w:rPr>
          <w:u w:val="single"/>
        </w:rPr>
        <w:t>“</w:t>
      </w:r>
      <w:r>
        <w:rPr>
          <w:u w:val="single"/>
        </w:rPr>
        <w:t>数据湖建设配套硬件资源项目（三次）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数据湖建设配套硬件资源项目（三次）</w:t>
      </w:r>
      <w:r>
        <w:rPr/>
        <w:t>”项目采购[采购项目编号为</w:t>
      </w:r>
      <w:r>
        <w:rPr/>
        <w:t>GPCGD243174HG118J1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数据湖建设配套硬件资源项目（三次）</w:t>
      </w:r>
      <w:r>
        <w:rPr/>
        <w:t>招标中获中标（采购项目编号：</w:t>
      </w:r>
      <w:r>
        <w:rPr/>
        <w:t>GPCGD243174HG118J1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数据湖建设配套硬件资源项目（三次）</w:t>
      </w:r>
      <w:r>
        <w:rPr/>
        <w:t>”项目（采购项目编号：</w:t>
      </w:r>
      <w:r>
        <w:rPr/>
        <w:t>GPCGD243174HG118J1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