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440001-2025-09998</w:t>
      </w:r>
    </w:p>
    <w:p>
      <w:pPr>
        <w:pStyle w:val="null3"/>
        <w:jc w:val="center"/>
        <w:outlineLvl w:val="3"/>
      </w:pPr>
      <w:r>
        <w:rPr>
          <w:sz w:val="24"/>
          <w:b/>
        </w:rPr>
        <w:t>采购项目编号：</w:t>
      </w:r>
      <w:r>
        <w:rPr>
          <w:sz w:val="24"/>
          <w:b/>
        </w:rPr>
        <w:t>GPCGD253109HG030F</w:t>
      </w:r>
    </w:p>
    <w:p>
      <w:pPr>
        <w:pStyle w:val="null3"/>
        <w:jc w:val="center"/>
        <w:outlineLvl w:val="3"/>
      </w:pPr>
      <w:r>
        <w:rPr>
          <w:sz w:val="24"/>
          <w:b/>
        </w:rPr>
        <w:t>项目名称：</w:t>
      </w:r>
      <w:r>
        <w:rPr>
          <w:sz w:val="24"/>
          <w:b/>
        </w:rPr>
        <w:t>2025年基础地理信息数据及耕地动态监测监管等项目桌面云集群建设采购项目</w:t>
      </w:r>
    </w:p>
    <w:p>
      <w:pPr>
        <w:pStyle w:val="null3"/>
        <w:jc w:val="center"/>
        <w:outlineLvl w:val="3"/>
      </w:pPr>
      <w:r>
        <w:rPr>
          <w:sz w:val="24"/>
          <w:b/>
        </w:rPr>
        <w:t>采购人：</w:t>
      </w:r>
      <w:r>
        <w:rPr>
          <w:sz w:val="24"/>
          <w:b/>
        </w:rPr>
        <w:t>广东省国土资源测绘院</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广东省国土资源测绘院</w:t>
      </w:r>
      <w:r>
        <w:rPr/>
        <w:t>的委托，采用</w:t>
      </w:r>
      <w:r>
        <w:rPr/>
        <w:t>公开招标</w:t>
      </w:r>
      <w:r>
        <w:rPr/>
        <w:t>方式组织采购</w:t>
      </w:r>
      <w:r>
        <w:rPr/>
        <w:t>2025年基础地理信息数据及耕地动态监测监管等项目桌面云集群建设采购项目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2025年基础地理信息数据及耕地动态监测监管等项目桌面云集群建设采购项目</w:t>
      </w:r>
    </w:p>
    <w:p>
      <w:pPr>
        <w:pStyle w:val="null3"/>
        <w:ind w:firstLine="480"/>
      </w:pPr>
      <w:r>
        <w:rPr/>
        <w:t>采购计划编号：</w:t>
      </w:r>
      <w:r>
        <w:rPr/>
        <w:t>440001-2025-09998</w:t>
      </w:r>
    </w:p>
    <w:p>
      <w:pPr>
        <w:pStyle w:val="null3"/>
        <w:ind w:firstLine="480"/>
      </w:pPr>
      <w:r>
        <w:rPr/>
        <w:t>采购项目编号：</w:t>
      </w:r>
      <w:r>
        <w:rPr/>
        <w:t>GPCGD253109HG030F</w:t>
      </w:r>
    </w:p>
    <w:p>
      <w:pPr>
        <w:pStyle w:val="null3"/>
        <w:ind w:firstLine="480"/>
      </w:pPr>
      <w:r>
        <w:rPr/>
        <w:t>采购方式：</w:t>
      </w:r>
      <w:r>
        <w:rPr/>
        <w:t>公开招标</w:t>
      </w:r>
    </w:p>
    <w:p>
      <w:pPr>
        <w:pStyle w:val="null3"/>
        <w:ind w:firstLine="480"/>
      </w:pPr>
      <w:r>
        <w:rPr/>
        <w:t>预算金额：</w:t>
      </w:r>
      <w:r>
        <w:rPr/>
        <w:t>2,800,000.00</w:t>
      </w:r>
      <w:r>
        <w:rPr/>
        <w:t>元</w:t>
      </w:r>
    </w:p>
    <w:p>
      <w:pPr>
        <w:pStyle w:val="null3"/>
        <w:outlineLvl w:val="3"/>
      </w:pPr>
      <w:r>
        <w:rPr>
          <w:sz w:val="24"/>
          <w:b/>
        </w:rPr>
        <w:t>2.项目内容及需求情况（采购项目技术规格、参数及要求）</w:t>
      </w:r>
    </w:p>
    <w:p>
      <w:pPr>
        <w:pStyle w:val="null3"/>
      </w:pPr>
      <w:r>
        <w:rPr/>
        <w:t>采购包1(2025年基础地理信息数据及耕地动态监测监管等项目桌面云集群建设采购项目):</w:t>
      </w:r>
    </w:p>
    <w:p>
      <w:pPr>
        <w:pStyle w:val="null3"/>
      </w:pPr>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服务器</w:t>
            </w:r>
          </w:p>
        </w:tc>
        <w:tc>
          <w:tcPr>
            <w:tcW w:type="dxa" w:w="2052"/>
          </w:tcPr>
          <w:p>
            <w:pPr>
              <w:pStyle w:val="null3"/>
            </w:pPr>
            <w:r>
              <w:rPr/>
              <w:t>桌面云集群</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750,000.00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其他计算机软件</w:t>
            </w:r>
          </w:p>
        </w:tc>
        <w:tc>
          <w:tcPr>
            <w:tcW w:type="dxa" w:w="2052"/>
          </w:tcPr>
          <w:p>
            <w:pPr>
              <w:pStyle w:val="null3"/>
            </w:pPr>
            <w:r>
              <w:rPr/>
              <w:t>桌面云软件</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240,000.00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其他计算机</w:t>
            </w:r>
          </w:p>
        </w:tc>
        <w:tc>
          <w:tcPr>
            <w:tcW w:type="dxa" w:w="2052"/>
          </w:tcPr>
          <w:p>
            <w:pPr>
              <w:pStyle w:val="null3"/>
            </w:pPr>
            <w:r>
              <w:rPr/>
              <w:t>桌面云终端</w:t>
            </w:r>
          </w:p>
        </w:tc>
        <w:tc>
          <w:tcPr>
            <w:tcW w:type="dxa" w:w="977"/>
          </w:tcPr>
          <w:p>
            <w:pPr>
              <w:pStyle w:val="null3"/>
            </w:pPr>
            <w:r>
              <w:rPr/>
              <w:t>100(套)</w:t>
            </w:r>
          </w:p>
        </w:tc>
        <w:tc>
          <w:tcPr>
            <w:tcW w:type="dxa" w:w="977"/>
          </w:tcPr>
          <w:p>
            <w:pPr>
              <w:pStyle w:val="null3"/>
            </w:pPr>
            <w:r>
              <w:rPr/>
              <w:t>详见第二章</w:t>
            </w:r>
          </w:p>
        </w:tc>
        <w:tc>
          <w:tcPr>
            <w:tcW w:type="dxa" w:w="977"/>
          </w:tcPr>
          <w:p>
            <w:pPr>
              <w:pStyle w:val="null3"/>
            </w:pPr>
            <w:r>
              <w:rPr/>
              <w:t>919,000.00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基础软件</w:t>
            </w:r>
          </w:p>
        </w:tc>
        <w:tc>
          <w:tcPr>
            <w:tcW w:type="dxa" w:w="2052"/>
          </w:tcPr>
          <w:p>
            <w:pPr>
              <w:pStyle w:val="null3"/>
            </w:pPr>
            <w:r>
              <w:rPr/>
              <w:t>操作系统</w:t>
            </w:r>
          </w:p>
        </w:tc>
        <w:tc>
          <w:tcPr>
            <w:tcW w:type="dxa" w:w="977"/>
          </w:tcPr>
          <w:p>
            <w:pPr>
              <w:pStyle w:val="null3"/>
            </w:pPr>
            <w:r>
              <w:rPr/>
              <w:t>130(套)</w:t>
            </w:r>
          </w:p>
        </w:tc>
        <w:tc>
          <w:tcPr>
            <w:tcW w:type="dxa" w:w="977"/>
          </w:tcPr>
          <w:p>
            <w:pPr>
              <w:pStyle w:val="null3"/>
            </w:pPr>
            <w:r>
              <w:rPr/>
              <w:t>详见第二章</w:t>
            </w:r>
          </w:p>
        </w:tc>
        <w:tc>
          <w:tcPr>
            <w:tcW w:type="dxa" w:w="977"/>
          </w:tcPr>
          <w:p>
            <w:pPr>
              <w:pStyle w:val="null3"/>
            </w:pPr>
            <w:r>
              <w:rPr/>
              <w:t>91,000.00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交换设备</w:t>
            </w:r>
          </w:p>
        </w:tc>
        <w:tc>
          <w:tcPr>
            <w:tcW w:type="dxa" w:w="2052"/>
          </w:tcPr>
          <w:p>
            <w:pPr>
              <w:pStyle w:val="null3"/>
            </w:pPr>
            <w:r>
              <w:rPr/>
              <w:t>核心交换机</w:t>
            </w:r>
          </w:p>
        </w:tc>
        <w:tc>
          <w:tcPr>
            <w:tcW w:type="dxa" w:w="977"/>
          </w:tcPr>
          <w:p>
            <w:pPr>
              <w:pStyle w:val="null3"/>
            </w:pPr>
            <w:r>
              <w:rPr/>
              <w:t>4(台)</w:t>
            </w:r>
          </w:p>
        </w:tc>
        <w:tc>
          <w:tcPr>
            <w:tcW w:type="dxa" w:w="977"/>
          </w:tcPr>
          <w:p>
            <w:pPr>
              <w:pStyle w:val="null3"/>
            </w:pPr>
            <w:r>
              <w:rPr/>
              <w:t>详见第二章</w:t>
            </w:r>
          </w:p>
        </w:tc>
        <w:tc>
          <w:tcPr>
            <w:tcW w:type="dxa" w:w="977"/>
          </w:tcPr>
          <w:p>
            <w:pPr>
              <w:pStyle w:val="null3"/>
            </w:pPr>
            <w:r>
              <w:rPr/>
              <w:t>480,000.00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交换设备</w:t>
            </w:r>
          </w:p>
        </w:tc>
        <w:tc>
          <w:tcPr>
            <w:tcW w:type="dxa" w:w="2052"/>
          </w:tcPr>
          <w:p>
            <w:pPr>
              <w:pStyle w:val="null3"/>
            </w:pPr>
            <w:r>
              <w:rPr/>
              <w:t>网络交换机</w:t>
            </w:r>
          </w:p>
        </w:tc>
        <w:tc>
          <w:tcPr>
            <w:tcW w:type="dxa" w:w="977"/>
          </w:tcPr>
          <w:p>
            <w:pPr>
              <w:pStyle w:val="null3"/>
            </w:pPr>
            <w:r>
              <w:rPr/>
              <w:t>12(台)</w:t>
            </w:r>
          </w:p>
        </w:tc>
        <w:tc>
          <w:tcPr>
            <w:tcW w:type="dxa" w:w="977"/>
          </w:tcPr>
          <w:p>
            <w:pPr>
              <w:pStyle w:val="null3"/>
            </w:pPr>
            <w:r>
              <w:rPr/>
              <w:t>详见第二章</w:t>
            </w:r>
          </w:p>
        </w:tc>
        <w:tc>
          <w:tcPr>
            <w:tcW w:type="dxa" w:w="977"/>
          </w:tcPr>
          <w:p>
            <w:pPr>
              <w:pStyle w:val="null3"/>
            </w:pPr>
            <w:r>
              <w:rPr/>
              <w:t>120,000.00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网上行为管理设备</w:t>
            </w:r>
          </w:p>
        </w:tc>
        <w:tc>
          <w:tcPr>
            <w:tcW w:type="dxa" w:w="2052"/>
          </w:tcPr>
          <w:p>
            <w:pPr>
              <w:pStyle w:val="null3"/>
            </w:pPr>
            <w:r>
              <w:rPr/>
              <w:t>上网行为管理设备</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100,000.00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其他计算机软件</w:t>
            </w:r>
          </w:p>
        </w:tc>
        <w:tc>
          <w:tcPr>
            <w:tcW w:type="dxa" w:w="2052"/>
          </w:tcPr>
          <w:p>
            <w:pPr>
              <w:pStyle w:val="null3"/>
            </w:pPr>
            <w:r>
              <w:rPr/>
              <w:t>网络流量监控软件</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100,000.00</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合同履行期限：合同签订日起至质保期结束。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 。（如投标人为联合体，联合体各方均须满足）。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pPr>
      <w:r>
        <w:rPr/>
        <w:t>采购包1（2025年基础地理信息数据及耕地动态监测监管等项目桌面云集群建设采购项目）：</w:t>
      </w:r>
      <w:r>
        <w:rPr/>
        <w:t>本项目以联合体形式预留不少于合同金额30%给中小企业。供应商须符合以下情形之一： （1）若以非联合体形式投标，供应商所投产品（不适宜面向中小的产品除外，不适宜面向中小的产品详见采购需求）均须由中小企业生产且使用该中小企业商号或者注册商标。投标时需提交《中小企业声明函（货物）》。 （2）若以联合体形式投标，联合体任一方提供的产品（不适宜面向中小的产品除外，不适宜面向中小的产品详见采购需求）须全部由中小企业生产且使用该中小企业商号或者注册商标，且该部分须达到合同金额的30%。投标时需同时提交以下证明材料： ①提交《中小企业声明函（货物）》。 ②提供《产品报价统计表》（详见“第二章采购需求 八、产品报价统计表”）。 注：中小企业应符合本项目主要采购标的对应的行业（具体行业详见采购需求）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采购包1（2025年基础地理信息数据及耕地动态监测监管等项目桌面云集群建设采购项目）：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p>
      <w:pPr>
        <w:pStyle w:val="null3"/>
      </w:pPr>
      <w:r>
        <w:rPr/>
        <w:t>2)单位负责人为同一人或者存在直接控股、 管理关系的不同投标人，不得同时参加本采购项目（或采购包） 投标（响应）。投标（报价） 函相关承诺要求内容。 （如投标人为联合体，联合体各方不得与本采购包其他投标人存在上述情形）。</w:t>
      </w:r>
    </w:p>
    <w:p>
      <w:pPr>
        <w:pStyle w:val="null3"/>
      </w:pPr>
      <w:r>
        <w:rPr/>
        <w:t>3)为本项目提供整体设计、 规范编制或者项目管理、 监理、 检测等服务的投标人，不得再参与本项目投标（响应）。 投标（报价） 函相关承诺要求内容。（如投标人为联合体，联合体各方均须满足）。</w:t>
      </w:r>
    </w:p>
    <w:p>
      <w:pPr>
        <w:pStyle w:val="null3"/>
      </w:pPr>
      <w:r>
        <w:rPr/>
        <w:t>4)本项目接受联合体投标，联合体组成单位不超过2家单位。联合体各方须提交《联合体共同投标协议书》，明确联合体牵头单位及各方责任，联合体牵头方对联合体成员完成招标任务负有责任且联合体任何一方不能再单独或与其他投标人组成另一联合体申请本项目的投标。（以联合体形式投标时，提交《联合体共同投标协议书》，联合体共同投标协议书必须加盖所有联合体成员法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广东省国土资源测绘院</w:t>
      </w:r>
    </w:p>
    <w:p>
      <w:pPr>
        <w:pStyle w:val="null3"/>
        <w:ind w:firstLine="480"/>
      </w:pPr>
      <w:r>
        <w:rPr/>
        <w:t xml:space="preserve"> 地址：</w:t>
      </w:r>
      <w:r>
        <w:rPr/>
        <w:t>广州市黄埔区光谱中路13号</w:t>
      </w:r>
    </w:p>
    <w:p>
      <w:pPr>
        <w:pStyle w:val="null3"/>
        <w:ind w:firstLine="480"/>
      </w:pPr>
      <w:r>
        <w:rPr/>
        <w:t xml:space="preserve"> 联系方式：</w:t>
      </w:r>
      <w:r>
        <w:rPr/>
        <w:t>020-89814301</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w:t>
      </w:r>
      <w:r>
        <w:rPr>
          <w:sz w:val="24"/>
          <w:b/>
        </w:rPr>
        <w:t>建设背景</w:t>
      </w:r>
    </w:p>
    <w:p>
      <w:pPr>
        <w:pStyle w:val="null3"/>
        <w:ind w:firstLine="480"/>
        <w:jc w:val="both"/>
      </w:pPr>
      <w:r>
        <w:rPr>
          <w:sz w:val="24"/>
        </w:rPr>
        <w:t>为贯彻落实国家和广东省关于基础测绘保障能力建设和耕地保护监督管理的决策部署，提升我院地理信息数据处理和耕地动态监测监管工作效率，根据《基础测绘保障能力建设工程（</w:t>
      </w:r>
      <w:r>
        <w:rPr>
          <w:sz w:val="24"/>
        </w:rPr>
        <w:t>2025年度）基础环境能力建设》和《耕地保护监督管理（2025年度）耕地动态监测监管技术服务支撑》等项目建设要求，我院拟开展“2025 年基础地理信息数据及耕地动态监测监管等项目桌面云集群建设采购项目”（以下简称本项目）。</w:t>
      </w:r>
    </w:p>
    <w:p>
      <w:pPr>
        <w:pStyle w:val="null3"/>
        <w:ind w:firstLine="480"/>
        <w:jc w:val="both"/>
      </w:pPr>
      <w:r>
        <w:rPr>
          <w:sz w:val="24"/>
        </w:rPr>
        <w:t>本项目旨在构建集中化管理、弹性扩展的虚拟桌面环境，优化现有计算资源配置，提高资源利用率和管理效率，以满足日益增长的数据处理和分析需求。本次建设将全面采用国产操作系统，增强信息系统自主可控性，保障信息安全，并部署高性能网络交换机和汇聚交换机，构建高速稳定的网络环境，保障桌面云平台的高效运行和用户体验。</w:t>
      </w:r>
    </w:p>
    <w:p>
      <w:pPr>
        <w:pStyle w:val="null3"/>
        <w:ind w:firstLine="482"/>
        <w:jc w:val="both"/>
      </w:pPr>
      <w:r>
        <w:rPr>
          <w:sz w:val="24"/>
          <w:b/>
        </w:rPr>
        <w:t>（二）</w:t>
      </w:r>
      <w:r>
        <w:rPr>
          <w:sz w:val="24"/>
          <w:b/>
        </w:rPr>
        <w:t>建设目标</w:t>
      </w:r>
    </w:p>
    <w:p>
      <w:pPr>
        <w:pStyle w:val="null3"/>
        <w:ind w:firstLine="480"/>
        <w:jc w:val="both"/>
      </w:pPr>
      <w:r>
        <w:rPr>
          <w:sz w:val="24"/>
        </w:rPr>
        <w:t>本项目建设的总体目标是：构建安全、高效、稳定的桌面云平台，为我院基础地理信息数据处理和耕地动态监测监管等业务提供有力支撑。具体目标包括：</w:t>
      </w:r>
    </w:p>
    <w:p>
      <w:pPr>
        <w:pStyle w:val="null3"/>
        <w:ind w:firstLine="480"/>
        <w:jc w:val="both"/>
      </w:pPr>
      <w:r>
        <w:rPr>
          <w:sz w:val="24"/>
        </w:rPr>
        <w:t>1、构建可支持100个用户并发访问的桌面云环境，满足日常办公、数据处理和分析等业务需求。</w:t>
      </w:r>
    </w:p>
    <w:p>
      <w:pPr>
        <w:pStyle w:val="null3"/>
        <w:ind w:firstLine="480"/>
        <w:jc w:val="both"/>
      </w:pPr>
      <w:r>
        <w:rPr>
          <w:sz w:val="24"/>
        </w:rPr>
        <w:t>2、实现桌面环境的集中管理和快速部署，简化IT运维工作，降低管理成本。</w:t>
      </w:r>
    </w:p>
    <w:p>
      <w:pPr>
        <w:pStyle w:val="null3"/>
        <w:ind w:firstLine="480"/>
        <w:jc w:val="both"/>
      </w:pPr>
      <w:r>
        <w:rPr>
          <w:sz w:val="24"/>
        </w:rPr>
        <w:t>3、优化现有计算资源配置，提高资源利用率，避免资源浪费。</w:t>
      </w:r>
    </w:p>
    <w:p>
      <w:pPr>
        <w:pStyle w:val="null3"/>
        <w:ind w:firstLine="480"/>
        <w:jc w:val="both"/>
      </w:pPr>
      <w:r>
        <w:rPr>
          <w:sz w:val="24"/>
        </w:rPr>
        <w:t>4、全面采用国产操作系统，提升信息系统自主可控水平，保障信息安全。</w:t>
      </w:r>
    </w:p>
    <w:p>
      <w:pPr>
        <w:pStyle w:val="null3"/>
        <w:ind w:firstLine="480"/>
        <w:jc w:val="both"/>
      </w:pPr>
      <w:r>
        <w:rPr>
          <w:sz w:val="24"/>
        </w:rPr>
        <w:t>5、构建高速稳定的网络环境，保障桌面云平台的流畅运行和用户良好的使用体验。</w:t>
      </w:r>
    </w:p>
    <w:p>
      <w:pPr>
        <w:pStyle w:val="null3"/>
        <w:ind w:firstLine="480"/>
        <w:jc w:val="both"/>
      </w:pPr>
      <w:r>
        <w:rPr>
          <w:sz w:val="24"/>
        </w:rPr>
        <w:t>6、实现与现有信息系统的良好兼容和集成，保障业务的连续性和稳定性。</w:t>
      </w:r>
    </w:p>
    <w:p>
      <w:pPr>
        <w:pStyle w:val="null3"/>
        <w:jc w:val="left"/>
        <w:outlineLvl w:val="0"/>
      </w:pPr>
      <w:r>
        <w:rPr>
          <w:sz w:val="28"/>
          <w:b/>
        </w:rPr>
        <w:t>二、</w:t>
      </w:r>
      <w:r>
        <w:rPr>
          <w:sz w:val="28"/>
          <w:b/>
        </w:rPr>
        <w:t>基本要求</w:t>
      </w:r>
    </w:p>
    <w:p>
      <w:pPr>
        <w:pStyle w:val="null3"/>
        <w:ind w:firstLine="420"/>
        <w:jc w:val="left"/>
      </w:pPr>
      <w:r>
        <w:rPr>
          <w:sz w:val="21"/>
        </w:rPr>
        <w:t>1</w:t>
      </w:r>
      <w:r>
        <w:rPr>
          <w:sz w:val="21"/>
        </w:rPr>
        <w:t>、</w:t>
      </w:r>
      <w:r>
        <w:rPr>
          <w:sz w:val="24"/>
        </w:rPr>
        <w:t>供应商须对本项目为单位的货物及服务进行整体响应，任何只对本项目其中一部分内容进行的响应都被视为无效响应。</w:t>
      </w:r>
    </w:p>
    <w:p>
      <w:pPr>
        <w:pStyle w:val="null3"/>
        <w:ind w:firstLine="480"/>
        <w:jc w:val="left"/>
      </w:pPr>
      <w:r>
        <w:rPr>
          <w:sz w:val="24"/>
        </w:rPr>
        <w:t>2</w:t>
      </w:r>
      <w:r>
        <w:rPr>
          <w:sz w:val="24"/>
        </w:rPr>
        <w:t>、</w:t>
      </w:r>
      <w:r>
        <w:rPr>
          <w:sz w:val="24"/>
        </w:rPr>
        <w:t>需求书如有标注</w:t>
      </w:r>
      <w:r>
        <w:rPr>
          <w:sz w:val="24"/>
        </w:rPr>
        <w:t>“★”号条款为实质性条款，供应商若有任何一条不响应或负偏离则导致响应无效。</w:t>
      </w:r>
    </w:p>
    <w:p>
      <w:pPr>
        <w:pStyle w:val="null3"/>
        <w:ind w:firstLine="480"/>
        <w:jc w:val="left"/>
      </w:pPr>
      <w:r>
        <w:rPr>
          <w:sz w:val="24"/>
        </w:rPr>
        <w:t>3</w:t>
      </w:r>
      <w:r>
        <w:rPr>
          <w:sz w:val="24"/>
        </w:rPr>
        <w:t>、</w:t>
      </w:r>
      <w:r>
        <w:rPr>
          <w:sz w:val="24"/>
        </w:rPr>
        <w:t>需求书中如有标注</w:t>
      </w:r>
      <w:r>
        <w:rPr>
          <w:sz w:val="24"/>
        </w:rPr>
        <w:t>“▲”号条款为重要指标，供应商若有部分“▲”条款未响应或不满足，将导致失分，但不作为无效响应条款。</w:t>
      </w:r>
    </w:p>
    <w:p>
      <w:pPr>
        <w:pStyle w:val="null3"/>
        <w:ind w:firstLine="480"/>
        <w:jc w:val="left"/>
      </w:pPr>
      <w:r>
        <w:rPr>
          <w:sz w:val="24"/>
        </w:rPr>
        <w:t>4</w:t>
      </w:r>
      <w:r>
        <w:rPr>
          <w:sz w:val="24"/>
        </w:rPr>
        <w:t>、按照政府采购有关政策的要求，在本次项目中，采用符合政策的节能产品、环境标志产品，须按照第二章采购需求</w:t>
      </w:r>
      <w:r>
        <w:rPr>
          <w:sz w:val="24"/>
          <w:b/>
        </w:rPr>
        <w:t>“政策适用性说明”</w:t>
      </w:r>
      <w:r>
        <w:rPr>
          <w:sz w:val="24"/>
        </w:rPr>
        <w:t>要求填写。</w:t>
      </w:r>
    </w:p>
    <w:p>
      <w:pPr>
        <w:pStyle w:val="null3"/>
        <w:ind w:firstLine="480"/>
        <w:jc w:val="left"/>
      </w:pPr>
      <w:r>
        <w:rPr>
          <w:sz w:val="24"/>
        </w:rPr>
        <w:t>5、</w:t>
      </w:r>
      <w:r>
        <w:rPr>
          <w:sz w:val="24"/>
        </w:rPr>
        <w:t>需要落实的政府采购政策：《政府采购促进中小企业发展管理办法》（财库〔</w:t>
      </w:r>
      <w:r>
        <w:rPr>
          <w:sz w:val="24"/>
        </w:rPr>
        <w:t>2020〕46号）、《关于政府采购支持监狱企业发展有关问题的通知》(财库〔2014〕68号)、《关于促进残疾人就业政府采购政策的通知》（财库〔2017〕141号)</w:t>
      </w:r>
      <w:r>
        <w:rPr>
          <w:sz w:val="24"/>
        </w:rPr>
        <w:t>、《关于调整优化节能产品、环境标志产品政府采购执行机制的通知》（财库〔</w:t>
      </w:r>
      <w:r>
        <w:rPr>
          <w:sz w:val="24"/>
        </w:rPr>
        <w:t>2019〕9号）</w:t>
      </w:r>
      <w:r>
        <w:rPr>
          <w:sz w:val="24"/>
        </w:rPr>
        <w:t>等。</w:t>
      </w:r>
    </w:p>
    <w:p>
      <w:pPr>
        <w:pStyle w:val="null3"/>
        <w:ind w:firstLine="480"/>
        <w:jc w:val="left"/>
      </w:pPr>
      <w:r>
        <w:rPr>
          <w:sz w:val="24"/>
        </w:rPr>
        <w:t>★</w:t>
      </w:r>
      <w:r>
        <w:rPr>
          <w:sz w:val="24"/>
        </w:rPr>
        <w:t>6、</w:t>
      </w:r>
      <w:r>
        <w:rPr>
          <w:sz w:val="24"/>
        </w:rPr>
        <w:t>投标人须承诺所投设备均符合国家强制性要求。（投标时提供承诺，可参照</w:t>
      </w:r>
      <w:r>
        <w:rPr>
          <w:sz w:val="24"/>
        </w:rPr>
        <w:t>“</w:t>
      </w:r>
      <w:r>
        <w:rPr>
          <w:sz w:val="24"/>
        </w:rPr>
        <w:t>投标文件格式与要求</w:t>
      </w:r>
      <w:r>
        <w:rPr>
          <w:sz w:val="24"/>
        </w:rPr>
        <w:t>”中《承诺函》格式）。</w:t>
      </w:r>
    </w:p>
    <w:p>
      <w:pPr>
        <w:pStyle w:val="null3"/>
        <w:ind w:firstLine="480"/>
        <w:jc w:val="left"/>
      </w:pPr>
      <w:r>
        <w:rPr>
          <w:sz w:val="24"/>
        </w:rPr>
        <w:t>★</w:t>
      </w:r>
      <w:r>
        <w:rPr>
          <w:sz w:val="24"/>
        </w:rPr>
        <w:t>7、</w:t>
      </w:r>
      <w:r>
        <w:rPr>
          <w:sz w:val="24"/>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4"/>
        </w:rPr>
        <w:t>“</w:t>
      </w:r>
      <w:r>
        <w:rPr>
          <w:sz w:val="24"/>
        </w:rPr>
        <w:t>投标文件格式与要求</w:t>
      </w:r>
      <w:r>
        <w:rPr>
          <w:sz w:val="24"/>
        </w:rPr>
        <w:t>”中《承诺函》格式）</w:t>
      </w:r>
    </w:p>
    <w:p>
      <w:pPr>
        <w:pStyle w:val="null3"/>
        <w:ind w:firstLine="480"/>
        <w:jc w:val="left"/>
      </w:pPr>
      <w:r>
        <w:rPr>
          <w:sz w:val="24"/>
        </w:rPr>
        <w:t>★</w:t>
      </w:r>
      <w:r>
        <w:rPr>
          <w:sz w:val="24"/>
        </w:rPr>
        <w:t>8、</w:t>
      </w:r>
      <w:r>
        <w:rPr>
          <w:sz w:val="24"/>
        </w:rPr>
        <w:t>本项目不允许分包。如供应商在投标</w:t>
      </w:r>
      <w:r>
        <w:rPr>
          <w:sz w:val="24"/>
        </w:rPr>
        <w:t>/响应文件中未出现《分包意向协议书》，则视为未采取分包。</w:t>
      </w:r>
    </w:p>
    <w:p>
      <w:pPr>
        <w:pStyle w:val="null3"/>
        <w:ind w:firstLine="480"/>
        <w:jc w:val="left"/>
      </w:pPr>
      <w:r>
        <w:rPr>
          <w:sz w:val="24"/>
        </w:rPr>
        <w:t>★</w:t>
      </w:r>
      <w:r>
        <w:rPr>
          <w:sz w:val="24"/>
        </w:rPr>
        <w:t>9</w:t>
      </w:r>
      <w:r>
        <w:rPr>
          <w:sz w:val="24"/>
        </w:rPr>
        <w:t>、</w:t>
      </w:r>
      <w:r>
        <w:rPr>
          <w:sz w:val="24"/>
        </w:rPr>
        <w:t>若中标（成交），不得将本项目（包组）转包，不得将中标（成交）项目肢解后分别向其他企业或个人转让。（投标时提供承诺</w:t>
      </w:r>
      <w:r>
        <w:rPr>
          <w:sz w:val="24"/>
        </w:rPr>
        <w:t>函</w:t>
      </w:r>
      <w:r>
        <w:rPr>
          <w:sz w:val="24"/>
        </w:rPr>
        <w:t>，</w:t>
      </w:r>
      <w:r>
        <w:rPr>
          <w:sz w:val="24"/>
        </w:rPr>
        <w:t>可参照</w:t>
      </w:r>
      <w:r>
        <w:rPr>
          <w:sz w:val="24"/>
        </w:rPr>
        <w:t>“</w:t>
      </w:r>
      <w:r>
        <w:rPr>
          <w:sz w:val="24"/>
        </w:rPr>
        <w:t>投标文件格式与要求</w:t>
      </w:r>
      <w:r>
        <w:rPr>
          <w:sz w:val="24"/>
        </w:rPr>
        <w:t>”中《承诺函》格式</w:t>
      </w:r>
      <w:r>
        <w:rPr>
          <w:sz w:val="24"/>
        </w:rPr>
        <w:t>）。</w:t>
      </w:r>
    </w:p>
    <w:p>
      <w:pPr>
        <w:pStyle w:val="null3"/>
        <w:jc w:val="left"/>
        <w:outlineLvl w:val="0"/>
      </w:pPr>
      <w:r>
        <w:rPr>
          <w:sz w:val="28"/>
          <w:b/>
        </w:rPr>
        <w:t>三、</w:t>
      </w:r>
      <w:r>
        <w:rPr>
          <w:sz w:val="28"/>
          <w:b/>
        </w:rPr>
        <w:t>采购</w:t>
      </w:r>
      <w:r>
        <w:rPr>
          <w:sz w:val="28"/>
          <w:b/>
        </w:rPr>
        <w:t>内容</w:t>
      </w:r>
      <w:r>
        <w:rPr>
          <w:sz w:val="28"/>
          <w:b/>
        </w:rPr>
        <w:t>及预算</w:t>
      </w:r>
    </w:p>
    <w:tbl>
      <w:tblPr>
        <w:tblW w:w="0" w:type="auto"/>
        <w:tblBorders>
          <w:top w:val="none" w:color="000000" w:sz="4"/>
          <w:left w:val="none" w:color="000000" w:sz="4"/>
          <w:bottom w:val="none" w:color="000000" w:sz="4"/>
          <w:right w:val="none" w:color="000000" w:sz="4"/>
          <w:insideH w:val="none"/>
          <w:insideV w:val="none"/>
        </w:tblBorders>
      </w:tblPr>
      <w:tblGrid>
        <w:gridCol w:w="389"/>
        <w:gridCol w:w="1085"/>
        <w:gridCol w:w="820"/>
        <w:gridCol w:w="1113"/>
        <w:gridCol w:w="1168"/>
        <w:gridCol w:w="723"/>
        <w:gridCol w:w="862"/>
        <w:gridCol w:w="918"/>
        <w:gridCol w:w="1168"/>
      </w:tblGrid>
      <w:tr>
        <w:tc>
          <w:tcPr>
            <w:tcW w:type="dxa" w:w="389"/>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序号</w:t>
            </w:r>
          </w:p>
        </w:tc>
        <w:tc>
          <w:tcPr>
            <w:tcW w:type="dxa" w:w="1085"/>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采购标的</w:t>
            </w:r>
          </w:p>
        </w:tc>
        <w:tc>
          <w:tcPr>
            <w:tcW w:type="dxa" w:w="820"/>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数量</w:t>
            </w:r>
          </w:p>
          <w:p>
            <w:pPr>
              <w:pStyle w:val="null3"/>
              <w:jc w:val="center"/>
            </w:pPr>
            <w:r>
              <w:rPr>
                <w:sz w:val="18"/>
                <w:b/>
              </w:rPr>
              <w:t>（</w:t>
            </w:r>
            <w:r>
              <w:rPr>
                <w:sz w:val="18"/>
                <w:b/>
              </w:rPr>
              <w:t>单位</w:t>
            </w:r>
            <w:r>
              <w:rPr>
                <w:sz w:val="18"/>
                <w:b/>
              </w:rPr>
              <w:t>）</w:t>
            </w:r>
          </w:p>
        </w:tc>
        <w:tc>
          <w:tcPr>
            <w:tcW w:type="dxa" w:w="1113"/>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分项</w:t>
            </w:r>
            <w:r>
              <w:rPr>
                <w:sz w:val="18"/>
                <w:b/>
              </w:rPr>
              <w:t>预算单价</w:t>
            </w:r>
            <w:r>
              <w:rPr>
                <w:sz w:val="18"/>
                <w:b/>
              </w:rPr>
              <w:t>限价</w:t>
            </w:r>
            <w:r>
              <w:rPr>
                <w:sz w:val="18"/>
                <w:b/>
              </w:rPr>
              <w:t>（元）</w:t>
            </w:r>
          </w:p>
        </w:tc>
        <w:tc>
          <w:tcPr>
            <w:tcW w:type="dxa" w:w="1168"/>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分项预算总价限价</w:t>
            </w:r>
            <w:r>
              <w:rPr>
                <w:sz w:val="18"/>
                <w:b/>
              </w:rPr>
              <w:t>（元）</w:t>
            </w:r>
          </w:p>
        </w:tc>
        <w:tc>
          <w:tcPr>
            <w:tcW w:type="dxa" w:w="723"/>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是否核心产品</w:t>
            </w:r>
          </w:p>
        </w:tc>
        <w:tc>
          <w:tcPr>
            <w:tcW w:type="dxa" w:w="862"/>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是否允许进口产品</w:t>
            </w:r>
          </w:p>
        </w:tc>
        <w:tc>
          <w:tcPr>
            <w:tcW w:type="dxa" w:w="918"/>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是否适宜面向中小</w:t>
            </w:r>
          </w:p>
        </w:tc>
        <w:tc>
          <w:tcPr>
            <w:tcW w:type="dxa" w:w="1168"/>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rPr>
              <w:t>中小企业所属行业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1</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桌面云集群</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3套</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250,000.00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750,000.00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color w:val="000000"/>
              </w:rPr>
              <w:t>是</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工业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2</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桌面云软件</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3套</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80,000.00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240,000.00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软件和信息技术服务业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3</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桌面云终端</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100套</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9,190.00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919,000.00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color w:val="000000"/>
              </w:rPr>
              <w:t>是</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color w:val="000000"/>
              </w:rPr>
              <w:t>工业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4</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操作系统</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130套</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700.00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91,000.00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软件和信息技术服务业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5</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核心交换机</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4台</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120,000.00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480,000.00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工业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6</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接入交换机</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12台</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10,000.00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120,000.00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工业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7</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上网行为管理设备</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1台</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100,000.00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100,000.00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工业</w:t>
            </w:r>
          </w:p>
        </w:tc>
      </w:tr>
      <w:tr>
        <w:tc>
          <w:tcPr>
            <w:tcW w:type="dxa" w:w="38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8</w:t>
            </w:r>
          </w:p>
        </w:tc>
        <w:tc>
          <w:tcPr>
            <w:tcW w:type="dxa" w:w="108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网络流量监控软件</w:t>
            </w:r>
          </w:p>
        </w:tc>
        <w:tc>
          <w:tcPr>
            <w:tcW w:type="dxa" w:w="82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1套</w:t>
            </w:r>
          </w:p>
        </w:tc>
        <w:tc>
          <w:tcPr>
            <w:tcW w:type="dxa" w:w="111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100,000.00</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 xml:space="preserve"> </w:t>
            </w:r>
            <w:r>
              <w:rPr>
                <w:sz w:val="18"/>
                <w:color w:val="000000"/>
              </w:rPr>
              <w:t>100,000.00</w:t>
            </w:r>
          </w:p>
        </w:tc>
        <w:tc>
          <w:tcPr>
            <w:tcW w:type="dxa" w:w="72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8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否</w:t>
            </w:r>
          </w:p>
        </w:tc>
        <w:tc>
          <w:tcPr>
            <w:tcW w:type="dxa" w:w="91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color w:val="000000"/>
              </w:rPr>
              <w:t>是</w:t>
            </w:r>
          </w:p>
        </w:tc>
        <w:tc>
          <w:tcPr>
            <w:tcW w:type="dxa" w:w="1168"/>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b/>
                <w:color w:val="000000"/>
              </w:rPr>
              <w:t>软件和信息技术服务业</w:t>
            </w:r>
          </w:p>
        </w:tc>
      </w:tr>
    </w:tbl>
    <w:p>
      <w:pPr>
        <w:pStyle w:val="null3"/>
        <w:spacing w:before="150"/>
        <w:jc w:val="left"/>
        <w:outlineLvl w:val="0"/>
      </w:pPr>
      <w:r>
        <w:rPr>
          <w:sz w:val="24"/>
          <w:b/>
        </w:rPr>
        <w:t>四、</w:t>
      </w:r>
      <w:r>
        <w:rPr>
          <w:sz w:val="24"/>
          <w:b/>
        </w:rPr>
        <w:t>采购需求</w:t>
      </w:r>
    </w:p>
    <w:p>
      <w:pPr>
        <w:pStyle w:val="null3"/>
        <w:jc w:val="left"/>
        <w:outlineLvl w:val="1"/>
      </w:pPr>
      <w:r>
        <w:rPr>
          <w:sz w:val="24"/>
          <w:b/>
        </w:rPr>
        <w:t>（一）指标</w:t>
      </w:r>
      <w:r>
        <w:rPr>
          <w:sz w:val="24"/>
          <w:b/>
        </w:rPr>
        <w:t>要求</w:t>
      </w:r>
    </w:p>
    <w:p>
      <w:pPr>
        <w:pStyle w:val="null3"/>
        <w:ind w:firstLine="480"/>
        <w:jc w:val="left"/>
      </w:pPr>
      <w:r>
        <w:rPr>
          <w:sz w:val="24"/>
        </w:rPr>
        <w:t>本项内容主要涉及服务器</w:t>
      </w:r>
      <w:r>
        <w:rPr>
          <w:sz w:val="24"/>
        </w:rPr>
        <w:t>、交换机</w:t>
      </w:r>
      <w:r>
        <w:rPr>
          <w:sz w:val="24"/>
        </w:rPr>
        <w:t>的采购。根据财政部和工业和信息化部于</w:t>
      </w:r>
      <w:r>
        <w:rPr>
          <w:sz w:val="24"/>
        </w:rPr>
        <w:t>2023年12月发布的《便携式计算机政府采购需求标准（2023年版）》、《工作站政府采购需求标准（2023年版）》和《通用服务器政府采购需求标准（2023年版）》，采购人应将《需求标准》中标注“</w:t>
      </w:r>
      <w:r>
        <w:rPr>
          <w:sz w:val="18"/>
          <w:color w:val="000000"/>
        </w:rPr>
        <w:t>★</w:t>
      </w:r>
      <w:r>
        <w:rPr>
          <w:sz w:val="24"/>
        </w:rPr>
        <w:t>”号的指标纳入采购需求，并作为采购文件中的实质性要求进行设置。</w:t>
      </w:r>
    </w:p>
    <w:p>
      <w:pPr>
        <w:pStyle w:val="null3"/>
        <w:jc w:val="both"/>
        <w:outlineLvl w:val="2"/>
      </w:pPr>
      <w:r>
        <w:rPr>
          <w:sz w:val="24"/>
          <w:b/>
        </w:rPr>
        <w:t>1</w:t>
      </w:r>
      <w:r>
        <w:rPr>
          <w:sz w:val="24"/>
          <w:b/>
        </w:rPr>
        <w:t>、桌面云集群</w:t>
      </w:r>
    </w:p>
    <w:tbl>
      <w:tblPr>
        <w:tblW w:w="0" w:type="auto"/>
        <w:tblBorders>
          <w:top w:val="none" w:color="000000" w:sz="4"/>
          <w:left w:val="none" w:color="000000" w:sz="4"/>
          <w:bottom w:val="none" w:color="000000" w:sz="4"/>
          <w:right w:val="none" w:color="000000" w:sz="4"/>
          <w:insideH w:val="none"/>
          <w:insideV w:val="none"/>
        </w:tblBorders>
      </w:tblPr>
      <w:tblGrid>
        <w:gridCol w:w="674"/>
        <w:gridCol w:w="952"/>
        <w:gridCol w:w="1010"/>
        <w:gridCol w:w="1040"/>
        <w:gridCol w:w="4627"/>
      </w:tblGrid>
      <w:tr>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一级指标</w:t>
            </w:r>
          </w:p>
        </w:tc>
        <w:tc>
          <w:tcPr>
            <w:tcW w:type="dxa" w:w="10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二级指标</w:t>
            </w:r>
          </w:p>
        </w:tc>
        <w:tc>
          <w:tcPr>
            <w:tcW w:type="dxa" w:w="4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 信息</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配置</w:t>
            </w:r>
            <w:r>
              <w:rPr>
                <w:sz w:val="18"/>
                <w:color w:val="000000"/>
              </w:rPr>
              <w:t>≥2颗Hygon 7390 C86架构处理器，兼容X86；每颗处理器内核数≥32，总线程数≥64，最大睿频频率≥3.3 GHz，处理器基本频率≥2.7 GHz，缓存≥64 MB，TDP≤225W，最大内存速度≥3200 MT/s，最大内存通道数≥8，支持虚拟化技术</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★主板支持的CPU和内存情况</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主板支持</w:t>
            </w:r>
            <w:r>
              <w:rPr>
                <w:sz w:val="18"/>
                <w:color w:val="000000"/>
              </w:rPr>
              <w:t>≥2颗处理器，可选最大可支持至32核处理器。支持≥32个DDR4内存插槽，最大可扩展2TB内存，支持≥3200 MT/s内存</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★主板内存槽数量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非板载内存的可扩展插槽数量应不少于</w:t>
            </w:r>
            <w:r>
              <w:rPr>
                <w:sz w:val="18"/>
                <w:color w:val="000000"/>
              </w:rPr>
              <w:t>32 个</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★主板存储接口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至少支持</w:t>
            </w:r>
            <w:r>
              <w:rPr>
                <w:sz w:val="18"/>
                <w:color w:val="000000"/>
              </w:rPr>
              <w:t>SATA、SAS、M.2、U.2 等存储接口中的 1 种</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★PCIe 插槽接口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符合</w:t>
            </w:r>
            <w:r>
              <w:rPr>
                <w:sz w:val="18"/>
                <w:color w:val="000000"/>
              </w:rPr>
              <w:t>PCIe4.0 或以上的高速串行计算机扩展总线标准，PCIe的接口速率与位宽需保证向下兼容</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★主板PCIe插槽数量及规格</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高度大于</w:t>
            </w:r>
            <w:r>
              <w:rPr>
                <w:sz w:val="18"/>
                <w:color w:val="000000"/>
              </w:rPr>
              <w:t>44.45mm双路或以上服务器最大支持≥12个PCIe槽位。</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特殊孔位及接口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a)服务器机箱内主板可根据用户实际使用需求支持安装多功能导入装置板卡，机箱内需预留多功能导入装置板卡安装位置；</w:t>
            </w:r>
            <w:r>
              <w:br/>
            </w:r>
            <w:r>
              <w:rPr>
                <w:sz w:val="18"/>
                <w:color w:val="000000"/>
              </w:rPr>
              <w:t>b)服务器主板可根据用户实际使用需求预留满足USB2.0或USB3.0数据传输规范的接口，工作电压5V，采用USB2.0时，最大过电流应不小于0.5A，采用USB3.0时，最大过电流应不小于1A</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板载网络接口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配置板载网络接口</w:t>
            </w:r>
            <w:r>
              <w:rPr>
                <w:sz w:val="18"/>
                <w:color w:val="000000"/>
              </w:rPr>
              <w:t>≥2个1 GE网口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w:t>
            </w:r>
            <w:r>
              <w:rPr>
                <w:sz w:val="18"/>
                <w:color w:val="000000"/>
              </w:rPr>
              <w:t>OCP插槽数量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OCP2.0及以上插槽的数量不少于1个</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≥16</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★内存规格</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≥64GB DDR4 3200MT/s</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★内存通道</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支持多个内存接口通道，每个通道可支持</w:t>
            </w:r>
            <w:r>
              <w:rPr>
                <w:sz w:val="18"/>
                <w:color w:val="000000"/>
              </w:rPr>
              <w:t>1DPC 或 2DPC，当支持2 DPC时，印制电路板上应具备插槽的序号标识，具体通道数应在随机文件中明确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存储规格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★硬磁盘实配容量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a)系统盘：固态盘，可用容量应不小于 960 GB；</w:t>
            </w:r>
            <w:r>
              <w:br/>
            </w:r>
            <w:r>
              <w:rPr>
                <w:sz w:val="18"/>
                <w:color w:val="000000"/>
              </w:rPr>
              <w:t>b)缓存盘：固态盘（NVMe），可用容量应不小于 1.6T GB；</w:t>
            </w:r>
            <w:r>
              <w:br/>
            </w:r>
            <w:r>
              <w:rPr>
                <w:sz w:val="18"/>
                <w:color w:val="000000"/>
              </w:rPr>
              <w:t>c)数据盘：固态盘，可用容量应不小于 7.68 TB。</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硬盘接口类型</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配备固态盘，应提供至少</w:t>
            </w:r>
            <w:r>
              <w:rPr>
                <w:sz w:val="18"/>
                <w:color w:val="000000"/>
              </w:rPr>
              <w:t>2种类型固态盘接口，如SATA、PCIe、U.2、M.2等</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★硬盘实配数量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a)系统盘：固态盘数量应不少于2块；</w:t>
            </w:r>
            <w:r>
              <w:br/>
            </w:r>
            <w:r>
              <w:rPr>
                <w:sz w:val="18"/>
                <w:color w:val="000000"/>
              </w:rPr>
              <w:t>b)缓存盘：固态盘（NVMe）数量应不少于2块；</w:t>
            </w:r>
            <w:r>
              <w:br/>
            </w:r>
            <w:r>
              <w:rPr>
                <w:sz w:val="18"/>
                <w:color w:val="000000"/>
              </w:rPr>
              <w:t>c)数据盘：固态盘数量应不少于6块；</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★硬盘插槽数量及规格</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 供应商应给出配置的硬盘尺寸，如2.5英寸、3.5英寸硬磁盘；</w:t>
            </w:r>
            <w:r>
              <w:br/>
            </w:r>
            <w:r>
              <w:rPr>
                <w:sz w:val="18"/>
                <w:color w:val="000000"/>
              </w:rPr>
              <w:t>b) 机箱高度为88.9mm的服务器可支持的硬盘数量应不少于8块，机箱高度为44.45mm的服务器可支持的硬盘数量应不少于4块。</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▲硬盘拓展性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≥33块2.5"硬盘，或支持≥20块3.5"硬盘+4块2.5"硬盘，可支持SATA/SAS/SSD硬盘，支持热插拔；支持≥26块 NVMe U.2硬盘。</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★硬盘其他参数要求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a)机械硬盘准备时间应不大于30s；侧面固定螺丝孔数量可为4孔或6孔；工作状态环境温度应满足5℃～55℃，其它参数应符合GB/T 12628的相关规定；</w:t>
            </w:r>
            <w:r>
              <w:br/>
            </w:r>
            <w:r>
              <w:rPr>
                <w:sz w:val="18"/>
                <w:color w:val="000000"/>
              </w:rPr>
              <w:t>b)若服务器支持固态盘，固态盘符合SJ/T 11654 相关规定；</w:t>
            </w:r>
            <w:r>
              <w:br/>
            </w:r>
            <w:r>
              <w:rPr>
                <w:sz w:val="18"/>
                <w:color w:val="000000"/>
              </w:rPr>
              <w:t>c)承诺“对服务器设备中硬盘所含核心数据在设备质保期内的数据恢复服务”。</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RAID卡规格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▲RAID卡支持的SAS接口数</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≥18</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网络规格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★网口速率和数量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配备网口数量不少于</w:t>
            </w:r>
            <w:r>
              <w:rPr>
                <w:sz w:val="18"/>
                <w:color w:val="000000"/>
              </w:rPr>
              <w:t>6 个，且网口速率不少于 1GE</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独立网卡接口类型</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≥10GE，接口类型为SFP</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板载网卡接口类型</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≥1GE，接口类型为RJ45</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外部接口规格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★显示接口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配置</w:t>
            </w:r>
            <w:r>
              <w:rPr>
                <w:sz w:val="18"/>
                <w:color w:val="000000"/>
              </w:rPr>
              <w:t>≥1个VGA接口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★USB 接口</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配置</w:t>
            </w:r>
            <w:r>
              <w:rPr>
                <w:sz w:val="18"/>
                <w:color w:val="000000"/>
              </w:rPr>
              <w:t>≥4个USB 接口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电源冗余模式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整机电源模块按</w:t>
            </w:r>
            <w:r>
              <w:rPr>
                <w:sz w:val="18"/>
                <w:color w:val="000000"/>
              </w:rPr>
              <w:t>1+1冗余或N+1冗余配置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★电源模块数量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≥2</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★电源功率</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配置两个</w:t>
            </w:r>
            <w:r>
              <w:rPr>
                <w:sz w:val="18"/>
                <w:color w:val="000000"/>
              </w:rPr>
              <w:t>≥1600W电源模块，支持110V AC、220V AC、-48V DC、240V HVDC、336V HVDC</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▲功率控制</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支持功率封顶技术，提供标准的</w:t>
            </w:r>
            <w:r>
              <w:rPr>
                <w:sz w:val="18"/>
                <w:color w:val="000000"/>
              </w:rPr>
              <w:t>DCMI接口。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29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电源指示灯</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配备电源指示灯，指示待机、工作异常等状态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整机规格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★外观和结构</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a)服务器的零部件应紧固无松动，可插拔部件应可靠连接，开关、按钮和其它控制部件应灵活可靠，布局应方便使用；</w:t>
            </w:r>
            <w:r>
              <w:br/>
            </w:r>
            <w:r>
              <w:rPr>
                <w:sz w:val="18"/>
                <w:color w:val="000000"/>
              </w:rPr>
              <w:t>b) 产品表面不应有明显的凹痕、划伤、裂缝、变形和污染等。表面涂层均匀，不应起泡、龟裂、脱落和磨损，金属零部件无锈蚀及其它机械损伤；</w:t>
            </w:r>
            <w:r>
              <w:br/>
            </w:r>
            <w:r>
              <w:rPr>
                <w:sz w:val="18"/>
                <w:color w:val="000000"/>
              </w:rPr>
              <w:t>c) 产品表面说明功能的文字、符号和标志应清晰、端正且牢固；</w:t>
            </w:r>
            <w:r>
              <w:br/>
            </w:r>
            <w:r>
              <w:rPr>
                <w:sz w:val="18"/>
                <w:color w:val="000000"/>
              </w:rPr>
              <w:t>d) 应在服务器的显著位置提供运行状态的指示功能，并在随机文件中明确具体含义；</w:t>
            </w:r>
            <w:r>
              <w:br/>
            </w:r>
            <w:r>
              <w:rPr>
                <w:sz w:val="18"/>
                <w:color w:val="000000"/>
              </w:rPr>
              <w:t>e) 机架、机箱的尺寸应符合通用机柜的安装要求，插入总线插座的电路板接口外形尺寸应符合有关总线标准的规定，将机箱固定在机柜上，机箱底面最大下垂变形不得干涉相邻机体；</w:t>
            </w:r>
            <w:r>
              <w:br/>
            </w:r>
            <w:r>
              <w:rPr>
                <w:sz w:val="18"/>
                <w:color w:val="000000"/>
              </w:rPr>
              <w:t>f) 高密度服务器应给出 CPU 个数与机柜高度；</w:t>
            </w:r>
            <w:r>
              <w:br/>
            </w:r>
            <w:r>
              <w:rPr>
                <w:sz w:val="18"/>
                <w:color w:val="000000"/>
              </w:rPr>
              <w:t>g) 服务器尺寸具体要求在随机文件中明确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★尺寸（高×宽×深）</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≥44.45mm * 482.6mm * 600mm；设计应遵循标准化、系列化的要求；机箱的内部结构符合通用部件的安装需要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服务器导轨</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兼容服务器尺寸</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 个数与机柜高度单位(U)</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2个CPU，机柜高度不做要求</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★环境适应性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气候环境适应性应符合</w:t>
            </w:r>
            <w:r>
              <w:rPr>
                <w:sz w:val="18"/>
                <w:color w:val="000000"/>
              </w:rPr>
              <w:t>GB/T 9813.3 的有关规定，工作温度10～35℃，贮存运输温度-40～55℃；工作相对湿度 35%～80%，贮存运输相对湿度 20％～93%（40℃）；大气压86～106kPa</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★机械环境适应性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机械环境适应性应符合</w:t>
            </w:r>
            <w:r>
              <w:rPr>
                <w:sz w:val="18"/>
                <w:color w:val="000000"/>
              </w:rPr>
              <w:t>GB/T 9813.3的有关规定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★噪声</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符合</w:t>
            </w:r>
            <w:r>
              <w:rPr>
                <w:sz w:val="18"/>
                <w:color w:val="000000"/>
              </w:rPr>
              <w:t>GB/T 9813.3的有关规定，在产品说明中给出具体测试值</w:t>
            </w:r>
            <w:r>
              <w:br/>
            </w:r>
            <w:r>
              <w:rPr>
                <w:sz w:val="18"/>
                <w:color w:val="000000"/>
              </w:rPr>
              <w:t>塔式服务器噪声在空闲状态下不大于</w:t>
            </w:r>
            <w:r>
              <w:rPr>
                <w:sz w:val="18"/>
                <w:color w:val="000000"/>
              </w:rPr>
              <w:t>50dB</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产品规格</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机柜规格</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★机柜尺寸</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无需配备</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★主板外部接口种类</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≥4个USB接口，≥1个标准串口，≥1个VGA接口，≥1个独立管理网口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39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主板防烧板设计</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支持主板防烧板设计，保证电源故障后不扩散</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扩展功能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实现至少一种扩展功能，如存储功能卡、显示功能卡、运算加速功能卡及网络功能卡等扩展功能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网络功能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★网络功能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支持网络连接、网络访问、数据交换和网络管控功能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★计算处理</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支持通用计算及虚拟化功能。处理器需集成整型计算单元、浮点计算单元、内存控制器、</w:t>
            </w:r>
            <w:r>
              <w:rPr>
                <w:sz w:val="18"/>
                <w:color w:val="000000"/>
              </w:rPr>
              <w:t>I/O模块等，处理器与存储部件、网络部件、I/O部件等组成计算系统，提供数据处理、网络接入等计算相关功能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★密码算法实现</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CPU 芯片应符合GM/T 0008 的相关规定，或芯片密码模块应符合GB/T 37092 或 GM/T 0028 的相关规定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存储功能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内存校验</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支持内存校验或内存增强型纠错功能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SSD NAND 健康状态上报</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支持关键外部存储器（硬磁盘、</w:t>
            </w:r>
            <w:r>
              <w:rPr>
                <w:sz w:val="18"/>
                <w:color w:val="000000"/>
              </w:rPr>
              <w:t>SSD等）的健康状态上报并进行故障诊断</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SSD单盘故障隔离</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SSD关键外部存储器中单存储单元故障隔离</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RAID卡功能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▲RAID卡RAID级别支持</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RAID 模式支持 RAID 0/1/10/5</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★电源热插拔</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整机电源模块应具备热插拔功能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49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★电源过流保护</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支持过流及短路保护的功能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整机功能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★散热方式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支持风冷或液冷等散热方式</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管理系统功能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★BMC 固件基础功能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 支持 DHCP 设置网络功能；</w:t>
            </w:r>
            <w:r>
              <w:br/>
            </w:r>
            <w:r>
              <w:rPr>
                <w:sz w:val="18"/>
                <w:color w:val="000000"/>
              </w:rPr>
              <w:t>2)支持静态 IP 设置网络功能；</w:t>
            </w:r>
            <w:r>
              <w:br/>
            </w:r>
            <w:r>
              <w:rPr>
                <w:sz w:val="18"/>
                <w:color w:val="000000"/>
              </w:rPr>
              <w:t>3)支持设备日志记录，包括但不限于登录日志、操作日志和报警日志等功能；</w:t>
            </w:r>
            <w:r>
              <w:br/>
            </w:r>
            <w:r>
              <w:rPr>
                <w:sz w:val="18"/>
                <w:color w:val="000000"/>
              </w:rPr>
              <w:t>4)支持日志信息导出和记录删除功能；</w:t>
            </w:r>
            <w:r>
              <w:br/>
            </w:r>
            <w:r>
              <w:rPr>
                <w:sz w:val="18"/>
                <w:color w:val="000000"/>
              </w:rPr>
              <w:t>5)支持通过管理接口向外输出准确的报警信息功能；</w:t>
            </w:r>
            <w:r>
              <w:br/>
            </w:r>
            <w:r>
              <w:rPr>
                <w:sz w:val="18"/>
                <w:color w:val="000000"/>
              </w:rPr>
              <w:t>6)设备的 BMC 管理软件应能够按报警的严重程度进行区分；</w:t>
            </w:r>
            <w:r>
              <w:br/>
            </w:r>
            <w:r>
              <w:rPr>
                <w:sz w:val="18"/>
                <w:color w:val="000000"/>
              </w:rPr>
              <w:t>7)支持 DCMI1.5、IPMI2.0、SNMP 或 Redfish等接口功能；</w:t>
            </w:r>
            <w:r>
              <w:br/>
            </w:r>
            <w:r>
              <w:rPr>
                <w:sz w:val="18"/>
                <w:color w:val="000000"/>
              </w:rPr>
              <w:t>8)支持键盘、鼠标和视频的重定向、文本控制台的重定向、远程虚拟媒体、高可靠的硬件监控和管理功能；</w:t>
            </w:r>
            <w:r>
              <w:br/>
            </w:r>
            <w:r>
              <w:rPr>
                <w:sz w:val="18"/>
                <w:color w:val="000000"/>
              </w:rPr>
              <w:t>9)支持基于网络开启、关闭和重启设备的功能，并查询当前设备开机运行状态；</w:t>
            </w:r>
            <w:r>
              <w:br/>
            </w:r>
            <w:r>
              <w:rPr>
                <w:sz w:val="18"/>
                <w:color w:val="000000"/>
              </w:rPr>
              <w:t>10)支持故障提示功能，并可通过接口读取服务器故障信息；</w:t>
            </w:r>
            <w:r>
              <w:br/>
            </w:r>
            <w:r>
              <w:rPr>
                <w:sz w:val="18"/>
                <w:color w:val="000000"/>
              </w:rPr>
              <w:t>11)支持基于网络的固件更新功能，包括 BMC 和 BIOS 等；</w:t>
            </w:r>
            <w:r>
              <w:br/>
            </w:r>
            <w:r>
              <w:rPr>
                <w:sz w:val="18"/>
                <w:color w:val="000000"/>
              </w:rPr>
              <w:t>12)支持基于网络安装操作系统的功能，并可通过网络控制台访问设备；</w:t>
            </w:r>
            <w:r>
              <w:br/>
            </w:r>
            <w:r>
              <w:rPr>
                <w:sz w:val="18"/>
                <w:color w:val="000000"/>
              </w:rPr>
              <w:t>13)支持通过本地的硬盘或光驱等存储设备，基于网络完成设备的操作系统安装功能；</w:t>
            </w:r>
            <w:r>
              <w:br/>
            </w:r>
            <w:r>
              <w:rPr>
                <w:sz w:val="18"/>
                <w:color w:val="000000"/>
              </w:rPr>
              <w:t>14)支持通过浏览器打开管理界面并登录功能；</w:t>
            </w:r>
            <w:r>
              <w:br/>
            </w:r>
            <w:r>
              <w:rPr>
                <w:sz w:val="18"/>
                <w:color w:val="000000"/>
              </w:rPr>
              <w:t>15)支持设置口令策略功能；</w:t>
            </w:r>
            <w:r>
              <w:br/>
            </w:r>
            <w:r>
              <w:rPr>
                <w:sz w:val="18"/>
                <w:color w:val="000000"/>
              </w:rPr>
              <w:t>16)支持访问权限设置功能，并通过日志记录访问事件；</w:t>
            </w:r>
            <w:r>
              <w:br/>
            </w:r>
            <w:r>
              <w:rPr>
                <w:sz w:val="18"/>
                <w:color w:val="000000"/>
              </w:rPr>
              <w:t>17)支持对出厂默认的用户名及口令进行安全保护功能，并提供默认口令修改提示；</w:t>
            </w:r>
            <w:r>
              <w:br/>
            </w:r>
            <w:r>
              <w:rPr>
                <w:sz w:val="18"/>
                <w:color w:val="000000"/>
              </w:rPr>
              <w:t>18)支持读取设备主板的工作环境温度功能；</w:t>
            </w:r>
            <w:r>
              <w:br/>
            </w:r>
            <w:r>
              <w:rPr>
                <w:sz w:val="18"/>
                <w:color w:val="000000"/>
              </w:rPr>
              <w:t>19)支持读取服务器 CPU 等核心器件的温度功能；</w:t>
            </w:r>
            <w:r>
              <w:br/>
            </w:r>
            <w:r>
              <w:rPr>
                <w:sz w:val="18"/>
                <w:color w:val="000000"/>
              </w:rPr>
              <w:t>20)支持通过外部管理工具进行 BMC参数设置的功能，并可基于网络通过外部管理工具对 BMC 进行管理；</w:t>
            </w:r>
            <w:r>
              <w:br/>
            </w:r>
            <w:r>
              <w:rPr>
                <w:sz w:val="18"/>
                <w:color w:val="000000"/>
              </w:rPr>
              <w:t>21)应支持固件版本查询、固件升级</w:t>
            </w:r>
            <w:r>
              <w:br/>
            </w:r>
            <w:r>
              <w:rPr>
                <w:sz w:val="18"/>
                <w:color w:val="000000"/>
              </w:rPr>
              <w:t>22)支持基于网络实现开关机和复位控制的功能；</w:t>
            </w:r>
            <w:r>
              <w:br/>
            </w:r>
            <w:r>
              <w:rPr>
                <w:sz w:val="18"/>
                <w:color w:val="000000"/>
              </w:rPr>
              <w:t>23)BMC 启动时间应不超过 180s，实现功能包括网络、IPMI、散热、传感器服务可用；</w:t>
            </w:r>
            <w:r>
              <w:br/>
            </w:r>
            <w:r>
              <w:rPr>
                <w:sz w:val="18"/>
                <w:color w:val="000000"/>
              </w:rPr>
              <w:t>24)支持 BMC 固件设置的恢复出厂功能</w:t>
            </w:r>
            <w:r>
              <w:br/>
            </w:r>
            <w:r>
              <w:rPr>
                <w:sz w:val="18"/>
                <w:color w:val="000000"/>
              </w:rPr>
              <w:t>25)产品支持黑匣子功能(当设备上模块发生异常时，可通过黑匣子工具记录日志定位系统中产生异常的原因)。</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BMC 固件增强功能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a）网络控制、安装提供图形访问界面网络；</w:t>
            </w:r>
            <w:r>
              <w:br/>
            </w:r>
            <w:r>
              <w:rPr>
                <w:sz w:val="18"/>
                <w:color w:val="000000"/>
              </w:rPr>
              <w:t>b）设备的 BMC 管理软件界面显示报警信息，且能够按报警的严重程度进行区分；</w:t>
            </w:r>
            <w:r>
              <w:br/>
            </w:r>
            <w:r>
              <w:rPr>
                <w:sz w:val="18"/>
                <w:color w:val="000000"/>
              </w:rPr>
              <w:t xml:space="preserve">c）Web GUI 采用 BMC 端口直连，平均响应时间为不大于1s                             </w:t>
            </w:r>
            <w:r>
              <w:br/>
            </w:r>
            <w:r>
              <w:rPr>
                <w:sz w:val="18"/>
                <w:color w:val="000000"/>
              </w:rPr>
              <w:t>▲d）支持屏幕快照和屏幕录像记录巡检功能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★BIOS 固件基础功能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a）支持查看固件版本、内存信息、主板信息、处理器信息和系统时间信息功能；</w:t>
            </w:r>
            <w:r>
              <w:br/>
            </w:r>
            <w:r>
              <w:rPr>
                <w:sz w:val="18"/>
                <w:color w:val="000000"/>
              </w:rPr>
              <w:t>b）支持上电初始化界面显示 CPU 信息、内存信息、固件版本和部分快捷键信息功能；</w:t>
            </w:r>
            <w:r>
              <w:br/>
            </w:r>
            <w:r>
              <w:rPr>
                <w:sz w:val="18"/>
                <w:color w:val="000000"/>
              </w:rPr>
              <w:t>c）支持设置界面中英文显示切换功能；</w:t>
            </w:r>
            <w:r>
              <w:br/>
            </w:r>
            <w:r>
              <w:rPr>
                <w:sz w:val="18"/>
                <w:color w:val="000000"/>
              </w:rPr>
              <w:t>d）支持查看 PCIe 设备信息，SATA设备信息功能；</w:t>
            </w:r>
            <w:r>
              <w:br/>
            </w:r>
            <w:r>
              <w:rPr>
                <w:sz w:val="18"/>
                <w:color w:val="000000"/>
              </w:rPr>
              <w:t>e）支持操作系统安装和引导功能，应并向操作系统提供计算机主板信息和服务接口；</w:t>
            </w:r>
            <w:r>
              <w:br/>
            </w:r>
            <w:r>
              <w:rPr>
                <w:sz w:val="18"/>
                <w:color w:val="000000"/>
              </w:rPr>
              <w:t>f）支持设置启动顺序，并按照设置的启动顺序启动功能；</w:t>
            </w:r>
            <w:r>
              <w:br/>
            </w:r>
            <w:r>
              <w:rPr>
                <w:sz w:val="18"/>
                <w:color w:val="000000"/>
              </w:rPr>
              <w:t>g）支持安全启动功能；</w:t>
            </w:r>
            <w:r>
              <w:br/>
            </w:r>
            <w:r>
              <w:rPr>
                <w:sz w:val="18"/>
                <w:color w:val="000000"/>
              </w:rPr>
              <w:t>h）支持设置口令、修改口令、验证口令功能；</w:t>
            </w:r>
            <w:r>
              <w:br/>
            </w:r>
            <w:r>
              <w:rPr>
                <w:sz w:val="18"/>
                <w:color w:val="000000"/>
              </w:rPr>
              <w:t>i）支持板载显示控制或独立显卡的显示控制功能；</w:t>
            </w:r>
            <w:r>
              <w:br/>
            </w:r>
            <w:r>
              <w:rPr>
                <w:sz w:val="18"/>
                <w:color w:val="000000"/>
              </w:rPr>
              <w:t>j）支持 RAID 识别和启动功能；</w:t>
            </w:r>
            <w:r>
              <w:br/>
            </w:r>
            <w:r>
              <w:rPr>
                <w:sz w:val="18"/>
                <w:color w:val="000000"/>
              </w:rPr>
              <w:t>k）支持串口重定向功能；</w:t>
            </w:r>
            <w:r>
              <w:br/>
            </w:r>
            <w:r>
              <w:rPr>
                <w:sz w:val="18"/>
                <w:color w:val="000000"/>
              </w:rPr>
              <w:t>l）支持固件更新功能；</w:t>
            </w:r>
            <w:r>
              <w:br/>
            </w:r>
            <w:r>
              <w:rPr>
                <w:sz w:val="18"/>
                <w:color w:val="000000"/>
              </w:rPr>
              <w:t>m）支持 BIOS 固件设置的恢复出厂功能；</w:t>
            </w:r>
            <w:r>
              <w:br/>
            </w:r>
            <w:r>
              <w:rPr>
                <w:sz w:val="18"/>
                <w:color w:val="000000"/>
              </w:rPr>
              <w:t xml:space="preserve">n）支持网络引导启用和关闭功能；                                                   </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★远程控制</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支持远程关机和重新启动功能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操作系统及驱动功能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★操作系统及驱动的升级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支持通过网络、闪存盘对操作系统、驱动进行升级</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操作系统及驱动的备份还原</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支持操作系统备份及还原功能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 支持访问控制、安全审计、网络接入鉴别等功能；</w:t>
            </w:r>
            <w:r>
              <w:br/>
            </w:r>
            <w:r>
              <w:rPr>
                <w:sz w:val="18"/>
                <w:color w:val="000000"/>
              </w:rPr>
              <w:t>b) 操作系统其他功能应满足操作系统政府采购需求标准中加★的指标要求</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▲操作系统安全性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服务器产品设备制造商具有服务器操作系统并获得安全技术等保四级安全认证。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59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中文信息处理功能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★中文信息处理</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符合</w:t>
            </w:r>
            <w:r>
              <w:rPr>
                <w:sz w:val="18"/>
                <w:color w:val="000000"/>
              </w:rPr>
              <w:t>GB 18030 的有关规定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关键部件安全要求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★关键部件安全要求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CPU 和操作系统等关键部件应当符合安全可靠测评要求</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固件安全要求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★故障检测</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支持故障检测功能，可以检测到具体的</w:t>
            </w:r>
            <w:r>
              <w:rPr>
                <w:sz w:val="18"/>
                <w:color w:val="000000"/>
              </w:rPr>
              <w:t>FRU（内存、硬盘等）的故障并发出告警</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▲硬件过温保护</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支持过温下电功能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内存故障智能预测和自愈修复</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支持内存故障智能预测和自愈修复，提前自动硬隔离，避免内存故障引起的非预期宕机以及内存寿命的降低</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硬盘故障智能预测</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支持硬盘故障智能预测，基于故障模型预测出硬盘的故障</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PCIe 链路故障智能诊断</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PCIe 链路故障智能诊断，判断出现故障的PCIe 链路</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内存故障隔离</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支持内存故障隔离，在内存产生</w:t>
            </w:r>
            <w:r>
              <w:rPr>
                <w:sz w:val="18"/>
                <w:color w:val="000000"/>
              </w:rPr>
              <w:t>CE故障时，内存地址被隔离成功，服务器正常运行，业务系统不中断</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w:t>
            </w:r>
            <w:r>
              <w:rPr>
                <w:sz w:val="18"/>
                <w:color w:val="000000"/>
              </w:rPr>
              <w:t>PCIe卡的故障精准告警功能</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支持内存、</w:t>
            </w:r>
            <w:r>
              <w:rPr>
                <w:sz w:val="18"/>
                <w:color w:val="000000"/>
              </w:rPr>
              <w:t>PCIe 卡的故障精准告警功能，触发告警并明确指示具体的故障位置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异常下电关键数据保护</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支持异常下电关键数据保护，支持数据备份恢复机制，防止系统异常掉电导致的数据文件丢失</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69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BMC/BIOS固件双镜像保护</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BMC/BIOS 固件双镜像保护，运行异常时自动切换到备份镜像运 行，提升系统稳定性</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 核重启隔离</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w:t>
            </w:r>
            <w:r>
              <w:rPr>
                <w:sz w:val="18"/>
                <w:color w:val="000000"/>
              </w:rPr>
              <w:t>CPU 核发生不可纠正故障后，重启后由BIOS 隔离该故障核，OS不可见，防止 OS 再次使用导致系统异常，核 0 除外</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内存地址隔离</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在硬件支持的情况下，支持故障内存地址重启后隔离</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内存存储阵列替换</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在硬件支持的情况下，支持故障内存存储阵列替换</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安全启动</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支持执行环境要求在整个系统启动的过程中，系统应提供一个机制来保护平台的完整性</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系统安全要求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syslog 双向鉴别</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支持系统日志双向鉴别，对服务器根证书和客户端根证书进行鉴别</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★弱口令字典检查</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支持弱口令字典检查功能，出现在弱口令字典中的字符串不能被设置为用户口令</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★白名单访问控制</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支持基于时间、</w:t>
            </w:r>
            <w:r>
              <w:rPr>
                <w:sz w:val="18"/>
                <w:color w:val="000000"/>
              </w:rPr>
              <w:t>IP 或 MAC 白名单访问控制</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双因素鉴别</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支持使用客户端证书和证书密码的双因素鉴别方式登录管理系统</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▲双因素认证</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支持配置双因素认证参数，提高</w:t>
            </w:r>
            <w:r>
              <w:rPr>
                <w:sz w:val="18"/>
                <w:color w:val="000000"/>
              </w:rPr>
              <w:t>BMC系统的安全性</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79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★二次鉴别</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支持二次鉴别功能。对于用户配置、权限配置、公钥导入等重要的管理操作，已登录用户应通过二次鉴别后，才能执行操作</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★密码证书安全加密存储</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支持对带外管理系统中的用户口令和证书等敏感信息进行加密存储，禁止使用私有的和业界已知不安全的密码算法</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★敏感信息安全加密传输</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支持使用安全的传输加密协议（如</w:t>
            </w:r>
            <w:r>
              <w:rPr>
                <w:sz w:val="18"/>
                <w:color w:val="000000"/>
              </w:rPr>
              <w:t>SSH 或 HTTPS 等）传输用户的敏感信息</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信息安全要求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★研发过程安全</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供应商承诺，生产商已建立从需求、设计、开发、测试、维护端到端的开发流程管理机制，输出和保存开发流程中每个阶段的产品需求清单、设计文档、开发文档、测试记录等材料，保证各个流程可追溯</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网络关键设备服务器要求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作为网络关键设备的服务器应符合</w:t>
            </w:r>
            <w:r>
              <w:rPr>
                <w:sz w:val="18"/>
                <w:color w:val="000000"/>
              </w:rPr>
              <w:t>GB 40050 的相关规定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增强要求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 嵌入物理可信根，实现设备的信任链构建；</w:t>
            </w:r>
            <w:r>
              <w:br/>
            </w:r>
            <w:r>
              <w:rPr>
                <w:sz w:val="18"/>
                <w:color w:val="000000"/>
              </w:rPr>
              <w:t>b) 支持可信平台控制模块(TPCM)；</w:t>
            </w:r>
            <w:r>
              <w:br/>
            </w:r>
            <w:r>
              <w:rPr>
                <w:sz w:val="18"/>
                <w:color w:val="000000"/>
              </w:rPr>
              <w:t>c) 支持基于处理器或可信计算模块度量的功能；</w:t>
            </w:r>
            <w:r>
              <w:br/>
            </w:r>
            <w:r>
              <w:rPr>
                <w:sz w:val="18"/>
                <w:color w:val="000000"/>
              </w:rPr>
              <w:t>d) 所采用的可信密码模块接口应符合 GM/T 0012 的相关规定；</w:t>
            </w:r>
            <w:r>
              <w:br/>
            </w:r>
            <w:r>
              <w:rPr>
                <w:sz w:val="18"/>
                <w:color w:val="000000"/>
              </w:rPr>
              <w:t>e) 可信安全管理模块、处理器等硬件载体应通过国家相关部门的认证和许可</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物理安全</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★物理安全</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安全要求应符合</w:t>
            </w:r>
            <w:r>
              <w:rPr>
                <w:sz w:val="18"/>
                <w:color w:val="000000"/>
              </w:rPr>
              <w:t>GB 4943.1 的规定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产品质量要求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产品认证</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br/>
            </w:r>
            <w:r>
              <w:rPr>
                <w:sz w:val="18"/>
                <w:color w:val="000000"/>
              </w:rPr>
              <w:t>▲服务器产品设备制造商具备较强的服务器管理技术支持能力，具有国家版权局出具基板管理控制器（BMC）的软件著作权登记证书，该证书须同时具备以下两项关键字，一是“服务器”，二是“BMC”或者“基板管理控制器”。若软件名称不一致，但实际内容符合也可。</w:t>
            </w:r>
            <w:r>
              <w:rPr>
                <w:sz w:val="18"/>
                <w:b/>
                <w:color w:val="000000"/>
              </w:rPr>
              <w:t>（提供承诺函）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安全要求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限用物质的限量要求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★限用物质的限量要求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限用物质的限量应符合</w:t>
            </w:r>
            <w:r>
              <w:rPr>
                <w:sz w:val="18"/>
                <w:color w:val="000000"/>
              </w:rPr>
              <w:t>GB/T 26572的要求</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CPU性能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★CPU主频</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≥2.2GHz</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89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★单CPU核数</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≥32</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★单CPU 末级缓存容量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≥64MB</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内存性能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▲单内存模块容量</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≥64GB</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★内存速率</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≥3200 MT/s</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网络性能</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独立网卡速率</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≥10GE</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板载网卡速率</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≥1GE</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电源能耗</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★电源能耗</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符合</w:t>
            </w:r>
            <w:r>
              <w:rPr>
                <w:sz w:val="18"/>
                <w:color w:val="000000"/>
              </w:rPr>
              <w:t>GB/T 9813.3 的有关规定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部件兼容性要求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★内存兼容性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适配</w:t>
            </w:r>
            <w:r>
              <w:rPr>
                <w:sz w:val="18"/>
                <w:color w:val="000000"/>
              </w:rPr>
              <w:t>3 种及以上厂商的内存产品，且均不低于产品支持的内存规格</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★固态存储兼容性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适配</w:t>
            </w:r>
            <w:r>
              <w:rPr>
                <w:sz w:val="18"/>
                <w:color w:val="000000"/>
              </w:rPr>
              <w:t>3 种或以上厂商的固态存储产品，且均不低于产品支持的固态存储设备规格</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RAID 卡兼容性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RAID 卡应适配两种或以上厂商产品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99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★网卡兼容性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网卡应适配两种或以上厂商产品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外设兼容性</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★功能卡兼容性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内置或适配符合</w:t>
            </w:r>
            <w:r>
              <w:rPr>
                <w:sz w:val="18"/>
                <w:color w:val="000000"/>
              </w:rPr>
              <w:t>PCIe的功能卡，如：网络功能卡、存储功能卡及图形显示功能卡</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★外设兼容性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兼容多种主流生产商的外部设备，包括显示器、键盘、鼠标、闪存盘、移动硬盘、</w:t>
            </w:r>
            <w:r>
              <w:rPr>
                <w:sz w:val="18"/>
                <w:color w:val="000000"/>
              </w:rPr>
              <w:t>USB 光驱及 KVM 等，要求使用不同厂商的外部设备时，系统均能正常识别和安装驱动</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软件兼容性</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★数据库兼容</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w:t>
            </w:r>
            <w:r>
              <w:rPr>
                <w:sz w:val="18"/>
                <w:color w:val="000000"/>
              </w:rPr>
              <w:t>3 个及以上厂商的数据库产品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★中间件兼容</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w:t>
            </w:r>
            <w:r>
              <w:rPr>
                <w:sz w:val="18"/>
                <w:color w:val="000000"/>
              </w:rPr>
              <w:t>3 个及以上厂商的中间件产品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★平台软件兼容</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w:t>
            </w:r>
            <w:r>
              <w:rPr>
                <w:sz w:val="18"/>
                <w:color w:val="000000"/>
              </w:rPr>
              <w:t>3 个及以上厂商的大数据平台</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虚拟化软件兼容</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w:t>
            </w:r>
            <w:r>
              <w:rPr>
                <w:sz w:val="18"/>
                <w:color w:val="000000"/>
              </w:rPr>
              <w:t>2 款及以上虚拟化软件</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兼容要求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操作系统兼容性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兼容当前主流的服务器操作系统：华为欧拉，中兴新支点，海光</w:t>
            </w:r>
            <w:r>
              <w:rPr>
                <w:sz w:val="18"/>
                <w:color w:val="000000"/>
              </w:rPr>
              <w:t>Fedora，UOS，麒麟等。</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可靠性要求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存储可靠性要求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SATA SSD可靠性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SSD 的 m1 值（MTBF 的不可接受值）不低于 200000h</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可靠性要求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整机可靠性要求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★整机可靠性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m1 值（MTBF 的不可接受值）不得低于 30000h</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109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可靠性要求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★风扇可靠性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风扇寿命应不低于</w:t>
            </w:r>
            <w:r>
              <w:rPr>
                <w:sz w:val="18"/>
                <w:color w:val="000000"/>
              </w:rPr>
              <w:t>40000h</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可靠性要求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★部件可靠性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支持硬盘、电源、风扇热插拔</w:t>
            </w:r>
            <w:r>
              <w:rPr>
                <w:sz w:val="18"/>
                <w:color w:val="000000"/>
              </w:rPr>
              <w:t>(内置风扇除外)</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包装及运输要求</w:t>
            </w:r>
          </w:p>
        </w:tc>
        <w:tc>
          <w:tcPr>
            <w:tcW w:type="dxa" w:w="10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包装及运输要求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★标志、包装、运输和贮存</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符合</w:t>
            </w:r>
            <w:r>
              <w:rPr>
                <w:sz w:val="18"/>
                <w:color w:val="000000"/>
              </w:rPr>
              <w:t>GB/T 9813.3 和商品包装政府采购需求标准的相关规定</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服务响应</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★服务响应</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 提供电话、电子邮件、远程连接等多种形式服务；</w:t>
            </w:r>
            <w:r>
              <w:br/>
            </w:r>
            <w:r>
              <w:rPr>
                <w:sz w:val="18"/>
                <w:color w:val="000000"/>
              </w:rPr>
              <w:t>b) 提供同城 4h、异地 12h 技术响应服务，2 个工作日解决问题，对于未能解决的问题和故障应提供可行的升级方案，并提供周转设备；</w:t>
            </w:r>
            <w:r>
              <w:br/>
            </w:r>
            <w:r>
              <w:rPr>
                <w:sz w:val="18"/>
                <w:color w:val="000000"/>
              </w:rPr>
              <w:t>c) 建立全国技术服务体系和服务 团体，符合专业服务体系标准要求，提供原厂中文服务；</w:t>
            </w:r>
            <w:r>
              <w:br/>
            </w:r>
            <w:r>
              <w:rPr>
                <w:sz w:val="18"/>
                <w:color w:val="000000"/>
              </w:rPr>
              <w:t>d) 服务周期内提供产品的维修、换件和升级服务</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★培训服务</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供应商提供培训材料、产品手册、培训视频等培训相关内容</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服务周期</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★服务周期</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a) 产品服务周期（含换件和维修），包含硬盘不返还服务，应不小于 3 年。</w:t>
            </w:r>
            <w:r>
              <w:br/>
            </w:r>
            <w:r>
              <w:rPr>
                <w:sz w:val="18"/>
                <w:color w:val="000000"/>
              </w:rPr>
              <w:t>b) 设备停产后继续提供质量保障服务（含备品备件），服务终止时间与最后一批设备交付时间间隔不低于 6 年；</w:t>
            </w:r>
            <w:r>
              <w:br/>
            </w:r>
            <w:r>
              <w:rPr>
                <w:sz w:val="18"/>
                <w:color w:val="000000"/>
              </w:rPr>
              <w:t>c) 产品停止服务时间应提前 1 年告知客户；</w:t>
            </w:r>
            <w:r>
              <w:br/>
            </w:r>
            <w:r>
              <w:rPr>
                <w:sz w:val="18"/>
                <w:color w:val="000000"/>
              </w:rPr>
              <w:t>d) 产品发布日期需在随机文件中明确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★工具要求</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供应商提供设置服务器硬件、辅助操作系统安装等功能的辅助工具和管理软件。且随附软件应具有合法授权或版权</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辅助工具</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支持如下功能</w:t>
            </w:r>
            <w:r>
              <w:br/>
            </w:r>
            <w:r>
              <w:rPr>
                <w:sz w:val="18"/>
                <w:color w:val="000000"/>
              </w:rPr>
              <w:t>a) 本地的数据备份和还原功能；</w:t>
            </w:r>
            <w:r>
              <w:br/>
            </w:r>
            <w:r>
              <w:rPr>
                <w:sz w:val="18"/>
                <w:color w:val="000000"/>
              </w:rPr>
              <w:t>b) 网络的数据备份和还原功能；</w:t>
            </w:r>
            <w:r>
              <w:br/>
            </w:r>
            <w:r>
              <w:rPr>
                <w:sz w:val="18"/>
                <w:color w:val="000000"/>
              </w:rPr>
              <w:t>c) 服务器操作系统的自动安装功能；</w:t>
            </w:r>
            <w:r>
              <w:br/>
            </w:r>
            <w:r>
              <w:rPr>
                <w:sz w:val="18"/>
                <w:color w:val="000000"/>
              </w:rPr>
              <w:t>d) 服务器所配硬件需要的驱动程序和系统补丁</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117</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服务工具要求</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★驱动安装升级指引</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供应商提供出厂安装的配件所需的驱动程序，形式包括但不限于驱动光盘、驱动下载链接等。其他配件应提供指引</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118</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性能分析工具</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供应商提供支持当前服务器</w:t>
            </w:r>
            <w:r>
              <w:rPr>
                <w:sz w:val="18"/>
                <w:color w:val="000000"/>
              </w:rPr>
              <w:t>CPU 架构的性能分析工具产品，支持系统性能分析、Java 性能分析和系统诊断，可分析系统或应用在 CPU、内存、 IO、网络等方面的性能，并给出优化建议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119</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跨架构平台应用兼容</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跨</w:t>
            </w:r>
            <w:r>
              <w:rPr>
                <w:sz w:val="18"/>
                <w:color w:val="000000"/>
              </w:rPr>
              <w:t>CPU架构平台应用兼容工具，可兼容一种或者一种以上不同架构平台的应用</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120</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★管理软件</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具备资源管理、系统管理、性能监控、健康监控、基于网络控制、报警设置功能</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121</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增值服务</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★厂家升级产品软件与扩容服务</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供应商提供原厂级的部件</w:t>
            </w:r>
            <w:r>
              <w:rPr>
                <w:sz w:val="18"/>
                <w:color w:val="000000"/>
              </w:rPr>
              <w:t>/软件产品升级和扩容能力</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122</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服务保障升级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供应商有偿提供远程技术支持、软件授权服务、备件更换服务、现场支撑服务</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123</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★提供上门服务</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供应商具备提供上门服务的能力</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124</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服务要求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业务场景性能优化服务及整体架构升级服务</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供应商提供针对特定业务场景性能优化服务及整体架构升级服务</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center"/>
            </w:pPr>
            <w:r>
              <w:rPr>
                <w:sz w:val="18"/>
                <w:color w:val="000000"/>
              </w:rPr>
              <w:t>125</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供保要求</w:t>
            </w:r>
          </w:p>
        </w:tc>
        <w:tc>
          <w:tcPr>
            <w:tcW w:type="dxa" w:w="1010"/>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供应链质量</w:t>
            </w: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★抗干扰性</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当产品部件出现供应风险时，应通知客户并提供风险应对方案确保产品的服务保障，必要时应停止相关受影响产品的销售</w:t>
            </w:r>
          </w:p>
        </w:tc>
      </w:tr>
      <w:tr>
        <w:tc>
          <w:tcPr>
            <w:tcW w:type="dxa" w:w="67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12</w:t>
            </w:r>
            <w:r>
              <w:rPr>
                <w:sz w:val="18"/>
                <w:color w:val="000000"/>
              </w:rPr>
              <w:t>6</w:t>
            </w:r>
          </w:p>
        </w:tc>
        <w:tc>
          <w:tcPr>
            <w:tcW w:type="dxa" w:w="9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供保要求</w:t>
            </w:r>
          </w:p>
        </w:tc>
        <w:tc>
          <w:tcPr>
            <w:tcW w:type="dxa" w:w="1010"/>
            <w:vMerge/>
            <w:tcBorders>
              <w:top w:val="none" w:color="000000" w:sz="4"/>
              <w:left w:val="single" w:color="000000" w:sz="4"/>
              <w:bottom w:val="single" w:color="000000" w:sz="4"/>
              <w:right w:val="single" w:color="000000" w:sz="4"/>
            </w:tcBorders>
          </w:tcPr>
          <w:p/>
        </w:tc>
        <w:tc>
          <w:tcPr>
            <w:tcW w:type="dxa" w:w="10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★供应能力证明</w:t>
            </w:r>
          </w:p>
        </w:tc>
        <w:tc>
          <w:tcPr>
            <w:tcW w:type="dxa" w:w="462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color w:val="000000"/>
              </w:rPr>
              <w:t>供应商提供供应链稳定承诺书，确保产品的部件在产品服务周期内稳定供货</w:t>
            </w:r>
          </w:p>
        </w:tc>
      </w:tr>
      <w:tr>
        <w:tc>
          <w:tcPr>
            <w:tcW w:type="dxa" w:w="8303"/>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b/>
                <w:color w:val="000000"/>
              </w:rPr>
              <w:t>注：</w:t>
            </w:r>
            <w:r>
              <w:rPr>
                <w:sz w:val="18"/>
                <w:b/>
                <w:color w:val="000000"/>
              </w:rPr>
              <w:t>1、投标人需提供服务器制造商官网链接(非子公司)以及截图证明；2、投标人出具关于所提供的桌面云集群是否完全满足本表格★条款要求的《承诺函》（可参照“投标文件格式与要求”中《承诺函》格式），承诺完全满足即视为相关产品符合要求，投标人应根据实际情况做承诺。</w:t>
            </w:r>
          </w:p>
        </w:tc>
      </w:tr>
    </w:tbl>
    <w:p>
      <w:pPr>
        <w:pStyle w:val="null3"/>
        <w:jc w:val="both"/>
        <w:outlineLvl w:val="2"/>
      </w:pPr>
      <w:r>
        <w:rPr>
          <w:sz w:val="24"/>
          <w:b/>
        </w:rPr>
        <w:t>2</w:t>
      </w:r>
      <w:r>
        <w:rPr>
          <w:sz w:val="24"/>
          <w:b/>
        </w:rPr>
        <w:t>、桌面云软件</w:t>
      </w:r>
    </w:p>
    <w:tbl>
      <w:tblPr>
        <w:tblW w:w="0" w:type="auto"/>
        <w:tblBorders>
          <w:top w:val="none" w:color="000000" w:sz="4"/>
          <w:left w:val="none" w:color="000000" w:sz="4"/>
          <w:bottom w:val="none" w:color="000000" w:sz="4"/>
          <w:right w:val="none" w:color="000000" w:sz="4"/>
          <w:insideH w:val="none"/>
          <w:insideV w:val="none"/>
        </w:tblBorders>
      </w:tblPr>
      <w:tblGrid>
        <w:gridCol w:w="666"/>
        <w:gridCol w:w="1037"/>
        <w:gridCol w:w="6603"/>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0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66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0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★兼容广东省国土资源测绘院生产基础能力建设采购项目（采购项目编号GPCGD223109HG112J）采购的超融合系统软件“深信服HCI 6.7.0R2”，支持将本项目所有服务器作为集群节点纳入已有集群进行统一管理分配资源，使用“深信服HCI 6.7.0R2”所有功能。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▲系统采用分布式的架构。系统采用全对称式分布式架构设计，无独立元数据节点。性能随节点数量的增加而近线性提升，并提供多控制器负载均衡及故障自动切换功能。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▲支持通用服务器的部署。系统支持本项目服务器上进行安装部署，至少支持海光、麒麟芯片。</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硬件资源横向扩展。系统支持横向硬件资源节点扩展，在确保系统正常运行的情况下，可通过添加硬件资源节点，通过增加处理器、内存、显卡、存储硬件资源，提升整体计算能力同时，增加虚拟资源可分配空间。</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▲支持虚拟主机无感迁移。系统支持在保持虚拟机主机正常运行的状态下，将虚拟主机迁移至同集群下的其他设备或其他集群设备。</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▲支持主机性能自适优化。虚拟化系统可获取虚拟机内部当前运行的各应用, 服务器对获取到的各个当前运行应用按确定的优先级分配相应的处理器资源, 并按分配的处理器资源运行各个当前运行应用。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支持主机故障自动修复。系统支持虚拟主机故障自动修复，当虚拟主机故障、蓝屏、卡死时，能够自动重启虚拟主机。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支持主机显卡直通技术。系统支持显卡的直通与虚拟化，本次主要采用显卡直通技术，支持显卡与虚拟机的绑定。</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支持主机快照保存技术。系统支持虚拟主机的快照保存技术，提供虚拟主机快照保存功能，用户可根据使用需求对虚拟主机进行快照备份与恢复。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支持主机镜像克隆技术。系统支持虚拟主机的镜像克隆，用户可使用虚拟主机创建镜像，或使用镜像进行虚拟主机的快速部署，支持一个镜像多个部署。</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支持虚拟硬盘副本策略。系统支持虚拟硬盘的多副本存储策略，提供副本策略设置功能，用户可根据实际使用需求，设置相应的副本数量，其最大支持副本数应大于或等于</w:t>
            </w:r>
            <w:r>
              <w:rPr>
                <w:sz w:val="18"/>
                <w:color w:val="000000"/>
              </w:rPr>
              <w:t>3副本。</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支持虚拟磁盘存储共享。系统提供共享虚拟磁盘创建，用户可将虚拟共享磁盘接入任意虚拟主机，提供存储空间，并实现多端对同一共享虚拟磁盘的管理。</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支持虚拟磁盘精简置备。系统支持虚拟磁盘的精简制备，虚拟磁盘将根据使用空间大小调整实际存储占用空间。</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支持虚拟硬盘分布策略。系统支持存储的分布式策略。支持存储副本聚合策略，将单份数据副本存放于运行主机上，提高读写效率。支持存储副本散列策略，将数据均化分布在存储上，保障数据安全。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支持内存读取缓存技术。系统支持将内存作为读取缓存，实现内存、固态硬盘、机械硬盘的三级存储分层结构。</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支持数据重建优先策略。系统提供数据重建优先策略设置。在数据恢复时，用户可对执行恢复的虚拟主机优先顺序进行设置。</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支持主机缓存</w:t>
            </w:r>
            <w:r>
              <w:rPr>
                <w:sz w:val="18"/>
                <w:color w:val="000000"/>
              </w:rPr>
              <w:t>QoS技术。系统提供虚拟主机与虚拟磁盘缓存QoS功能设置。</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支持可视化的网络拓扑。系统支持通过图形拖拽连接的方式，实现虚拟环境网络业务逻辑的建立。</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支持主机网络链路聚合。系统支持网络链路聚合功能，在虚拟主机网络故障时能够自动切换网络，保障网络稳定。</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支持系统断电自动恢复。当电力系统发生故障后，系统支持在电力系统恢复时自我恢复运行状态。</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支持主机生命周期管理。系统支持虚拟主机生命周期管理，包括创建、启动、暂停、恢复、关闭电源、删除、更换和重置操作系统，支持在线修改虚拟主机管理员密码，通过系统重置虚拟主机管理密码。</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支持主机集群弹性伸缩。系统支持并提供虚拟主机弹性伸缩功能，系统根据对虚拟主机</w:t>
            </w:r>
            <w:r>
              <w:rPr>
                <w:sz w:val="18"/>
                <w:color w:val="000000"/>
              </w:rPr>
              <w:t>CPU使用率、内存使用率进行监控，按照既定策略动态增加或减少虚拟主机数量；支持对弹性伸缩组虚拟主机进行健康检查，自动隔离不健康虚拟主机。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USB设备主机映射。系统提供USB设备映射功能，用户可将接入的USB设备映射至虚拟主机，实现对USB设备的访问。</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支持虚拟网络负载均衡。系统提供虚拟负载均衡器，支持虚拟网络的负载均衡。</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平台需定期升级保障平台稳定性，核心业务不能长时间停机，超融合平台需支持在线升级不影响业务；为保证升级时间与步骤可控，升级过程中支持对升级节点进行升级顺序编排、升级暂停。</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虚拟机迁移过程中，能够通过指定网口、控制迁移速率、开启压缩传输来保障虚拟机迁移顺畅，如果虚拟机在迁移过程中因数据写入量过大迁移不完，可通过强制切换进行操作。</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支持进行数据重建操作，重建速率达到</w:t>
            </w:r>
            <w:r>
              <w:rPr>
                <w:sz w:val="18"/>
                <w:color w:val="000000"/>
              </w:rPr>
              <w:t>30分钟/TB；重建过程中可以查看数据重建任务列表信息，包括对象名称、对象类型、数据量和优先级等；支持通过点击操作中的优先级进行优先重建。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1037"/>
            <w:vMerge/>
            <w:tcBorders>
              <w:top w:val="none" w:color="000000" w:sz="4"/>
              <w:left w:val="single" w:color="000000" w:sz="4"/>
              <w:bottom w:val="single" w:color="000000" w:sz="4"/>
              <w:right w:val="single" w:color="000000" w:sz="4"/>
            </w:tcBorders>
          </w:tcP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在迁移、重建、定时快照等非业务流量时，系统将根据业务的</w:t>
            </w:r>
            <w:r>
              <w:rPr>
                <w:sz w:val="18"/>
                <w:color w:val="000000"/>
              </w:rPr>
              <w:t>IO情况智能调整非业务流量，避免数据重建过程中IO性能占用导致对业务的性能造成影响。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c>
          <w:tcPr>
            <w:tcW w:type="dxa" w:w="10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售后要求</w:t>
            </w:r>
          </w:p>
        </w:tc>
        <w:tc>
          <w:tcPr>
            <w:tcW w:type="dxa" w:w="66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★提供3年质保（包括软件升级与技术服务）。</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桌面云软件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2"/>
      </w:pPr>
      <w:r>
        <w:rPr>
          <w:sz w:val="24"/>
          <w:b/>
        </w:rPr>
        <w:t>3</w:t>
      </w:r>
      <w:r>
        <w:rPr>
          <w:sz w:val="24"/>
          <w:b/>
        </w:rPr>
        <w:t>、</w:t>
      </w:r>
      <w:r>
        <w:rPr>
          <w:sz w:val="24"/>
          <w:b/>
        </w:rPr>
        <w:t>桌面云</w:t>
      </w:r>
      <w:r>
        <w:rPr>
          <w:sz w:val="24"/>
          <w:b/>
        </w:rPr>
        <w:t>终端</w:t>
      </w:r>
    </w:p>
    <w:tbl>
      <w:tblPr>
        <w:tblW w:w="0" w:type="auto"/>
        <w:tblBorders>
          <w:top w:val="none" w:color="000000" w:sz="4"/>
          <w:left w:val="none" w:color="000000" w:sz="4"/>
          <w:bottom w:val="none" w:color="000000" w:sz="4"/>
          <w:right w:val="none" w:color="000000" w:sz="4"/>
          <w:insideH w:val="none"/>
          <w:insideV w:val="none"/>
        </w:tblBorders>
      </w:tblPr>
      <w:tblGrid>
        <w:gridCol w:w="666"/>
        <w:gridCol w:w="1002"/>
        <w:gridCol w:w="6637"/>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6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0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支持多种终端设备登录桌面云，包括台式机、工作站、笔记本，涵盖</w:t>
            </w:r>
            <w:r>
              <w:rPr>
                <w:sz w:val="18"/>
                <w:color w:val="000000"/>
              </w:rPr>
              <w:t>ARM和X86架构。</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支持对高频使用的软件进行进程加速优化，用户可自行添加需要加速的软件。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UDP和TCP两种传输模式，自动适配网络条件，具备压缩质量、帧率等网络优化技术。</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支持客户端与虚拟桌面的连接，即使禁用虚机网卡或者随意更改</w:t>
            </w:r>
            <w:r>
              <w:rPr>
                <w:sz w:val="18"/>
                <w:color w:val="000000"/>
              </w:rPr>
              <w:t>IP，仍然能够保持桌面会话的稳定性。</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提供桌面内置运维工具，可查看桌面运行状态，</w:t>
            </w:r>
            <w:r>
              <w:rPr>
                <w:sz w:val="18"/>
                <w:color w:val="000000"/>
              </w:rPr>
              <w:t>VDI版本信息，客户端实时带宽/流量/网络时延等，采用的网络协议，传输优化策略，虚拟机资源使用状态、操作系统版本、显示分辨率、连接状态等信息。</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支持克隆指定虚拟机数量、运行位置、存储位置、网口信息和磁盘大小，要求</w:t>
            </w:r>
            <w:r>
              <w:rPr>
                <w:sz w:val="18"/>
                <w:color w:val="000000"/>
              </w:rPr>
              <w:t>100个虚拟机的克隆时间不超过5分钟。</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支持模板升级功能，可统一安装升级软件</w:t>
            </w:r>
            <w:r>
              <w:rPr>
                <w:sz w:val="18"/>
                <w:color w:val="000000"/>
              </w:rPr>
              <w:t>/补丁，并自动更新虚拟机至模板状态。</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2K、1K的高分辨率画面显示，多屏输出。</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平台支持提供</w:t>
            </w:r>
            <w:r>
              <w:rPr>
                <w:sz w:val="18"/>
                <w:color w:val="000000"/>
              </w:rPr>
              <w:t>7*24智能监控并分析桌面云平台使用情况，自动侦测并发现虚拟机卡慢问题，并提供优化解决方案。</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平台支持集群模式，在不增加第三方负载均衡的情况下，可实现桌面云控制器宕机切换会话不中断。</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平台支持内置防火墙，包括设置过滤规则、</w:t>
            </w:r>
            <w:r>
              <w:rPr>
                <w:sz w:val="18"/>
                <w:color w:val="000000"/>
              </w:rPr>
              <w:t>NAT设置、访问监控、防DOS攻击。</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平台可配置基于</w:t>
            </w:r>
            <w:r>
              <w:rPr>
                <w:sz w:val="18"/>
                <w:color w:val="000000"/>
              </w:rPr>
              <w:t>IP、虚拟机、用户的ACL策略访问控制。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支持多种安全策略控制，可控制范围包括</w:t>
            </w:r>
            <w:r>
              <w:rPr>
                <w:sz w:val="18"/>
                <w:color w:val="000000"/>
              </w:rPr>
              <w:t>IP、设备类型等，控制类型包括登录、网络、外设等。</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USB3.0存储设备,千兆环境下最高速度不低于60 MB/s。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U盘、PC本地桌面到应用虚拟化服务器这2种情况的双向拷贝管控，可控制U盘的只读和读写权限，可控制本地桌面和应用虚拟化服务器之间使用剪切板的双向拷贝、单向拷贝。</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支持文件导出内容审计，开启文件安全导出后，虚拟机通过剪切板、</w:t>
            </w:r>
            <w:r>
              <w:rPr>
                <w:sz w:val="18"/>
                <w:color w:val="000000"/>
              </w:rPr>
              <w:t>PC设备和USB设备外发文件的操作将被禁止，用户可以使用虚拟机内部的文件导出工具实现文件外发，所有外发的文件内容都可以加密备份到平台，以备后续审计使用，可疑的导出行为会产生告警。</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支持临时权限，管理员为部分用户临时在某个时间段内放通</w:t>
            </w:r>
            <w:r>
              <w:rPr>
                <w:sz w:val="18"/>
                <w:color w:val="000000"/>
              </w:rPr>
              <w:t>usb和pc剪切板等权限，并在到期后自动回收该权限，保证数据安全。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支持显卡直通和显卡虚拟化</w:t>
            </w:r>
            <w:r>
              <w:rPr>
                <w:sz w:val="18"/>
                <w:color w:val="000000"/>
              </w:rPr>
              <w:t>2种方案，兼容RTX 3090、RTX A6000、RTX A100、RTX A800等专业显卡与计算卡，满足2D/3D图形设计及AI运算软件的流畅使用。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支持显卡虚拟化切片技术，能将显卡切片后直接绑定给某个云桌面使用，桌面关机后自动释放显卡资源。</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1002"/>
            <w:vMerge/>
            <w:tcBorders>
              <w:top w:val="none" w:color="000000" w:sz="4"/>
              <w:left w:val="single" w:color="000000" w:sz="4"/>
              <w:bottom w:val="single" w:color="000000" w:sz="4"/>
              <w:right w:val="single" w:color="000000" w:sz="4"/>
            </w:tcBorders>
          </w:tcP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3D虚拟机走无损传输，支持PC客户端帧率上调至60帧，支持通过网络优化、策略设置保证3D弱网场景的使用稳定性。</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性能要求</w:t>
            </w: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采用符合中国信息安全测评中心安全可靠测评结果公告中的芯片及操作系统，配置不低于：</w:t>
            </w:r>
            <w:r>
              <w:rPr>
                <w:sz w:val="18"/>
                <w:color w:val="000000"/>
              </w:rPr>
              <w:t>1颗处理器（不低于4核心/1.5 GHz主频）；不低于2GB内存；不低于8GB存储，不少于1个千兆网口，不少于2个hdmi显示接口，不少于4个USB3.0接口+2个USB2.0接口；显示分辨率不低于2k。配显示器不低于2k，有线鼠标和键盘。</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售后要求</w:t>
            </w:r>
          </w:p>
        </w:tc>
        <w:tc>
          <w:tcPr>
            <w:tcW w:type="dxa" w:w="6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★提供3年质保（包括软件升级与技术服务）。</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桌面云终端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2"/>
      </w:pPr>
      <w:r>
        <w:rPr>
          <w:sz w:val="24"/>
          <w:b/>
        </w:rPr>
        <w:t>4</w:t>
      </w:r>
      <w:r>
        <w:rPr>
          <w:sz w:val="24"/>
          <w:b/>
        </w:rPr>
        <w:t>、操作系统</w:t>
      </w:r>
    </w:p>
    <w:tbl>
      <w:tblPr>
        <w:tblW w:w="0" w:type="auto"/>
        <w:tblBorders>
          <w:top w:val="none" w:color="000000" w:sz="4"/>
          <w:left w:val="none" w:color="000000" w:sz="4"/>
          <w:bottom w:val="none" w:color="000000" w:sz="4"/>
          <w:right w:val="none" w:color="000000" w:sz="4"/>
          <w:insideH w:val="none"/>
          <w:insideV w:val="none"/>
        </w:tblBorders>
      </w:tblPr>
      <w:tblGrid>
        <w:gridCol w:w="557"/>
        <w:gridCol w:w="997"/>
        <w:gridCol w:w="1042"/>
        <w:gridCol w:w="968"/>
        <w:gridCol w:w="4738"/>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10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一级指标</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二级指标</w:t>
            </w:r>
          </w:p>
        </w:tc>
        <w:tc>
          <w:tcPr>
            <w:tcW w:type="dxa" w:w="47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操作系统支持多</w:t>
            </w:r>
            <w:r>
              <w:rPr>
                <w:sz w:val="18"/>
                <w:color w:val="000000"/>
              </w:rPr>
              <w:t>CPU架构</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★同源兼容多CPU平台架构</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操作系统同源兼容</w:t>
            </w:r>
            <w:r>
              <w:rPr>
                <w:sz w:val="18"/>
                <w:color w:val="000000"/>
              </w:rPr>
              <w:t>ARM、LoongArch、MIPS、SW64、x86等平台架构的CPU</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操作系统支持</w:t>
            </w:r>
            <w:r>
              <w:rPr>
                <w:sz w:val="18"/>
                <w:color w:val="000000"/>
              </w:rPr>
              <w:t>CPU内置功能</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★多核支持</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操作系统支持双核及多核处理器，支持核间负载均衡、线程绑定，并提供系统多核访问及调度接口</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★CPU虚拟化支持</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w:t>
            </w:r>
            <w:r>
              <w:rPr>
                <w:sz w:val="18"/>
                <w:color w:val="000000"/>
              </w:rPr>
              <w:t>CPU虚拟化技术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★动态调节CPU运行频率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操作系统根据负载情况，自动调节</w:t>
            </w:r>
            <w:r>
              <w:rPr>
                <w:sz w:val="18"/>
                <w:color w:val="000000"/>
              </w:rPr>
              <w:t>CPU的运行频率</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★支持CPU运行时低功耗状态切换</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操作系统根据负载的情况，自动切换</w:t>
            </w:r>
            <w:r>
              <w:rPr>
                <w:sz w:val="18"/>
                <w:color w:val="000000"/>
              </w:rPr>
              <w:t>CPU的低功耗状态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★支持CPU内置安全功能</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w:t>
            </w:r>
            <w:r>
              <w:rPr>
                <w:sz w:val="18"/>
                <w:color w:val="000000"/>
              </w:rPr>
              <w:t>CPU硬件密码运算与随机数生成等功能，并提供标准接口供应用程序调用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安装部署</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★安装方式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操作系统支持光盘、</w:t>
            </w:r>
            <w:r>
              <w:rPr>
                <w:sz w:val="18"/>
                <w:color w:val="000000"/>
              </w:rPr>
              <w:t>USB闪存盘和网络等安装方式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★安装过程配置</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操作系统支持安装界面文种设置，默认为简化汉字方式显示，提供时区设置、计算机名设置等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★硬盘分区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操作系统支持整个硬盘自动分区、自定义分区，支持逻辑分区配置（如</w:t>
            </w:r>
            <w:r>
              <w:rPr>
                <w:sz w:val="18"/>
                <w:color w:val="000000"/>
              </w:rPr>
              <w:t>LVM），支持创建备份分区；自定义分区时能自动检测分区设置的合规性，删除已有分区或格式化硬盘提示告警信息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★双硬盘安装</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当计算机同时存在固态硬盘和机械硬盘时，自动分区优先将系统盘（或分区）设置在固态硬盘，优先将数据盘（或分区）设置在机械硬盘</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★多系统安装</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操作系统能够识别已安装的其他系统，可自动复用引导分区等，并实现多系统引导</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★加密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操作系统应提供基于分区的用户数据加密功能，保护用户存储区数据安全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★初始化备份</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操作系统应提供用户备份初始系统环境的功能</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★保留用户数据</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用户重装操作系统时提供保留用户数据的功能</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系统引导</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★引导模式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操作系统应支持</w:t>
            </w:r>
            <w:r>
              <w:rPr>
                <w:sz w:val="18"/>
                <w:color w:val="000000"/>
              </w:rPr>
              <w:t>UEFI2.0及以上规范固件引导：a）当计算机以UEFI模式启动安装时，安装程序应分配ESP，并在ESP中放置启动引导文件，使操作系统能以UEFI模式引导；b)当计算机固件不支持UEFI模式时，安装程序根据计算机固件提供的引导方式，安装系统引导代码或配置系统引导选单，使安装完的系统可以正常引导</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★引导修复</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安装程序提供系统引导修复功能，当已安装的操作系统引导被破坏时，可重建系统引导</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其他安装要求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★图形化显示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操作系统应提供安装过程图形化显示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★安装提示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操作系统在安装执行前明确提示用户可能会删除已有数据，并提供退出或取消功能；当用户取消安装时，不改变硬盘上已有数据；如用户自定义的某些配置可能会影响后续的正常使用，予以明确提示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★分辨率自适应</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操作系统安装完成后自动适配显示器最佳分辨率</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系统内核</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★内核要求</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a)若操作系统是基于Linux内核的微型计算机操作系统应兼容5.4版内核主要功能，包括进程管理、内存管理、任务调度、中断处理、并发与同步处理等；b)若操作系统属于其他类型内核不做要求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进程管理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★进程调度</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操作系统支持进程创建、分组、删除及进程信息获取</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★优先级设置</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操作系统支持进程优先级设置，包括优先级范围设置、优先级调度策略设置等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★地址映射</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操作系统支持进程内存地址的正向映射和反向映射</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内存管理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★内存地址管理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操作系统支持基础连续虚拟地址、连续物理地址的申请、回收和释放</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★内存管理单元</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操作系统支持内存管理单元，通过页表映射实现虚拟地址和物理地址的映射关系</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★buddy分配器</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a)若操作系统基于Linux内核，支持buddy分配器，支持slob、slub或slab分配器；b)若操作系统属于其他类型内核不做要求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★DMA内存</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w:t>
            </w:r>
            <w:r>
              <w:rPr>
                <w:sz w:val="18"/>
                <w:color w:val="000000"/>
              </w:rPr>
              <w:t>DMA内存的申请和释放，包括流式DMA、一致性DMA以及大内存DMA</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★内存zone管理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a)若操作系统基于Linux内核，操作系统支持内存zone管理；b)若操作系统属于其他类型内核不做要求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★内存分配方式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操作系统支持不交换硬盘的内存分配方式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任务调度</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★上下文切换</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操作系统支持进程上下文切换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★进程负载均衡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操作系统支持进程负载均衡调度方式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★调度方式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操作系统支持进程基于时间片的调度方式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★抢占调度方式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操作系统支持进程抢占调度方式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中断处理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★中断处理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操作系统支持硬件中断号和软件中断号的映射、注册和处理；支持高精度时钟中断、类软中断和类</w:t>
            </w:r>
            <w:r>
              <w:rPr>
                <w:sz w:val="18"/>
                <w:color w:val="000000"/>
              </w:rPr>
              <w:t>tasklet下半部中断处理；支持中断使能、屏蔽、亲和力处理以及中断抢占；支持中断工作队列处理，包括工作队列创建、初始化、调度和回收等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并发与同步处理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★并发同步处理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操作系统支持自旋锁、信号量、互斥体等原子操作；支持读写锁、类</w:t>
            </w:r>
            <w:r>
              <w:rPr>
                <w:sz w:val="18"/>
                <w:color w:val="000000"/>
              </w:rPr>
              <w:t>RCU原子操作；支持内存屏障操作</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中文支持要求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★字符编码</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操作系统符合</w:t>
            </w:r>
            <w:r>
              <w:rPr>
                <w:sz w:val="18"/>
                <w:color w:val="000000"/>
              </w:rPr>
              <w:t>GB18030的要求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★字库</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操作系统提供符合</w:t>
            </w:r>
            <w:r>
              <w:rPr>
                <w:sz w:val="18"/>
                <w:color w:val="000000"/>
              </w:rPr>
              <w:t>GB18030标准的字库，至少包括宋体、仿宋体、黑体、楷体及小标宋体在内的5种字库；支持曲线字库，可无级放缩字形大小，以适应不同分辨率的输出设备，输出字形应字形正确，字体规范；支持用户扩展安装字库</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★输入法</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操作系统应内置输入法框架；至少提供一种音码和一种型码输入法；支持</w:t>
            </w:r>
            <w:r>
              <w:rPr>
                <w:sz w:val="18"/>
                <w:color w:val="000000"/>
              </w:rPr>
              <w:t>GB18030中已编码的语言文字输入法的安装使用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★输入法标准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操作系统提供的通用键盘输入法应符合</w:t>
            </w:r>
            <w:r>
              <w:rPr>
                <w:sz w:val="18"/>
                <w:color w:val="000000"/>
              </w:rPr>
              <w:t>GB/T19246—2003要求；如提供手写输入法，应符合GB/T18790—2010要求；如提供语音输入法，应符合GB/T21023—2007要求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★输出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系统配置的字库能被工具或软件正常调用打印和显示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★表示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操作系统提供中文界面显示，提供符合要求的日期、星期、上下午、时间、货币、数字等显示及表示方式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系统管理要求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★系统信息</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操作系统提供系统信息查看工具，支持用户查看系统版本、内核版本、内存容量、</w:t>
            </w:r>
            <w:r>
              <w:rPr>
                <w:sz w:val="18"/>
                <w:color w:val="000000"/>
              </w:rPr>
              <w:t>CPU型号等信息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★系统资源管理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操作系统提供系统资源管理工具并图形化显示进程信息、资源信息、文件资源信息等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★硬盘管理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操作系统提供硬盘管理工具，显示硬盘容量及硬盘信息，支持新建和删除硬盘分区，分区支持</w:t>
            </w:r>
            <w:r>
              <w:rPr>
                <w:sz w:val="18"/>
                <w:color w:val="000000"/>
              </w:rPr>
              <w:t>EXT3、EXT4、FAT32、NTFS、XFS、exFAT、Btrfs等文件系统格式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★设备信息</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操作系统提供设备信息工具，显示</w:t>
            </w:r>
            <w:r>
              <w:rPr>
                <w:sz w:val="18"/>
                <w:color w:val="000000"/>
              </w:rPr>
              <w:t>CPU、内存、主板、存储、网卡、声卡、电源、USB、蓝牙等参数信息，显示硬件信息、计算机型号和操作系统信息、设备驱动状态（启用或禁用），并支持设备启用、禁用状态设置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★文件管理器</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按文件名、文件类型、文件修改时间、文件大小排序显示文件；支持文本文件、图片文件和视频文件首帧的预览；显示当前用户的主目录、桌面、文档、下载、回收站等文件资源；支持对光驱、闪存盘的访问；支持对网络资源的访问，包括</w:t>
            </w:r>
            <w:r>
              <w:rPr>
                <w:sz w:val="18"/>
                <w:color w:val="000000"/>
              </w:rPr>
              <w:t>SMB、FTP、NFS等协议下的网络资源；支持通过地址栏输入绝对路径定位文件夹；支持文件按照列表显示或网格图标显示；支持新建文件、文件夹和快捷方式，并支持扩展新建的文件类型；支持全选当前文件夹所有文件，支持文件多选、反选；支持复制、粘贴、删除、剪切、重命名、压缩等文件操作；支持选择文件打开方式，可以使用默认用程序打开，并支持修改默认用程序；支持按文件名、修改时间、文件大小等搜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★本地帐户管理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操作系统提供图形管理界面，支持帐户和用户组管理，支持口令、头像、权限设置，支持口令修改，支持重设管理帐户口令</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★登录管理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操作系统支持本地帐户、</w:t>
            </w:r>
            <w:r>
              <w:rPr>
                <w:sz w:val="18"/>
                <w:color w:val="000000"/>
              </w:rPr>
              <w:t>LDAP帐户鉴别登录，提供口令、指纹、人脸、U-Key等多种鉴别方式登录，支持本地帐户免口令登录和自动登录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★鼠标管理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操作系统提供图形化鼠标管理工具；支持鼠标灵敏度、滚轮方向的设置与测试；支持左右手习惯设置；对于带触控板的微型计算机，应具有触控板管理功能，包括启动与禁止及相应的防误触等功能</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★键盘管理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操作系统提供键盘图形化管理工具；支持重复键延时及速度设置；支持数字键盘、大写锁定提示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★显示管理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屏幕分辨率设置；支持屏幕刷新率设置；支持屏幕亮度设置；支持屏幕显示冷暖色温手动、自动调节；支持多个屏幕以复制、扩展、单独方式输出显示，支持多个屏幕显示位置设置，支持各屏幕显示方向独立设置；支持</w:t>
            </w:r>
            <w:r>
              <w:rPr>
                <w:sz w:val="18"/>
                <w:color w:val="000000"/>
              </w:rPr>
              <w:t>4K高分辨率屏幕显示，支持手动和自适应匹配设置窗口等比缩放显示；支持超宽屏显示，如：21:9、32:9的显示器；支持触屏功能，包括选择、点击、双击、滚动等操作；支持登录界面、锁屏界面、系统桌面的背景图片设置；支持屏幕保护定时设置和帐户口令鉴权恢复</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★声音管理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操作系统支持输出音量大小设置、静音设置；支持系统默认音效配置；支持输入输出设备配置；支持输入噪音抑制开关设置；支持输出音量增强开关设置；支持输出声道左右平衡设置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★快捷键管理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操作系统支持预先定义系统快捷键；支持自定义快捷键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★时间日期管理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操作系统支持图形化显示；支持系统日期、时间设置；支持时区设置；支持网络时钟同步设置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★电源管理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操作系统支持空闲时显示器转入待机的时间设置；支持空闲时计算机转入屏幕保护的时间设置；支持屏幕显示亮度设置；便携式计算机使用时支持高性能、平衡、节能等模式设置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★输入法管理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操作系统支持添加和删除输入法；支持快捷键设置，包括输入法启动、输入法激活</w:t>
            </w:r>
            <w:r>
              <w:rPr>
                <w:sz w:val="18"/>
                <w:color w:val="000000"/>
              </w:rPr>
              <w:t>/非激活切换、顺序切换等；支持多种输入法共存</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★默认登录语言</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按照安装时选择的文种类型作为初次登录系统文种</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★打印机管理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添加和删除打印机；支持添加本地打印机、网络打印机及共享打印机；支持打印机共享；支持查看打印机列表；支持任务队列管理，包括取消、暂停、挂起；支持页面设置；提供接口查询打印机打印状态，包括指定文件打印成功的页数、份数、页码及打印失败的文件名和页码等信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★外设管控</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操作系统支持动态显示未授权设备信息；支持接口控制、设备控制、权限控制等（接口包括</w:t>
            </w:r>
            <w:r>
              <w:rPr>
                <w:sz w:val="18"/>
                <w:color w:val="000000"/>
              </w:rPr>
              <w:t>USB、蓝牙、网络接口等；设备包括打印机、摄录设备、USB存储设备等；权限包括读、写、执行等）；支持按设备类型、设备ID、接口等配置设备接入黑白名单策略；提供完整的连接记录，记录可追溯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★隐私文件保护</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操作系统提供基于独立口令和密钥保护的文件保险箱；支持口令和透明加解密鉴权访问文件保险箱内的文件和文件夹；支持手动上锁文件保险箱；支持通过密钥找回口令</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★网络管理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支持图形化显示；支持</w:t>
            </w:r>
            <w:r>
              <w:rPr>
                <w:sz w:val="18"/>
                <w:color w:val="000000"/>
              </w:rPr>
              <w:t>DNS设置；支持IPV4/IPV6地址配置；支持自动获取网络地址；支持网关设置；支持手动/自动设置网络代理服务器，支持HTTP、HTTPS、FTP、SOCKS等多种协议；支持无线网络管理，包括连接或断开网络、配置口令、手动刷新无线热点列表等；支持个人热点共享，包括有线、无线网络生成的网络热点；支持L2TP、PPTP、OpenVPN、StrongSwan类型的VPN连接，支持新增、导入、编辑和删除连接配置，支持启用或禁用VPN自动连接</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★默认应用程序管理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操作系统提供默认用程序管理工具，支持预先定义和修改指定用类型的默认程序，包括图片、文本、音视频、网页、邮件</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★通知管理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操作系统任务栏提供通知中心图标，并显示消息提醒；系统和应用使用通知接口发送通知消息；支持对通知消息的管理，包括显示、删除、清理等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★主题管理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操作系统提供图形化主题管理工具；支持以深色、浅色和昼夜切换自动配色方式显示系统图形化界面；支持系统主题颜色设置；支持系统图标主题设置；支持系统光标主题设置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图形化要求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★用户操作界面</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操作系统提供图形化操作界面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★桌面图标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操作系统默认提供我的系统、个人文档、回收站等图标</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★桌面图标管理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回收站工具，可收集要删除的文件和文件夹，并支持右键清空操作；支持应用程序快捷方式与文件共存；支持右键选单进行复制、剪切和粘贴文件操作；支持文件图标拖拽、摆放；支持图标名称修改；支持按照文件类别显示文件图标</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★桌面快捷选单</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操作系统支持桌面图标按照网格排列；支持右键选单新建纯文本；支持右键选单新建文件夹；支持右键选单选择图标排列顺序，排序可按名称、类型、修改时间、文件大小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★起始选单</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分类显示系统已安装应用；支持创建应用的快捷方式到桌面；支持添加应用访问快捷方式到任务栏；支持多种方式搜索内容，支持拼音搜索、模糊搜索快捷查找系统应用；支持新安装应用与应用列表中其他应用以明显方式区分，包括突出显示、增加标识或单独分类；包含电源操作按钮，并可触发系统退出界面；包含直接进入控制系统或配置系统的功能入口或应用图标</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★任务栏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操作系统应提供图形化任务管理工具栏，任务栏中应该包括快速启动栏、通知栏；提供快速启动应用程序区，可以添加或删除应用启动快捷方式；提供系统通知栏，显示网络、声音、电源、</w:t>
            </w:r>
            <w:r>
              <w:rPr>
                <w:sz w:val="18"/>
                <w:color w:val="000000"/>
              </w:rPr>
              <w:t>USB设备等，支持应用程序（如输入法等）的状态信息；提供显示桌面功能，支持最小化当前所有窗口，在有活动窗口的情况下快速切换成只显示用户桌面；对已切换成只显示用户桌面的状态，可以快速切换回活动窗口状态；直观区分任务栏应用运行与未运行的状态；支持任务栏隐藏；支持任务栏位置调整</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★桌面工作区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操作系统支持多工作区，支持应用跨工作区移动；可配置工作区数量；可通过快捷键切换工作区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★系统退出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操作系统退出界面应为模态或全屏界面，提供选择关机、重启、锁定、注销、休眠、待机等六种操作</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★窗口管理器</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对窗口的操作，如最小化、最大化、移动、改变大小、总是置顶或在最前端、关闭；提供窗口显示最小化、最大化和关闭按钮；提供窗口标题，显示窗口名称，并区别显示选中和未选中窗口；窗口可以在不同工作区中移动；提供窗口防呆功能，防止窗口完全移出桌面范围内；提供窗口切换功能，通过快捷键可在打开的窗口中按一定顺序进行快速切换；提供多任务视图功能，可以预览当前工作区内已打开的所有窗口；支持一键操作移开桌面所有窗口，显示桌面；提供多窗口分屏功能，支持屏幕分割显示各窗口，支持同时调整窗口尺寸</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★图形特效</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窗口显示支持模糊透明特效，当支持透明效果的窗口与其他窗口重叠时，前置窗口颜色能随背景窗口颜色的融合发生变化；提供窗口外观装饰效果设置，如边框、阴影、模糊、透明度、圆角等，且透明度可调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常用软件支持</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★应用软件安全要求</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操作系统预装应用软件应进行签名认证，确保应用软件的安全性、稳定性、可靠性</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★压缩工具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操作系统提供压缩解压缩工具，支持</w:t>
            </w:r>
            <w:r>
              <w:rPr>
                <w:sz w:val="18"/>
                <w:color w:val="000000"/>
              </w:rPr>
              <w:t>zip、7z、tar、tar.7z、tar.bz2、tar.gz等压缩格式新建、打开、解压操作，以及对压缩文件中所含文件进行添加、删除、重命名等操作；支持解压rar格式文件；支持对压缩包进行加解密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★音频播放工具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操作系统提供音频播放工具，支持</w:t>
            </w:r>
            <w:r>
              <w:rPr>
                <w:sz w:val="18"/>
                <w:color w:val="000000"/>
              </w:rPr>
              <w:t>MP3、OGG、WAV等音频格式文件；支持播放本地音频文件；支持本地音乐文件搜索功能；支持播放控制，可设置播放模式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★音频录制工具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操作系统提供音频录制工具，支持系统播放和传声器输入的音频录制为文件；支持录制音频过程中的录制、暂停、续录和停止等操作</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★视频播放工具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操作系统提供视频播放工具，支持</w:t>
            </w:r>
            <w:r>
              <w:rPr>
                <w:sz w:val="18"/>
                <w:color w:val="000000"/>
              </w:rPr>
              <w:t>MKV、OGG等封装格式的视频文件；支持播放本地视频文件；支持自动加载本地字幕；支持播放控制功能；提供软件解码与硬件编解码切换选项，如硬件支持编解码，应优先使用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★视频录制工具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操作系统提供视频录制工具，支持通过摄像头等设备拍摄图片和录制音视频文件；拍摄照片时，支持设置构图网格、快门音效、多张连拍、延时拍摄、镜像拍摄和图像分辨率；录制音视频时，支持延时录制</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★光盘刻录管理工具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操作系统提供光盘刻录管理工具，支持</w:t>
            </w:r>
            <w:r>
              <w:rPr>
                <w:sz w:val="18"/>
                <w:color w:val="000000"/>
              </w:rPr>
              <w:t>CD-R、CD-RW、DVD-R、DVD-RW、DVD+R、DVD+RW格式的光盘；支持将光盘复制为镜像文件保存到另一张光盘；支持将光盘镜像文件刻录到光盘；支持ISO9660、UDF格式光盘挂载、读取；支持ISO9660格式光盘追加刻录；支持检查光盘数据完整性</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★截图录屏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截图录屏工具，支持系统截图和录屏；支持延时捕捉屏幕图像设置；支持录制光标移动、鼠标点击、键盘操作痕迹、系统音频、传声器输入、摄像头画中画内容；支持多种截图区域，包括全屏、程序窗口和自选区域；支持多种保存选项，包括保存到系统默认文件夹、桌面、指定存储路径、剪贴板；系统截图支持保存为</w:t>
            </w:r>
            <w:r>
              <w:rPr>
                <w:sz w:val="18"/>
                <w:color w:val="000000"/>
              </w:rPr>
              <w:t>PNG、JPG、BMP等格式，录屏支持保存为GIF、MP4、MKV等格式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★图像查看工具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操作系统提供图像查看工具，支持查看图像文件，支持</w:t>
            </w:r>
            <w:r>
              <w:rPr>
                <w:sz w:val="18"/>
                <w:color w:val="000000"/>
              </w:rPr>
              <w:t>PNG、JPEG、TIFF、GIF、BMP等图像格式；支持显示图像文件的基本信息，包括文件大小、图像格式、宽度和高度等；支持对图像文件的操作，包括放大、缩小、旋转、打印等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★文件扫描工具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操作系统提供文件扫描工具，支持扫描文件类型设置，包括</w:t>
            </w:r>
            <w:r>
              <w:rPr>
                <w:sz w:val="18"/>
                <w:color w:val="000000"/>
              </w:rPr>
              <w:t>PNG、JPEG、TIFF、BMP、PDF等；支持扫描颜色设置，包括彩色、灰度；支持扫描分辨率、幅面设置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★浏览器</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操作系统提供浏览器，支持</w:t>
            </w:r>
            <w:r>
              <w:rPr>
                <w:sz w:val="18"/>
                <w:color w:val="000000"/>
              </w:rPr>
              <w:t>HTML4、HTML5、ECMAScript、CSS等标准；支持符合国家密码管理要求的商用密码算法；支持国家电子认证根CA签发的符合相关要求的CA机构证书；支持符合GB/T38636—2020的TLCP</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★文件共享</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操作系统提供文件共享工具，支持按用户身份进行读写权限设置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开发环境</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★开发环境</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操作系统通过内置、软件仓库或附加光盘等方式提供如</w:t>
            </w:r>
            <w:r>
              <w:rPr>
                <w:sz w:val="18"/>
                <w:color w:val="000000"/>
              </w:rPr>
              <w:t>Qt、Eclipse、VSCode等集成开发环境</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★开发库</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操作系统通过内置、软件仓库或附加光盘等方式提供如</w:t>
            </w:r>
            <w:r>
              <w:rPr>
                <w:sz w:val="18"/>
                <w:color w:val="000000"/>
              </w:rPr>
              <w:t>GNUC、GNUC++、Java、Qt、Gtk+、Cairo、OpenGL、Perl、Python、Ruby、Rust、Golang、JS等开发库</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★编译开发工具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操作系统通过内置、软件仓库或附加光盘等方式提供如</w:t>
            </w:r>
            <w:r>
              <w:rPr>
                <w:sz w:val="18"/>
                <w:color w:val="000000"/>
              </w:rPr>
              <w:t>GCC、G++、Binutils、GDB、Make、CMake等语言编译器</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★文本编辑工具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操作系统通过内置、软件仓库或附加光盘等方式提供如</w:t>
            </w:r>
            <w:r>
              <w:rPr>
                <w:sz w:val="18"/>
                <w:color w:val="000000"/>
              </w:rPr>
              <w:t>Emacs、Vim等。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功能要求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开发支持</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★开发文档</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操作系统应内置或通过官方网站、社区等提供中文开发文档，包括：软件开发参考文档；驱动开发参考文档；应用移植开发文档；</w:t>
            </w:r>
            <w:r>
              <w:rPr>
                <w:sz w:val="18"/>
                <w:color w:val="000000"/>
              </w:rPr>
              <w:t>API文档</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运行环境兼容</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★版本兼容</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操作系统基础运行库或开发环境向后（向下）兼容，即系统版本升级后，能兼容上一版本所运行的软件与设备；系统主版本兼容维护时间自发布之日起不低于</w:t>
            </w:r>
            <w:r>
              <w:rPr>
                <w:sz w:val="18"/>
                <w:color w:val="000000"/>
              </w:rPr>
              <w:t>5年，包括但不限于安全修复、功能升级、新硬件支持等；支持以增量升级包的方式实现版本更新</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★文件系统层次结构</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供应商应给出长期兼容支持的文件系统层次结构</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★运行库</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供应商应给出长期兼容支持的运行库</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★命令</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供应商应给出长期兼容支持的常用命令</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软件包</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★软件包管理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图形化方式下载、安装和卸载软件包；显示已安装软件包的描述和包含的文件；支持安装时优先自动进行缺失依赖软件包的下载和安装；自动检测本地安装包，当发现安装包未经签名认证时自动告警；在连接软件仓库</w:t>
            </w:r>
            <w:r>
              <w:rPr>
                <w:sz w:val="18"/>
                <w:color w:val="000000"/>
              </w:rPr>
              <w:t>/应用商店时（含局域网、广域网）能自动搜索并下载依赖的软件包</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硬件兼容（整机）</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★微型计算机兼容清单</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供应商提供兼容的台式微型计算机品牌及型号清单，且至少兼容一款产品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★便携式微型计算机兼容清单</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供应商提供兼容的便携式微型计算机品牌及型号清单，且至少兼容一款产品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硬件兼容（部件）</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★固件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供应商提供兼容的固件品牌及型号清单，且至少兼容一款产品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★显卡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供应商提供兼容的显卡品牌及型号清单，且至少兼容一款产品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供应商提供兼容的有线、无线网卡品牌及型号清单，且至少兼容一款产品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★蓝牙</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供应商提供兼容的蓝牙设备品牌及型号清单，且至少兼容一款产品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★显示设备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供应商提供兼容的显示设备品牌及型号清单，且至少兼容一款产品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★生物特征</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供应商提供兼容的生物识别设备（指纹、人脸）品牌及型号清单，且至少兼容一款产品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硬件兼容（外设）</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★打印机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供应商提供兼容的打印机品牌及型号清单，且至少兼容一款产品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★扫描仪</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供应商提供兼容的扫描仪品牌及型号清单，且至少兼容一款产品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★摄录设备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供应商提供兼容的摄录设备品牌及型号清单，且至少兼容一款产品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★存储设备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w:t>
            </w:r>
            <w:r>
              <w:rPr>
                <w:sz w:val="18"/>
                <w:color w:val="000000"/>
              </w:rPr>
              <w:t>USB2.0，3.0，3.1的U盘和移动硬盘品牌及型号清单，且至少兼容一款产品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★主流蓝牙设备</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供应商提供兼容的蓝牙鼠标、键盘、音响等品牌及型号清单，且至少兼容一款产品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★主流USB外设</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w:t>
            </w:r>
            <w:r>
              <w:rPr>
                <w:sz w:val="18"/>
                <w:color w:val="000000"/>
              </w:rPr>
              <w:t>USB设备，如USB鼠标、键盘、音响、网卡等品牌及型号清单，且至少兼容一款产品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软件兼容（日常办公）</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★办公软件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供应商提供兼容的办公软件品牌及版本清单，且至少兼容一款产品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★版式软件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供应商提供兼容的版式软件品牌及版本清单，且至少兼容一款产品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★签名软件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供应商提供兼容的电子签名、电子签章、云签章、</w:t>
            </w:r>
            <w:r>
              <w:rPr>
                <w:sz w:val="18"/>
                <w:color w:val="000000"/>
              </w:rPr>
              <w:t>key签署等签名软件的品牌及版本清单，且至少兼容一款产品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软件兼容（安全防护）</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★杀毒软件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供应商提供兼容的杀毒软件的品牌及版本清单，且至少兼容一款产品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★身份鉴别系统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供应商提供兼容的通过指纹、人脸识别、</w:t>
            </w:r>
            <w:r>
              <w:rPr>
                <w:sz w:val="18"/>
                <w:color w:val="000000"/>
              </w:rPr>
              <w:t>Ukey等方式对使用者身份进行验证的系统品牌及版本清单，且至少兼容一款产品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★日志管理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供应商提供兼容的日志管理软件品牌及版本清单，且至少兼容一款产品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★防火墙</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供应商提供兼容的网络防护、安全管理等软件的品牌及版本清单，且至少兼容一款产品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软件兼容（网络应用）</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★网络会议</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供应商提供兼容的网络会议软件的品牌及版本清单，且至少兼容一款产品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★浏览器</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供应商提供兼容的浏览器的品牌及版本清单，且至少兼容一款产品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★新闻信息</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供应商提供兼容的新闻信息类软件的品牌及版本清单，且至少兼容一款产品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★社交软件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供应商提供兼容的社交软件的品牌及版本清单，且至少兼容一款产品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软件兼容（多媒体）</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★图形图像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供应商提供兼容的图像查看、图像编辑的品牌及版本清单，且至少兼容一款产品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★媒体播放</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供应商提供兼容的媒体播放类软件品牌及版本清单，且至少兼容一款产品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兼容性要求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★音乐电台</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供应商提供兼容的多媒体类软件品牌及版本清单，且至少兼容一款产品</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易用性要求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便捷使用</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★帮助提示</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操作系统提供内置系统和应用中文图文用户手册，包括使用说明、示例、常见故障处理等；对需要补充解释的部分，以合适方式提供中文提示</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易用性要求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★快捷键</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操作系统支持以下快捷键：</w:t>
            </w:r>
            <w:r>
              <w:rPr>
                <w:sz w:val="18"/>
                <w:color w:val="000000"/>
              </w:rPr>
              <w:t><![CDATA[<Super>开始选单<Alt>+<Tab>遍历窗口<Shift>+<Alt>+<Tab>反向遍历窗口<Alt>+<F4>关闭当前窗口<Ctrl>+<A>全选<Ctrl>+<X>剪切<Ctrl>+<C>复制<Ctrl>+<V>粘贴<Ctrl>+<Space>开启/关闭输入法<Ctrl>+<Shift>切换输入法<Super>+<L>桌面锁定<Super>+<D>显示桌面<Super>+<E>打开文件管理器<Ctrl>+<Alt>+<Delete>退出界面]]>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可靠性要求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系统稳定性</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★操作系统连续运行72小时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操作系统在</w:t>
            </w:r>
            <w:r>
              <w:rPr>
                <w:sz w:val="18"/>
                <w:color w:val="000000"/>
              </w:rPr>
              <w:t>CPU占用大于等于80%，或内存占用大于等于80%压力情况下，连续运行72小时无故障</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可靠性要求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检查修复</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★系统修复</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操作系统提供文件系统检查与修复功能，能自动修复文件系统错误或以显式方式提示用户进行手动文件系统修复</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可靠性要求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备份恢复</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★备份还原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操作系统提供备份还原功能：支持系统的备份和还原；支持全盘备份到外部存储设备；支持还原到指定备份点；支持保留用户数据的系统还原；支持系统无法正常进入状态时，可对系统进行还原</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可维护性要求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系统维护</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★日志管理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操作系统提供日志管理工具：支持图形化显示；支持对系统日志信息的显示和刷新；支持对日志文件的查找和导出；支持对特定时间段内的日志进行筛选；支持系统日志定期清除功能</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可维护性要求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★系统升级</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系统增量升级功能，对系统部件、安全补丁等升级；支持在线升级和离线升级；升级不得修改破坏用户数据；升级不得影响原有软硬件兼容性；提供升级回退机制，能卸载已升级的软件包，恢复系统原有状态；如升级为不可回退，则系统升级前以显式的提示告知用户</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交付方式</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★交付方式</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操作系统支持光盘、</w:t>
            </w:r>
            <w:r>
              <w:rPr>
                <w:sz w:val="18"/>
                <w:color w:val="000000"/>
              </w:rPr>
              <w:t>USB闪存盘、镜像文件（下载）等交付方式</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产品维护服务周期</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★产品维护周期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产品自发布之日起至产品停止功能升级（包含不限于新特性、新硬件支持、问题修复、安全补丁等）之日止</w:t>
            </w:r>
            <w:r>
              <w:rPr>
                <w:sz w:val="18"/>
                <w:color w:val="000000"/>
              </w:rPr>
              <w:t>≥5年</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★产品延伸服务周期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产品停止功能升级之日起至产品停止功能维护（包括问题修复、安全补丁等）之日止</w:t>
            </w:r>
            <w:r>
              <w:rPr>
                <w:sz w:val="18"/>
                <w:color w:val="000000"/>
              </w:rPr>
              <w:t>≥4年</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★产品延伸安全服务周期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产品功能维护停止之日起至产品停止安全维护（包括中高风险漏洞修复）之日止</w:t>
            </w:r>
            <w:r>
              <w:rPr>
                <w:sz w:val="18"/>
                <w:color w:val="000000"/>
              </w:rPr>
              <w:t>≥2年</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★产品售后服务周期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≥6年</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售后服务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★原厂服务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服务由操作系统厂商的正式员工提供，不由代理商提供</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★服务热线电话</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操作系统厂商为最终用户提供工作日每日不少于</w:t>
            </w:r>
            <w:r>
              <w:rPr>
                <w:sz w:val="18"/>
                <w:color w:val="000000"/>
              </w:rPr>
              <w:t>8h（应覆盖一般工作时间，具体时间由企业标准给出）中文技术服务热线</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★技术服务标准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操作系统厂商提供工作日每日不少于</w:t>
            </w:r>
            <w:r>
              <w:rPr>
                <w:sz w:val="18"/>
                <w:color w:val="000000"/>
              </w:rPr>
              <w:t>8h技术支持服务</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★技术服务时效</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操作系统厂商满足同城</w:t>
            </w:r>
            <w:r>
              <w:rPr>
                <w:sz w:val="18"/>
                <w:color w:val="000000"/>
              </w:rPr>
              <w:t>4h、异地12h响应要求，两个工作日解决问题，对于未能解决的问题和故障提供可行的升级方案</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★技术服务保障</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发生非人为因素故障，在七日内由操作系统厂商原厂人员对产品进行补充或更换</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交付与安装调试</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★配套资料</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操作系统厂商交付产品时提供配套的技术资料，包括但不限于系统说明文件、用户手册（用户安装、操作、维护、故障排除）等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系统更换</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★系统更换</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服务期内，操作系统厂商支持版本更换（注：更换后不延长服务期）</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厂商能力要求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★服务团队</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操作系统厂商建立全国技术服务体系和服务团队，为客户提供专业的原厂中文服务</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供应保障要求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数据上行安全保障</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★数据收集安全保障</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除用户授权采集的信息外不采集其他数据，相关信息采集无安全风险，相关数据存储在大陆境内</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供应保障要求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数据下行安全保障</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★数据供给安全保障</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数据供给安全保障：涉及数据下载的线上服务物理服务器不出境，包括代码仓库、系统补丁、安全补丁、服务网站等</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供应保障要求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代码无风险</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★代码无风险</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操作系统厂商可提供源代码，源代码可供第三方机构审查，开源许可合规，代码知识产权无风险，无恶意安全漏洞或后门，代码可追溯、可重构</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基本要求</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★基本要求</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操作系统应当符合安全可靠测评要求</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密码算法支持</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★密码算法实现</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w:t>
            </w:r>
            <w:r>
              <w:rPr>
                <w:sz w:val="18"/>
                <w:color w:val="000000"/>
              </w:rPr>
              <w:t>GM/T0002、GM/T0003和GM/T0004规定的密码算法运算</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★随机数生成</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随机数质量符合</w:t>
            </w:r>
            <w:r>
              <w:rPr>
                <w:sz w:val="18"/>
                <w:color w:val="000000"/>
              </w:rPr>
              <w:t>GM/T0005《随机性检测规范》或GB/T32915《信息安全技术二元序列随机性检测方法》</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★内置数字证书</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操作系统内置国家电子认证根</w:t>
            </w:r>
            <w:r>
              <w:rPr>
                <w:sz w:val="18"/>
                <w:color w:val="000000"/>
              </w:rPr>
              <w:t>CA的根证书</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★密码协议实现</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操作系统支持符合</w:t>
            </w:r>
            <w:r>
              <w:rPr>
                <w:sz w:val="18"/>
                <w:color w:val="000000"/>
              </w:rPr>
              <w:t>GB/T38636—2020的TLCP</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安全管理工具</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★安全管理工具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操作系统提供安全管理工具，包括帐户安全、网络防护、病毒防护、应用程序执行控制</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身份鉴别</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★生物特征识别管理</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操作系统支持两种及以上的生物特征类型鉴别，如指纹、人脸；支持使用生物特征进行命令行、图形化提权操作的身份鉴别；支持使用生物特征进行系统登录操作的身份鉴别；支持用户管理自己的生物特征信息</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★身份鉴别服务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操作系统用户标识使用帐户名和帐户</w:t>
            </w:r>
            <w:r>
              <w:rPr>
                <w:sz w:val="18"/>
                <w:color w:val="000000"/>
              </w:rPr>
              <w:t>ID，在操作系统的整个生存周期内帐户标识具有唯一性；支持配置帐户口令复杂度校验及强口令管理；支持帐户口令有效期配置；支持口令鉴别失败控制；支持口令加密算法配置，帐户口令进行加密后以不可逆的密文形式保存；支持禁止根帐户(root)远程登录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访问控制</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★自主访问控制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允许客体拥有者以普通帐户决定并控制对客体的访问，并阻止非授权帐户对客体的访问普通用户缺省拥有新建、读写和删除私有目录下文件的权限；支持细粒度的自主访问控制，将访问控制的粒度控制在指定帐户，对系统中的每一个客体，实现由客体拥有者以指定帐户方式确定其对该客体的访问权限，而其他同组帐户或非同组的帐户和用户组对该客体的访问权则由客体拥有者授予</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★强制访问控制</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操作系统支持对应用程序的访问控制与资源限制，包括对文件、网络等客体的访问控制；支持应用安装控制、应用执行控制</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vMerge/>
            <w:tcBorders>
              <w:top w:val="none" w:color="000000" w:sz="4"/>
              <w:left w:val="single" w:color="000000" w:sz="4"/>
              <w:bottom w:val="single" w:color="000000" w:sz="4"/>
              <w:right w:val="single" w:color="000000" w:sz="4"/>
            </w:tcBorders>
          </w:tcP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★安全审计</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能对身份鉴别的使用、自主访问控制、标记和强制访问控制策略的修改等生成审计日志；审计记录包括事件类型、事件发生的日期、触发事件的帐户、事件成功或失败等字段；支持审计日志查询和导出功能设置</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防火墙工具</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★基本要求</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操作系统支持开启或关闭防火墙；支持添加防火墙规则，至少包括名称、协议、地址和端口；提供不同场景下的缺省防火墙配置，如公共、专用和自定义；支持不同的访问策略，包括允许、拒绝</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160</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安全要求</w:t>
            </w:r>
          </w:p>
        </w:tc>
        <w:tc>
          <w:tcPr>
            <w:tcW w:type="dxa" w:w="10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漏洞管理</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★漏洞编号</w:t>
            </w:r>
          </w:p>
        </w:tc>
        <w:tc>
          <w:tcPr>
            <w:tcW w:type="dxa" w:w="47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操作系统支持漏洞编号，每个漏洞独立编号，可直接使用</w:t>
            </w:r>
            <w:r>
              <w:rPr>
                <w:sz w:val="18"/>
                <w:color w:val="000000"/>
              </w:rPr>
              <w:t>NVDB、CNVD或CVE编号；漏洞提醒，发现或获悉漏洞信息时，通过系统推送、电子邮件或官方网站等方式通知用户；漏洞修复，对已发现的安全漏洞通过补丁等方式对系统漏洞进行修复；漏洞列表，提供每个版本已修复的漏洞列表，并提供命令或网页等方式方便用户查询漏洞及其修复情况</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/响应环节出具关于所提供的操作系统是否完全满足本表格</w:t>
            </w:r>
            <w:r>
              <w:rPr>
                <w:sz w:val="18"/>
                <w:b/>
                <w:color w:val="000000"/>
              </w:rPr>
              <w:t>★</w:t>
            </w:r>
            <w:r>
              <w:rPr>
                <w:sz w:val="18"/>
                <w:b/>
                <w:color w:val="000000"/>
              </w:rPr>
              <w:t>条款要求的《承诺函》（可参照</w:t>
            </w:r>
            <w:r>
              <w:rPr>
                <w:sz w:val="18"/>
                <w:b/>
                <w:color w:val="000000"/>
              </w:rPr>
              <w:t>“投标文件格式与要求”中《承诺函》格式），承诺完全满足，即视为相关产品符合要求。供应商应根据实际情况做承诺。</w:t>
            </w:r>
          </w:p>
        </w:tc>
      </w:tr>
    </w:tbl>
    <w:p>
      <w:pPr>
        <w:pStyle w:val="null3"/>
        <w:ind w:firstLine="480"/>
        <w:jc w:val="both"/>
        <w:outlineLvl w:val="2"/>
      </w:pPr>
      <w:r>
        <w:rPr>
          <w:sz w:val="24"/>
          <w:b/>
        </w:rPr>
        <w:t>5</w:t>
      </w:r>
      <w:r>
        <w:rPr>
          <w:sz w:val="24"/>
          <w:b/>
        </w:rPr>
        <w:t>、核心</w:t>
      </w:r>
      <w:r>
        <w:rPr>
          <w:sz w:val="24"/>
          <w:b/>
        </w:rPr>
        <w:t>交换机</w:t>
      </w:r>
    </w:p>
    <w:tbl>
      <w:tblPr>
        <w:tblW w:w="0" w:type="auto"/>
        <w:tblBorders>
          <w:top w:val="none" w:color="000000" w:sz="4"/>
          <w:left w:val="none" w:color="000000" w:sz="4"/>
          <w:bottom w:val="none" w:color="000000" w:sz="4"/>
          <w:right w:val="none" w:color="000000" w:sz="4"/>
          <w:insideH w:val="none"/>
          <w:insideV w:val="none"/>
        </w:tblBorders>
      </w:tblPr>
      <w:tblGrid>
        <w:gridCol w:w="666"/>
        <w:gridCol w:w="1035"/>
        <w:gridCol w:w="6604"/>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6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总体要求</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本次项目采购的核心交换机，用于替换采购人现阶段正在使用的核心交换机，实现网络架构优化、提升网络性能。要求投标人须全面负责并完成采购人现有网络的割接与网络优化工作。在实施过程中，所涉及使用的各类相关辅材，包括但不限于光纤、网线、扎带，其相关费用均由投标人承担。</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完全兼容广东省国土资源测绘院现用核心交换机华为S7706及华为S5720，支持与现有交换机配置文件的导入导出功能，可将现有交换机的配置参数快速导入到新交换机中，以实现网络无缝迁移，减少网络割接的配置工作量和出错概率。</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★投标产品必须原生且全面支持 IPv4 和 IPv6 双协议栈，确保在同一网络环境中能同时处理 IPv4 和 IPv6 数据包，实现无差别转发与路由功能。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交换容量</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★交换容量≥102Tbps，包转发率≥57600Mpps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硬件要求</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适用</w:t>
            </w:r>
            <w:r>
              <w:rPr>
                <w:sz w:val="18"/>
                <w:color w:val="000000"/>
              </w:rPr>
              <w:t>600mm深度机柜，设备高度≤10U</w:t>
            </w:r>
            <w:r>
              <w:rPr>
                <w:sz w:val="18"/>
                <w:color w:val="000000"/>
              </w:rPr>
              <w:t>。</w:t>
            </w:r>
            <w:r>
              <w:rPr>
                <w:sz w:val="18"/>
                <w:b/>
                <w:color w:val="000000"/>
              </w:rPr>
              <w:t>提供官网证明材料</w:t>
            </w:r>
            <w:r>
              <w:rPr>
                <w:sz w:val="18"/>
                <w:b/>
                <w:color w:val="000000"/>
              </w:rPr>
              <w:t>或其他能证明满足该项要求的证明</w:t>
            </w:r>
            <w:r>
              <w:rPr>
                <w:sz w:val="18"/>
                <w:b/>
                <w:color w:val="000000"/>
              </w:rPr>
              <w:t>材料</w:t>
            </w:r>
            <w:r>
              <w:rPr>
                <w:sz w:val="18"/>
                <w:b/>
                <w:color w:val="000000"/>
              </w:rPr>
              <w:t>复印件。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★主控引擎≥2；整机业务板槽位数≥6，本次配置：万兆光口≥48个；千兆电口≥48个；4端口万兆集群业务子卡，≥12个千兆多模模块，≥36个万兆多模模块，≥4条10G堆叠电缆</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★万兆光口支持向下兼容千兆光模块</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支持颗粒化电源，整机电源槽位数</w:t>
            </w:r>
            <w:r>
              <w:rPr>
                <w:sz w:val="18"/>
                <w:color w:val="000000"/>
              </w:rPr>
              <w:t>≥4，本次配置：2个3000W电源</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为适应机柜并排部署，设备机箱（包括业务板卡区）采用后出风风道设计</w:t>
            </w:r>
            <w:r>
              <w:rPr>
                <w:sz w:val="18"/>
                <w:color w:val="000000"/>
              </w:rPr>
              <w:t>。</w:t>
            </w:r>
            <w:r>
              <w:rPr>
                <w:sz w:val="18"/>
                <w:b/>
                <w:color w:val="000000"/>
              </w:rPr>
              <w:t>提供官网证明材料</w:t>
            </w:r>
            <w:r>
              <w:rPr>
                <w:sz w:val="18"/>
                <w:b/>
                <w:color w:val="000000"/>
              </w:rPr>
              <w:t>或其他能证明满足该项要求的证明材料复印件。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支持独立的硬件监控板卡</w:t>
            </w:r>
            <w:r>
              <w:rPr>
                <w:sz w:val="18"/>
                <w:color w:val="000000"/>
              </w:rPr>
              <w:t>, 控制平面和监控平面物理槽位分离，支持1+1备份，</w:t>
            </w:r>
            <w:r>
              <w:rPr>
                <w:sz w:val="18"/>
                <w:color w:val="000000"/>
              </w:rPr>
              <w:t>至少</w:t>
            </w:r>
            <w:r>
              <w:rPr>
                <w:sz w:val="18"/>
                <w:color w:val="000000"/>
              </w:rPr>
              <w:t>能集中监控风扇、电源</w:t>
            </w:r>
            <w:r>
              <w:rPr>
                <w:sz w:val="18"/>
                <w:color w:val="000000"/>
              </w:rPr>
              <w:t>模块，能调节能耗</w:t>
            </w:r>
            <w:r>
              <w:rPr>
                <w:sz w:val="18"/>
                <w:color w:val="000000"/>
              </w:rPr>
              <w:t>。</w:t>
            </w:r>
            <w:r>
              <w:rPr>
                <w:sz w:val="18"/>
                <w:b/>
                <w:color w:val="000000"/>
              </w:rPr>
              <w:t>提供官网证明材料</w:t>
            </w:r>
            <w:r>
              <w:rPr>
                <w:sz w:val="18"/>
                <w:b/>
                <w:color w:val="000000"/>
              </w:rPr>
              <w:t>或其他能证明满足该项要求的证明材料复印件。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为了维护方便，所有主控、交换及业务板卡都是前维护</w:t>
            </w:r>
            <w:r>
              <w:rPr>
                <w:sz w:val="18"/>
                <w:color w:val="000000"/>
              </w:rPr>
              <w:t>。</w:t>
            </w:r>
            <w:r>
              <w:rPr>
                <w:sz w:val="18"/>
                <w:b/>
                <w:color w:val="000000"/>
              </w:rPr>
              <w:t>提供官网证明材料</w:t>
            </w:r>
            <w:r>
              <w:rPr>
                <w:sz w:val="18"/>
                <w:b/>
                <w:color w:val="000000"/>
              </w:rPr>
              <w:t>或其他能证明满足该项要求的证明材料复印件。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纵向虚拟化</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为了简化管理，支持纵向虚拟化技术，支持把多台交换机和</w:t>
            </w:r>
            <w:r>
              <w:rPr>
                <w:sz w:val="18"/>
                <w:color w:val="000000"/>
              </w:rPr>
              <w:t>AP</w:t>
            </w:r>
            <w:r>
              <w:rPr>
                <w:sz w:val="18"/>
                <w:color w:val="000000"/>
              </w:rPr>
              <w:t>设备虚拟为一台设备，支持两层子节点，且子节点接入交换机支持堆叠</w:t>
            </w:r>
            <w:r>
              <w:rPr>
                <w:sz w:val="18"/>
                <w:color w:val="000000"/>
              </w:rPr>
              <w:t>。</w:t>
            </w:r>
            <w:r>
              <w:rPr>
                <w:sz w:val="18"/>
                <w:b/>
                <w:color w:val="000000"/>
              </w:rPr>
              <w:t>提供</w:t>
            </w:r>
            <w:r>
              <w:rPr>
                <w:sz w:val="18"/>
                <w:b/>
                <w:color w:val="000000"/>
              </w:rPr>
              <w:t>具有</w:t>
            </w:r>
            <w:r>
              <w:rPr>
                <w:sz w:val="18"/>
                <w:b/>
                <w:color w:val="000000"/>
              </w:rPr>
              <w:t>CMA 或CNAS认证标志的第三方检测机构出具的检测报告复印件</w:t>
            </w:r>
            <w:r>
              <w:rPr>
                <w:sz w:val="18"/>
                <w:b/>
                <w:color w:val="000000"/>
              </w:rPr>
              <w:t>或</w:t>
            </w:r>
            <w:r>
              <w:rPr>
                <w:sz w:val="18"/>
                <w:b/>
                <w:color w:val="000000"/>
              </w:rPr>
              <w:t>官网手册或产品说明书或产品技术白皮书或功能截图或</w:t>
            </w:r>
            <w:r>
              <w:rPr>
                <w:sz w:val="18"/>
                <w:b/>
                <w:color w:val="000000"/>
              </w:rPr>
              <w:t>或其他能证明满足该项要求的证明材料复印件。</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VXLAN</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VxLAN功能，支持VxLAN二层网关、三层网关，支持BGP EVPN，支持分布式 Anycast 网关，支持VxLAN Fabric 的自动化部署</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MAC</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支持整机</w:t>
            </w:r>
            <w:r>
              <w:rPr>
                <w:sz w:val="18"/>
                <w:color w:val="000000"/>
              </w:rPr>
              <w:t>MAC地址≥1M；MAC学习速率≥8000/s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ARP</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支持整机</w:t>
            </w:r>
            <w:r>
              <w:rPr>
                <w:sz w:val="18"/>
                <w:color w:val="000000"/>
              </w:rPr>
              <w:t>ARP表项≥256K；ARP学习速率≥1000/s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VLAN</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Super VLAN；支持Voice VLAN;</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支持端口</w:t>
            </w:r>
            <w:r>
              <w:rPr>
                <w:sz w:val="18"/>
                <w:color w:val="000000"/>
              </w:rPr>
              <w:t>VLAN，协议VLAN，IP子网VLAN；</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4K VLAN；支持1：1，N：1 VLAN mapping</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二层功能</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IEEE 802.1d(STP)、 802.w(RSTP)、 802.1s(MSTP)</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DHCP Client, DHCP Server，DHCP Relay；</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IP路由</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支持静态路由、</w:t>
            </w:r>
            <w:r>
              <w:rPr>
                <w:sz w:val="18"/>
                <w:color w:val="000000"/>
              </w:rPr>
              <w:t>RIP、RIPng、OSPF、OSPFv3、BGP、BGP4+、ISIS、ISISv6</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GR for OSPF/IS-IS/BGP</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QoS</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PQ、WRR、DRR、PQ+WRR、PQ+DRR调度方式；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5级H-QoS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安全性</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DHCP Snooping trust, 防止私设DHCP服务器；</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DHCP snooping binding table (DAI, IP source guard), 防止ARP攻击、DDOS攻击、中间人攻击；</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802.1X、MAC、Portal等认证方式</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可靠性</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支持真实业务流的实时检测技术，秒级快速故障定位</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G.8032标准环网协议</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10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管理运维</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SNMP V1/V2/V3、Telnet、RMON、SSHV2</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支持通过命令行、中文图形化配置软件等方式进行配置和管理</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1035"/>
            <w:vMerge/>
            <w:tcBorders>
              <w:top w:val="none" w:color="000000" w:sz="4"/>
              <w:left w:val="none" w:color="000000" w:sz="4"/>
              <w:bottom w:val="single" w:color="000000" w:sz="4"/>
              <w:right w:val="single" w:color="000000" w:sz="4"/>
            </w:tcBorders>
          </w:tcP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Telemetry 技术，实时采集设备数据并上送至网络分析组件平台，通过智能故障识别算法对网络数据进行分析，精准展现网络实时状态，及时定界故障以及故障发生原因，精准保障用户体验</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售后要求</w:t>
            </w:r>
          </w:p>
        </w:tc>
        <w:tc>
          <w:tcPr>
            <w:tcW w:type="dxa" w:w="6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★提供3年质保，包括但不限于系统软件升级，上门技术服务，硬件故障备件先行。</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核心交换机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2"/>
      </w:pPr>
      <w:r>
        <w:rPr>
          <w:sz w:val="24"/>
          <w:b/>
        </w:rPr>
        <w:t>6</w:t>
      </w:r>
      <w:r>
        <w:rPr>
          <w:sz w:val="24"/>
          <w:b/>
        </w:rPr>
        <w:t>、网络交换机</w:t>
      </w:r>
    </w:p>
    <w:tbl>
      <w:tblPr>
        <w:tblW w:w="0" w:type="auto"/>
        <w:tblBorders>
          <w:top w:val="none" w:color="000000" w:sz="4"/>
          <w:left w:val="none" w:color="000000" w:sz="4"/>
          <w:bottom w:val="none" w:color="000000" w:sz="4"/>
          <w:right w:val="none" w:color="000000" w:sz="4"/>
          <w:insideH w:val="none"/>
          <w:insideV w:val="none"/>
        </w:tblBorders>
      </w:tblPr>
      <w:tblGrid>
        <w:gridCol w:w="666"/>
        <w:gridCol w:w="1088"/>
        <w:gridCol w:w="6551"/>
      </w:tblGrid>
      <w:tr>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6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总体要求</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★为优化系统运维工作，实现网络系统集中高效管理，要求相关设备须与核心交换机</w:t>
            </w:r>
            <w:r>
              <w:rPr>
                <w:sz w:val="18"/>
                <w:color w:val="000000"/>
              </w:rPr>
              <w:t>相互兼容</w:t>
            </w:r>
            <w:r>
              <w:rPr>
                <w:sz w:val="21"/>
              </w:rPr>
              <w:t>。</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★投标产品必须原生且全面支持 IPv4 和 IPv6 双协议栈，确保在同一网络环境中能同时处理 IPv4 和 IPv6 数据包，实现无差别转发与路由功能。</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性能</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★交换容量≥670Gbps，包转发率≥200Mpps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端口</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★48个 10/100/1000Base-T 以太网端口，4 个万兆 SFP+;可插拔的双电源，≥2个万兆多模模块</w:t>
            </w:r>
            <w:r>
              <w:rPr>
                <w:sz w:val="18"/>
                <w:color w:val="000000"/>
              </w:rPr>
              <w:t>。</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用户管理</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支持统一用户管理功能，支持</w:t>
            </w:r>
            <w:r>
              <w:rPr>
                <w:sz w:val="18"/>
                <w:color w:val="000000"/>
              </w:rPr>
              <w:t>802.1X/MAC/Portal等多种认证方式，支持1024认证用户同时在线</w:t>
            </w:r>
            <w:r>
              <w:rPr>
                <w:sz w:val="18"/>
                <w:color w:val="000000"/>
              </w:rPr>
              <w:t>。</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二层</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MAC表项≥32K</w:t>
            </w:r>
            <w:r>
              <w:rPr>
                <w:sz w:val="18"/>
                <w:color w:val="000000"/>
              </w:rPr>
              <w:t>。</w:t>
            </w:r>
            <w:r>
              <w:rPr>
                <w:sz w:val="18"/>
                <w:b/>
                <w:color w:val="000000"/>
              </w:rPr>
              <w:t>（</w:t>
            </w:r>
            <w:r>
              <w:rPr>
                <w:sz w:val="18"/>
                <w:b/>
                <w:color w:val="000000"/>
              </w:rPr>
              <w:t>提供国家认可的具有</w:t>
            </w:r>
            <w:r>
              <w:rPr>
                <w:sz w:val="18"/>
                <w:b/>
                <w:color w:val="000000"/>
              </w:rPr>
              <w:t>CMA 或CNAS认证标志的第三方检测机构出具的检测报告复印件</w:t>
            </w:r>
            <w:r>
              <w:rPr>
                <w:sz w:val="18"/>
                <w:b/>
                <w:color w:val="000000"/>
              </w:rPr>
              <w:t>或官网手册或产品说明书或产品技术白皮书或功能截图或或其他能证明满足该项要求的证明材料复印件。</w:t>
            </w:r>
            <w:r>
              <w:rPr>
                <w:sz w:val="18"/>
                <w:b/>
                <w:color w:val="000000"/>
              </w:rPr>
              <w:t>）</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4K VLAN，支持 Voice VLAN、支持端口 VLAN、协议 VLAN、IP子网VLAN</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IEEE 802.1d(STP)、 802.w(RSTP)，802.1s(MSTP)</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支持策略</w:t>
            </w:r>
            <w:r>
              <w:rPr>
                <w:sz w:val="18"/>
                <w:color w:val="000000"/>
              </w:rPr>
              <w:t>VLAN，支持PVLAN/MUX VLAN</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IGMP v1/v2/v3、PIM-SM、PIM-DM、PIM-SSM</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三层</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支特静态路由、</w:t>
            </w:r>
            <w:r>
              <w:rPr>
                <w:sz w:val="18"/>
                <w:color w:val="000000"/>
              </w:rPr>
              <w:t>RIP、0SP、RIPa、OSPFV3</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VRRP、BFD</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可靠性</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G.8032 (ERPS) 标准以太环网协议，故障倒换收敛时间小于 50ms</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管理维护</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SNMP V1/V2/V3、Telnet、RMON、SSHV2</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088"/>
            <w:vMerge/>
            <w:tcBorders>
              <w:top w:val="none" w:color="000000" w:sz="4"/>
              <w:left w:val="none" w:color="000000" w:sz="4"/>
              <w:bottom w:val="single" w:color="000000" w:sz="4"/>
              <w:right w:val="single" w:color="000000" w:sz="4"/>
            </w:tcBorders>
          </w:tcP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支持通过命令行、中文图形化配置软件等方式进行配置和管理</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复位按钮</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设备支持复位按钮和恢复出厂配置按钮（</w:t>
            </w:r>
            <w:r>
              <w:rPr>
                <w:sz w:val="18"/>
                <w:color w:val="000000"/>
              </w:rPr>
              <w:t>PNP）。</w:t>
            </w:r>
            <w:r>
              <w:rPr>
                <w:sz w:val="18"/>
                <w:b/>
                <w:color w:val="000000"/>
              </w:rPr>
              <w:t>（提供官网手册</w:t>
            </w:r>
            <w:r>
              <w:rPr>
                <w:sz w:val="18"/>
                <w:b/>
                <w:color w:val="000000"/>
              </w:rPr>
              <w:t>或产品说明书或产品技术白皮书或功能截图或其他能证明满足该项要求的</w:t>
            </w:r>
            <w:r>
              <w:rPr>
                <w:sz w:val="18"/>
                <w:b/>
                <w:color w:val="000000"/>
              </w:rPr>
              <w:t>证明</w:t>
            </w:r>
            <w:r>
              <w:rPr>
                <w:sz w:val="18"/>
                <w:b/>
                <w:color w:val="000000"/>
              </w:rPr>
              <w:t>材料复印件</w:t>
            </w:r>
            <w:r>
              <w:rPr>
                <w:sz w:val="18"/>
                <w:b/>
                <w:color w:val="000000"/>
              </w:rPr>
              <w:t>并加盖投标人公章）</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ID指示灯</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设备支持</w:t>
            </w:r>
            <w:r>
              <w:rPr>
                <w:sz w:val="18"/>
                <w:color w:val="000000"/>
              </w:rPr>
              <w:t>ID指示灯，维护人员可以在后台点亮后去机房直接找到相对于设备，便于快速定位设备位置。</w:t>
            </w:r>
            <w:r>
              <w:rPr>
                <w:sz w:val="18"/>
                <w:b/>
                <w:color w:val="000000"/>
              </w:rPr>
              <w:t>（提供官网手册</w:t>
            </w:r>
            <w:r>
              <w:rPr>
                <w:sz w:val="18"/>
                <w:b/>
                <w:color w:val="000000"/>
              </w:rPr>
              <w:t>或产品说明书或产品技术白皮书或功能截图或其他能证明满足该项要求的</w:t>
            </w:r>
            <w:r>
              <w:rPr>
                <w:sz w:val="18"/>
                <w:b/>
                <w:color w:val="000000"/>
              </w:rPr>
              <w:t>证明</w:t>
            </w:r>
            <w:r>
              <w:rPr>
                <w:sz w:val="18"/>
                <w:b/>
                <w:color w:val="000000"/>
              </w:rPr>
              <w:t>材料复印件</w:t>
            </w:r>
            <w:r>
              <w:rPr>
                <w:sz w:val="18"/>
                <w:b/>
                <w:color w:val="000000"/>
              </w:rPr>
              <w:t>并加盖投标人公章）</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智能运维</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Telemetry 技术，实时采集设备数据并上送至网络分析组件平台，通过智能故障识别算法对网络数据进行分析，精准展现网络实时状态，及时定界故障以及故障发生原因，精准保障用户体验</w:t>
            </w:r>
          </w:p>
        </w:tc>
      </w:tr>
      <w:tr>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售后要求</w:t>
            </w:r>
          </w:p>
        </w:tc>
        <w:tc>
          <w:tcPr>
            <w:tcW w:type="dxa" w:w="6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★提供3年质保，包括但不限于系统软件升级，上门技术服务，硬件故障备件先行。</w:t>
            </w:r>
          </w:p>
        </w:tc>
      </w:tr>
      <w:tr>
        <w:tc>
          <w:tcPr>
            <w:tcW w:type="dxa" w:w="830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网络交换机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2"/>
      </w:pPr>
      <w:r>
        <w:rPr>
          <w:sz w:val="24"/>
          <w:b/>
        </w:rPr>
        <w:t>7</w:t>
      </w:r>
      <w:r>
        <w:rPr>
          <w:sz w:val="24"/>
          <w:b/>
        </w:rPr>
        <w:t>、网络流量监控软件</w:t>
      </w:r>
    </w:p>
    <w:tbl>
      <w:tblPr>
        <w:tblW w:w="0" w:type="auto"/>
        <w:tblBorders>
          <w:top w:val="none" w:color="000000" w:sz="4"/>
          <w:left w:val="none" w:color="000000" w:sz="4"/>
          <w:bottom w:val="none" w:color="000000" w:sz="4"/>
          <w:right w:val="none" w:color="000000" w:sz="4"/>
          <w:insideH w:val="none"/>
          <w:insideV w:val="none"/>
        </w:tblBorders>
      </w:tblPr>
      <w:tblGrid>
        <w:gridCol w:w="1011"/>
        <w:gridCol w:w="1011"/>
        <w:gridCol w:w="6280"/>
      </w:tblGrid>
      <w:tr>
        <w:tc>
          <w:tcPr>
            <w:tcW w:type="dxa" w:w="10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62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总体要求</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监控平台采用</w:t>
            </w:r>
            <w:r>
              <w:rPr>
                <w:sz w:val="18"/>
                <w:color w:val="000000"/>
              </w:rPr>
              <w:t>B/S架构，简体中文界面，支持Chrome、edge、firefox以及奇安信等多种浏览器。</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系统自带数据库并对数据做加密处理。系统提供后台数据进行自动、手动备份功能。</w:t>
            </w:r>
            <w:r>
              <w:rPr>
                <w:sz w:val="18"/>
                <w:b/>
                <w:color w:val="000000"/>
              </w:rPr>
              <w:t>提供截图证明。</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★本项目需要支持网络设备、安全设备、服务器硬件、操作系统、终端IP设备管理，不少于100个通用管理授权（网络设备、安全设备、服务器硬件）、sflow流量分析端口授权不限制。</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★支持龙芯，鲲鹏芯片，支持部署麒麟操作系统。产品支持跨浏览器,可以根据人员的习惯使用不同的浏览器。</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系统平台</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★软件遵循等保规范要求（如，密码验证……）。若用户需依据等保三级标准开展软件安全加固工作，服务期内厂商需及时有效地提供安全整改加固服务，确保软件在安全性方面达到等保三级标准的要求。</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系统应能按月度统计全网整体的运行情况、性能变化趋势、巡检情况等；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系统应具备大数据应用支撑能力，实现对海量数据的迅即监控、运算和处理，支持对历史数据无压缩存储。</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支持对各模块功能运维情况、告警规则运行日志、历史规则运行日志等进行自身监控管理。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历史数据分析</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★支持多个不同指标在同一时间轴中进行对比分析。支持同一设备多个端口、或者不同设备的不同端口；以及不同链路之间的对比。</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★支持无压缩历史记录任意时段拖拽查看，对于超过3个月的历史数据，支持原始采集颗粒度（1分钟、5分钟、10分钟)的对比分析。</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报表管理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★支持报表统计时段自定义功能，支持非自然月统计的月报表。</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报表格式输出支持</w:t>
            </w:r>
            <w:r>
              <w:rPr>
                <w:sz w:val="18"/>
                <w:color w:val="000000"/>
              </w:rPr>
              <w:t>PDF、HMTL、WORD、EXCEL方式。</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支持自定义报表，以报表模板为基础，可根据模板，进行内容和报表推送方式的定制。</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网络设备管理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支持华为、</w:t>
            </w:r>
            <w:r>
              <w:rPr>
                <w:sz w:val="18"/>
                <w:color w:val="000000"/>
              </w:rPr>
              <w:t>H3C、浪潮、锐捷、天融信、cisco等的统一管理；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支持网络设备、安全设备的</w:t>
            </w:r>
            <w:r>
              <w:rPr>
                <w:sz w:val="18"/>
                <w:color w:val="000000"/>
              </w:rPr>
              <w:t>cpu、内存、端口流量及状态的检测；</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支持网络设备的</w:t>
            </w:r>
            <w:r>
              <w:rPr>
                <w:sz w:val="18"/>
                <w:color w:val="000000"/>
              </w:rPr>
              <w:t>SNMP V1、V2、V3这三个版本的混和拓扑，并能对SNMP V3设备进行管理。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支持设备面板管理及设备运行视图管理，支持现实</w:t>
            </w:r>
            <w:r>
              <w:rPr>
                <w:sz w:val="18"/>
                <w:color w:val="000000"/>
              </w:rPr>
              <w:t>cpu、内存、各个端口状态及流量，以及对端设备管理；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支持对设备实时监控、实时查看</w:t>
            </w:r>
            <w:r>
              <w:rPr>
                <w:sz w:val="18"/>
                <w:color w:val="000000"/>
              </w:rPr>
              <w:t>arp表、路由表、mac地址、ip地址信息、tcp连接信息、udp监听信息等。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支持对设备进行采集设置，可设置采集状态、采集模式等；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支持对设备图标右键直接</w:t>
            </w:r>
            <w:r>
              <w:rPr>
                <w:sz w:val="18"/>
                <w:color w:val="000000"/>
              </w:rPr>
              <w:t>ssh、telnet实现快捷管理；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拓扑图管理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系统能支持各大设备厂商的各型号设备，支持多厂商设备组成的混合网络自动发现。</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支持显示设备各个板块</w:t>
            </w:r>
            <w:r>
              <w:rPr>
                <w:sz w:val="18"/>
                <w:color w:val="000000"/>
              </w:rPr>
              <w:t>cpu、内存的使用情况，即多cpu、多内存的监控展示。中标后与我院签订合同后供货时提供</w:t>
            </w:r>
            <w:r>
              <w:rPr>
                <w:sz w:val="18"/>
                <w:color w:val="000000"/>
              </w:rPr>
              <w:t>原厂</w:t>
            </w:r>
            <w:r>
              <w:rPr>
                <w:sz w:val="18"/>
                <w:color w:val="000000"/>
              </w:rPr>
              <w:t>盖章的截图证明。</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支持拓扑添加功能，在保留原有拓扑图的基础上，搜索新的网络设备并自动添加到网络拓扑上。</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支持在拓扑图上对全网的设备查找、</w:t>
            </w:r>
            <w:r>
              <w:rPr>
                <w:sz w:val="18"/>
                <w:color w:val="000000"/>
              </w:rPr>
              <w:t>IP定位、鹰眼瞰视、分比率自适应等。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支持拓扑设备分组管理、支持对拓扑设备建立子图、缩略图、业务逻辑图。</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要求拓扑图上的设备和线路支持按照性能参数的不同区间以红、黄、绿颜色进行显示，性能负载可自定义。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支持拓扑图自动布局，网络设备可实现星型排布、圆型排布、从上到下树形排布、从左到右树形排布多种自动排布方式。</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在拓扑图上可直接显示线路错包数、丢包数、帧长度，实时流量、带宽占用比等。</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拓扑图设备间的连线除直线形式外，还可支持以折线、合并线等线型。中标后与我院签订合同后供货时提供原厂盖章的截图证明。</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链路及流量管理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★对网络链路丢包，错包，广播包的趋势变化进行实时监控，帮助判断网络潜在的故障风险。</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★支持对链路（包含光纤网络）TOPn的排序；支持查看关键链路的最近2小时、1天、1周、1个月内的趋势图。</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★支持对链路的总流量、上下行流量、上下行帧流量的实时监控；</w:t>
            </w:r>
            <w:r>
              <w:rPr>
                <w:sz w:val="18"/>
                <w:color w:val="000000"/>
              </w:rPr>
              <w:t>支持</w:t>
            </w:r>
            <w:r>
              <w:rPr>
                <w:sz w:val="18"/>
                <w:color w:val="000000"/>
              </w:rPr>
              <w:t>提供趋势分析图展现。</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★支持sflow流量采集协议，支持对ip流量的在线用户TopN、数据源分布、支持对开启对应设备网络流量进行分析展现。</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服务器管理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系统支持</w:t>
            </w:r>
            <w:r>
              <w:rPr>
                <w:sz w:val="18"/>
                <w:color w:val="000000"/>
              </w:rPr>
              <w:t>Windows、中标麒麟、欧拉等操作系统系统监控，可对服务器操作系统的运行状态和性能数据，包括服务器的CPU负载、内存利用率、应用进程、文件系统、文件体积等信息的分析与监视；</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支持动态数据流转图，可以图形化展现</w:t>
            </w:r>
            <w:r>
              <w:rPr>
                <w:sz w:val="18"/>
                <w:color w:val="000000"/>
              </w:rPr>
              <w:t>CPU负载、内存使用率、硬盘容量、应用进程、文件占用空间、网络流量等信息；支持设备多CPU分别展现；系统提供文件管理指标、进程运行指标，以及检查日志和网络连接等；系统支持监控windows服务器tcp会话信息，知道每个会话针对的对应映像；</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IP地址管理</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w:t>
            </w:r>
            <w:r>
              <w:rPr>
                <w:sz w:val="18"/>
                <w:color w:val="000000"/>
              </w:rPr>
              <w:t>IP子网的自动发现，并可按照当前网络接入情况进行自动分配；</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可对</w:t>
            </w:r>
            <w:r>
              <w:rPr>
                <w:sz w:val="18"/>
                <w:color w:val="000000"/>
              </w:rPr>
              <w:t>IP进行规划与检测，可识别正常的IP、合法不活动的IP、非法活动的IP、非法不活动的IP、可分配的IP等；可识别IP的操作系统类型如Windows、liunx，并能扫描该IP开启哪些服务或端口如FTP、SSH、https等，与我院签订合同后供货时提供原厂盖章的截图证明。</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支持网络拓扑中快速定位</w:t>
            </w:r>
            <w:r>
              <w:rPr>
                <w:sz w:val="18"/>
                <w:color w:val="000000"/>
              </w:rPr>
              <w:t>PC，在拓扑图以人物图标并以下标方式显示其使用人信息，</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10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大屏展示</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内置默认大屏：内容包含当前告警、线路流量监控、线路流量</w:t>
            </w:r>
            <w:r>
              <w:rPr>
                <w:sz w:val="18"/>
                <w:color w:val="000000"/>
              </w:rPr>
              <w:t>TOPN、设备负载监控、设备负载TOPN、Remote Ping延迟等信息。支持对默认面板添加、删除、编辑等功能。</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1011"/>
            <w:vMerge/>
            <w:tcBorders>
              <w:top w:val="none" w:color="000000" w:sz="4"/>
              <w:left w:val="none" w:color="000000" w:sz="4"/>
              <w:bottom w:val="single" w:color="000000" w:sz="4"/>
              <w:right w:val="single" w:color="000000" w:sz="4"/>
            </w:tcBorders>
          </w:tcP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支持客户化大屏的定制开发服务，能够依据客户的的业务场景与展示要求，量身定制大屏展示信息。</w:t>
            </w:r>
          </w:p>
        </w:tc>
      </w:tr>
      <w:tr>
        <w:tc>
          <w:tcPr>
            <w:tcW w:type="dxa" w:w="10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技术服务</w:t>
            </w:r>
          </w:p>
        </w:tc>
        <w:tc>
          <w:tcPr>
            <w:tcW w:type="dxa" w:w="62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提供原厂实施及一年技术支持服务。</w:t>
            </w:r>
          </w:p>
        </w:tc>
      </w:tr>
      <w:tr>
        <w:tc>
          <w:tcPr>
            <w:tcW w:type="dxa" w:w="830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网络流量监控软件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2"/>
      </w:pPr>
      <w:r>
        <w:rPr>
          <w:sz w:val="24"/>
          <w:b/>
        </w:rPr>
        <w:t>8</w:t>
      </w:r>
      <w:r>
        <w:rPr>
          <w:sz w:val="24"/>
          <w:b/>
        </w:rPr>
        <w:t>、上网行为管理设备</w:t>
      </w:r>
    </w:p>
    <w:tbl>
      <w:tblPr>
        <w:tblW w:w="0" w:type="auto"/>
        <w:tblBorders>
          <w:top w:val="none" w:color="000000" w:sz="4"/>
          <w:left w:val="none" w:color="000000" w:sz="4"/>
          <w:bottom w:val="none" w:color="000000" w:sz="4"/>
          <w:right w:val="none" w:color="000000" w:sz="4"/>
          <w:insideH w:val="none"/>
          <w:insideV w:val="none"/>
        </w:tblBorders>
      </w:tblPr>
      <w:tblGrid>
        <w:gridCol w:w="659"/>
        <w:gridCol w:w="1714"/>
        <w:gridCol w:w="5933"/>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序号</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指标分类</w:t>
            </w:r>
          </w:p>
        </w:tc>
        <w:tc>
          <w:tcPr>
            <w:tcW w:type="dxa" w:w="5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color w:val="000000"/>
              </w:rPr>
              <w:t>指标要求</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设备配置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自主可控芯片，自主可控操作系统，2U,1个串行口，2个USB接口，≥6个千兆电口，≥4个千兆光插槽，配置4个千兆多模光模块，≥4个万兆光插槽，配置4个万兆多模光模块，≥2对bypass电口，≥3个可插拨的扩展槽,双电源,3个扩展槽位,可接入带宽性能≥1.5G;设备网络吞吐量≥12G;最大并发连接数≥500W;推荐用户数≥16000人;内存≥32G；日志存储硬盘≥4T。</w:t>
            </w:r>
            <w:r>
              <w:br/>
            </w:r>
            <w:r>
              <w:rPr>
                <w:sz w:val="18"/>
                <w:color w:val="000000"/>
              </w:rPr>
              <w:t>包含三年系统版本升级、</w:t>
            </w:r>
            <w:r>
              <w:rPr>
                <w:sz w:val="18"/>
                <w:color w:val="000000"/>
              </w:rPr>
              <w:t>Uniform Resource Locator(统一资源定位系统)库及应用特征库升级许可。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部署模式</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支持路由模式，旁路模式、网桥模式、混合模式部署；切换部署模式无需重启，不影响设备正常使用。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即插即用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支持即插即用功能。不管电脑的</w:t>
            </w:r>
            <w:r>
              <w:rPr>
                <w:sz w:val="18"/>
                <w:color w:val="000000"/>
              </w:rPr>
              <w:t>IP如何配置，开启即插即用功能后，只要插上网线，即可上网。</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网络功能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支持基于应用层服务和</w:t>
            </w:r>
            <w:r>
              <w:rPr>
                <w:sz w:val="18"/>
                <w:color w:val="000000"/>
              </w:rPr>
              <w:t>SAAS的策略路由，可基于IP、国家列表、ISP自动地址表和域名来控制目的地址；</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ISP自动地址表（</w:t>
            </w:r>
            <w:r>
              <w:rPr>
                <w:sz w:val="18"/>
                <w:color w:val="000000"/>
              </w:rPr>
              <w:t>至少</w:t>
            </w:r>
            <w:r>
              <w:rPr>
                <w:sz w:val="18"/>
                <w:color w:val="000000"/>
              </w:rPr>
              <w:t>包括</w:t>
            </w:r>
            <w:r>
              <w:rPr>
                <w:sz w:val="18"/>
                <w:color w:val="000000"/>
              </w:rPr>
              <w:t>电信、移动、网通、铁通</w:t>
            </w:r>
            <w:r>
              <w:rPr>
                <w:sz w:val="18"/>
                <w:color w:val="000000"/>
              </w:rPr>
              <w:t>）的策略路由的选路方式；</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PPPoE拨号以及负载均衡；</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支持基于轮询的多链路负载均衡算法；</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支持基于链路的上行、下行、总流量自动均衡的多链路负载均衡算法，基于固定指派链路的自动均衡算法，基于最佳路径的多链路负载均衡算法；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DHCP Replay/Server；</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支持智能</w:t>
            </w:r>
            <w:r>
              <w:rPr>
                <w:sz w:val="18"/>
                <w:color w:val="000000"/>
              </w:rPr>
              <w:t>DNS,对内部服务器负载均衡，按应用服务的负载均衡多链路冗余切换；</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支持静态路由、</w:t>
            </w:r>
            <w:r>
              <w:rPr>
                <w:sz w:val="18"/>
                <w:color w:val="000000"/>
              </w:rPr>
              <w:t>gre、vlan透传、单臂路由。</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双机模式</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支持两台及设备同时做主机的部署模式；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桥模式下必须支持接口联动，配置同步；</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多网络切换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用户拥有多个网络区域访问权限时，可以实现用户在任意时刻只能访问一个网络，切换网络需要用户点击切换按钮，无需管理员干预，在不影响多网络使用的同时，实现网络逻辑隔离，加强网络访问安全。可支持自定义7个网络区域。可支持根据域名划分网络区域。</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代理功能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http代理、https透明代理、全透明代理、二级代理、DNS代理、dns缓存</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链路聚合</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支持将多个以太网物理端口捆绑成一条逻辑端口（即将多个端口捆绑成一个逻辑的端口以增加带宽，同时增加链路备份）支持基于轮循、主备、哈希、广播、</w:t>
            </w:r>
            <w:r>
              <w:rPr>
                <w:sz w:val="18"/>
                <w:color w:val="000000"/>
              </w:rPr>
              <w:t>802.3ad、发送自适应、双向自适应多种负载方式。</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vpn</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l2tp、gre vpn、pptp、ipsec。</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智能</w:t>
            </w:r>
            <w:r>
              <w:rPr>
                <w:sz w:val="18"/>
                <w:color w:val="000000"/>
              </w:rPr>
              <w:t>DNS</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对于多</w:t>
            </w:r>
            <w:r>
              <w:rPr>
                <w:sz w:val="18"/>
                <w:color w:val="000000"/>
              </w:rPr>
              <w:t>IP 的DNS解析，支持根据用户的来路而做出一些智能化的处理，然后把智能化判断后的 IP 返回给用户，而不需要用户进行选择。 DNS 均衡算法包括：按权重、按上行流量、按下行流量、按总流量。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支持链路健康检查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DNS链路健康检查算法；支持ICMP链路健康检查算法；支持TCP链路健康检查算法；支持自定义的链路健康检查算法；</w:t>
            </w:r>
            <w:r>
              <w:rPr>
                <w:sz w:val="18"/>
                <w:b/>
                <w:color w:val="000000"/>
              </w:rPr>
              <w:t>（每项提供截图）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设备登录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必须支持</w:t>
            </w:r>
            <w:r>
              <w:rPr>
                <w:sz w:val="18"/>
                <w:color w:val="000000"/>
              </w:rPr>
              <w:t>ssl加密方式登录设备，支持ssh管理。</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操作界面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系统能够支持简体中文、繁体中文</w:t>
            </w:r>
            <w:r>
              <w:rPr>
                <w:sz w:val="18"/>
                <w:color w:val="000000"/>
              </w:rPr>
              <w:t>/英文操作界面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网关策略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w:t>
            </w:r>
            <w:r>
              <w:rPr>
                <w:sz w:val="18"/>
                <w:color w:val="000000"/>
              </w:rPr>
              <w:t>ip的网管策略，防止恶意ip探测攻击设备，增加网关的安全性。</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管理认证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支持管理员通过</w:t>
            </w:r>
            <w:r>
              <w:rPr>
                <w:sz w:val="18"/>
                <w:color w:val="000000"/>
              </w:rPr>
              <w:t>Radius认证方式登录设备。</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排障工具</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提供图形化排障及抓包工具，便于管理员排查策略错误等故障；</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调试信息下载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一键下载设备健康信息，当设备发生故障时如丢包、宕机、异常重启问题时可以通过设备健康信息获取有效数据，能够快速定位问题。</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分级管理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不同用户组的管理权限支持分配给不同管理员</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集中管理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行为管理支持分布式部署，通过部署集中管理平台，加入集中管理设备之后，可以实现策略下发、设备状态监控、设备日志、用户日志上传。</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特征库自动升级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必须支持</w:t>
            </w:r>
            <w:r>
              <w:rPr>
                <w:sz w:val="18"/>
                <w:color w:val="000000"/>
              </w:rPr>
              <w:t>Uniform Resource Locator(统一资源定位系统)分类库、应用识别库基于域名方式自动在线升级。</w:t>
            </w:r>
            <w:r>
              <w:rPr>
                <w:sz w:val="18"/>
                <w:b/>
                <w:color w:val="000000"/>
              </w:rPr>
              <w:t>（提供截图）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设备资源</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能够提供一小时内</w:t>
            </w:r>
            <w:r>
              <w:rPr>
                <w:sz w:val="18"/>
                <w:color w:val="000000"/>
              </w:rPr>
              <w:t>cpu使用率、内存使用率、活跃会话数、在线认证用户数以及最新的磁盘占用情况。</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物理接口</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★能够实时展现每个接口接收发送流量、字节数、包个数以及错误、丢弃、帧冲突个数。</w:t>
            </w:r>
            <w:r>
              <w:rPr>
                <w:sz w:val="18"/>
                <w:b/>
                <w:color w:val="000000"/>
              </w:rPr>
              <w:t>（提供截图</w:t>
            </w:r>
            <w:r>
              <w:rPr>
                <w:sz w:val="18"/>
                <w:b/>
                <w:color w:val="000000"/>
              </w:rPr>
              <w:t>或其他能证明满足该项要求的证明材料</w:t>
            </w:r>
            <w:r>
              <w:rPr>
                <w:sz w:val="18"/>
                <w:b/>
                <w:color w:val="000000"/>
              </w:rPr>
              <w:t>）</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服务监控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★能够提供服务趋势图、服务组趋势图、活跃服务以及所有服务趋势。并且支持快速定位使用对应服务的用户。</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用户监控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★能够提供流量使用排名，提供前50名用户流量使用情况，并支持趋势图、黑名单、显示活跃服务操作。通过黑名单可以直接强制某个流量异常用户下线或者快速修改带宽。</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在线用户</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能够直接显示已认证且在组织结构中、已认证但不在组织结构中、以及未通过的认证的用户状态。支持以用户名、所属组、</w:t>
            </w:r>
            <w:r>
              <w:rPr>
                <w:sz w:val="18"/>
                <w:color w:val="000000"/>
              </w:rPr>
              <w:t>ip、mac、用户类型、绑定检查、时间等参数查询用户。</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安全策略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支持基于策略方向、源地址、目的地址、服务、生效时间的安全策略。</w:t>
            </w:r>
            <w:r>
              <w:rPr>
                <w:sz w:val="18"/>
                <w:b/>
                <w:color w:val="000000"/>
              </w:rPr>
              <w:t>（必须提供产品界面截图）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Nat规则</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支持内网代理、一对一地址转换、端口映射、服务器池、</w:t>
            </w:r>
            <w:r>
              <w:rPr>
                <w:sz w:val="18"/>
                <w:color w:val="000000"/>
              </w:rPr>
              <w:t>Nat66、Nat64。</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移动终端管理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支持移动终端发现后拒绝移动终端接入并支持启用事件告警。支持移动终端列表添加信任列表。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移动终端接入类型管控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★可对接入的移动终端区分出IOS终端、安卓类终端，并可以根据所区分出的终端类型设置告警和拒绝动作。</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w:t>
            </w:r>
            <w:r>
              <w:rPr>
                <w:sz w:val="18"/>
                <w:color w:val="000000"/>
              </w:rPr>
              <w:t>ARP欺骗</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ARP欺骗防护，支持arp保护对象以及arp广播间隔设置。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DOS/DDOS防护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DOS/DDOS防护功能，支持ARP洪水攻击防护，基于数据包攻击、异常报文侦测和扫描防护等功能。</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对外攻击防护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支持基于源地址（允许任意地址、允许指定</w:t>
            </w:r>
            <w:r>
              <w:rPr>
                <w:sz w:val="18"/>
                <w:color w:val="000000"/>
              </w:rPr>
              <w:t>IP其他阻断此两种源地址）过滤的方式，通过部署环境的不同（三层或者二层），设置单日的端口TCP最大连接数、最大攻击包次数、封锁攻击时间等。另外支持设置排除地址。</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加速老化</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w:t>
            </w:r>
            <w:r>
              <w:rPr>
                <w:sz w:val="18"/>
                <w:color w:val="000000"/>
              </w:rPr>
              <w:t>TCP、UDP、ICMP、TCP SYN超时时间，无回应UDP超时时间设置，并能支持按照新建会话与总会话比例设置老化开始或者结束。</w:t>
            </w:r>
            <w:r>
              <w:rPr>
                <w:sz w:val="18"/>
                <w:b/>
                <w:color w:val="000000"/>
              </w:rPr>
              <w:t>（必须提供产品界面截图）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1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color w:val="000000"/>
              </w:rPr>
              <w:t>Ipv6网络配置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★支持IPv4和IPv6在一个系统版本内，同时支持V4和V6网络；支持接口配置ipv6地址、支持ipv6地址簿、支持ipv6策略路由、NAT64、NAT66、DNS64相关配置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Ipv6审计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ipv6流量审计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Ipv6控制</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ipv6环境下认证、流量控制、行为控制和防火墙策略</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Ap上线地址分配</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dhcp option43/ option138 可以给ap分配地址保证ap上线</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AP MAC地址获取</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AP MAC地址获取，支持读取用户真实MAC</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无线用户</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支持无线用户认证、行为控制、流量控制、用户日志收集</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AP管控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可实现与同品牌</w:t>
            </w:r>
            <w:r>
              <w:rPr>
                <w:sz w:val="18"/>
                <w:color w:val="000000"/>
              </w:rPr>
              <w:t>AP设备实现管理、配置下发，状态监控等。</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组织结构</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支持按照公司架构创建用户组、用户、支持多层组和用户，分组能继承父组策略，用户能继承组的策略。</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认证用户需支持中文用户名</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对于未创建的用户，可根据其</w:t>
            </w:r>
            <w:r>
              <w:rPr>
                <w:sz w:val="18"/>
                <w:color w:val="000000"/>
              </w:rPr>
              <w:t>IP 地址、MAC地址、主机名或者VLAN ID等作为新用户名自动创建帐户，并可同时绑定 IP、绑定 MAC、绑定 IP+MAC、绑定VLAN，并自动分配到指定用户组，享有指定网络权限。</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自动创建用户和绑定</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对于创建好的用户也支持绑定</w:t>
            </w:r>
            <w:r>
              <w:rPr>
                <w:sz w:val="18"/>
                <w:color w:val="000000"/>
              </w:rPr>
              <w:t>IP、绑定 MAC、绑定 IP+MAC、VLAN绑定。</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支持用户认证时强制绑定手机</w:t>
            </w:r>
            <w:r>
              <w:rPr>
                <w:sz w:val="18"/>
                <w:color w:val="000000"/>
              </w:rPr>
              <w:t>/邮箱。</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用户有效期设置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支持临时账户、绑定账户、认证账户等多种用户身份的有效期设置，支持过期冻结、支持无流量自动下线。</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离线用户到期自动删除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支持自动删除离线时间超过指定时间的用户，可根据分钟、小时、天来设置指定时间的单位与范围。</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用户密码策略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支持认证用户首次登陆修改密码，支持自定义密码复杂度（包括长度、英文字母、数字、特殊字符的多种组合方式），另外支持密码有效期。</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认证界面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用户成功之后可跳转到认证成功界面、可跳转到最近请求界面、或可跳转到自定义界面。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认证冲突处理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支持账户重复登入，当超出最大登入允许数后，支持本次认证失败、注销已认证的某个登录</w:t>
            </w:r>
            <w:r>
              <w:rPr>
                <w:sz w:val="18"/>
                <w:color w:val="000000"/>
              </w:rPr>
              <w:t>, 本次认证成功或使用全局、父组配置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NetbIOS 协议扫描</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可通过</w:t>
            </w:r>
            <w:r>
              <w:rPr>
                <w:sz w:val="18"/>
                <w:color w:val="000000"/>
              </w:rPr>
              <w:t>NetbIOS 协议扫描内网的主机信息，扫描结果将列出每个主机的 IP 地址、MAC地址和主机名等，然后可以将其加入某个用户组中，逐步完善组织结构的管理。</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跨三层</w:t>
            </w:r>
            <w:r>
              <w:rPr>
                <w:sz w:val="18"/>
                <w:color w:val="000000"/>
              </w:rPr>
              <w:t>mac识别</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w:t>
            </w:r>
            <w:r>
              <w:rPr>
                <w:sz w:val="18"/>
                <w:color w:val="000000"/>
              </w:rPr>
              <w:t>snmp服务读取下层三层设备的arp表象获取客户真实的mac地址。</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基于</w:t>
            </w:r>
            <w:r>
              <w:rPr>
                <w:sz w:val="18"/>
                <w:color w:val="000000"/>
              </w:rPr>
              <w:t>MAC免认证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支持基于识别</w:t>
            </w:r>
            <w:r>
              <w:rPr>
                <w:sz w:val="18"/>
                <w:color w:val="000000"/>
              </w:rPr>
              <w:t>mac地址来实现免认证，可全局或者局部用户配置免认证。支持指定免认证有效期，或者在有限期内登录更新有效期两种模式。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临时账号设置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支持临时账号自动申请功能，方便外来的临时用户使用。支持自动审核和管理员手动审核的核定方法将临时帐户加入到组织结构中。支持网页发送和邮件方式通知临时用户账号和密码</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导入用户</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支持表格手工导入用户、</w:t>
            </w:r>
            <w:r>
              <w:rPr>
                <w:sz w:val="18"/>
                <w:color w:val="000000"/>
              </w:rPr>
              <w:t>LDAP、ad个等自动导入用户</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支持以</w:t>
            </w:r>
            <w:r>
              <w:rPr>
                <w:sz w:val="18"/>
                <w:color w:val="000000"/>
              </w:rPr>
              <w:t>CSV格式文件导入帐户/分组/IP/MAC/描述/密码等信息；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设备地址隐藏</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支持隐藏设备源地址，替换成可自定义的伪装地址。</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本地认证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支持本地设置用户名、密码的</w:t>
            </w:r>
            <w:r>
              <w:rPr>
                <w:sz w:val="18"/>
                <w:color w:val="000000"/>
              </w:rPr>
              <w:t>portal认证；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第三方服务器认证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Ad域、LDAP、Radius、POP3、Proxy等第三方认证服务器；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单点登录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AD、POP3、Proxy、PPPOE、 H3C IMC/CAMS、锐捷 SAM、城市热点、web认证、天融信CSP和ESP平台等系统进行认证单点登录，简化用户操作；</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Dkey双因子认证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Dkey工具实现双因子认证，可实现免认证（只插Dkey，不需认证），和特权用户（不审计、不管控）。</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PORTAL服务器</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支持第三方</w:t>
            </w:r>
            <w:r>
              <w:rPr>
                <w:sz w:val="18"/>
                <w:color w:val="000000"/>
              </w:rPr>
              <w:t>portal服务器认证对接。</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Oauth认证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支持第三方</w:t>
            </w:r>
            <w:r>
              <w:rPr>
                <w:sz w:val="18"/>
                <w:color w:val="000000"/>
              </w:rPr>
              <w:t>Oauth认证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CAS认证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CAS认证方式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802.1x认证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windows终端安装客户端，实现本地组织结构的802.1x认证。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短信认证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支持短信认证方式，用户输入手机号作为用户名，通过短信猫或短信平台发送验证码；该认证页面可自定义。并且支持基于存储数据和</w:t>
            </w:r>
            <w:r>
              <w:rPr>
                <w:sz w:val="18"/>
                <w:color w:val="000000"/>
              </w:rPr>
              <w:t>mac的免认证方式。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微信认证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可通过微信官方提供的小程序认证方式获取微信提供的用户身份标识完成上网认证。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企业微信认证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支持于企业微信对接，实现认证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二维码认证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临时账号支持二维码扫描接入认证。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刷卡认证</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支持通过磁卡识别用户身份，并对用户做控制。</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静态</w:t>
            </w:r>
            <w:r>
              <w:rPr>
                <w:sz w:val="18"/>
                <w:color w:val="000000"/>
              </w:rPr>
              <w:t>Uniform Resource Locator(统一资源定位系统)库</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包含</w:t>
            </w:r>
            <w:r>
              <w:rPr>
                <w:sz w:val="18"/>
                <w:color w:val="000000"/>
              </w:rPr>
              <w:t>64种预分类的Uniform Resource Locator(统一资源定位系统)特征库</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Uniform Resource Locator(统一资源定位系统)库自定义</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可以通过自定义方式用户自主创建</w:t>
            </w:r>
            <w:r>
              <w:rPr>
                <w:sz w:val="18"/>
                <w:color w:val="000000"/>
              </w:rPr>
              <w:t>Uniform Resource Locator(统一资源定位系统)类和具体Uniform Resource Locator(统一资源定位系统)</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应用特征库</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★支持10000条以上的应用特征数量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应用特征自定义</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★支持自定义ip和端口的普通服务，支持自定义ip、协议类型、字符串、端口组合的服务特征</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论坛</w:t>
            </w:r>
            <w:r>
              <w:rPr>
                <w:sz w:val="18"/>
                <w:color w:val="000000"/>
              </w:rPr>
              <w:t>/网评特征自定义</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可针对特殊非主流论坛或网页评论自定义特征，可对非内置特征的论坛和网页评论审计外发文字内容并在审计内容中对应自定义特征名称；可定义内容应包括：</w:t>
            </w:r>
            <w:r>
              <w:rPr>
                <w:sz w:val="18"/>
                <w:color w:val="000000"/>
              </w:rPr>
              <w:t>Uniform Resource Locator(统一资源定位系统)、HOST、编码类型、是否MIME型、主题关键字、内容关键字</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应用标签</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支持应用标签分类，包含安全风险、外发文件泄密风险、高带宽消耗、降低工作效率、论坛和微博发帖、发送电子邮件，支持用户自定义应用标签、自定义标签描述，帮助用户更好的了解标签的内容</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协议剥离</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默认支持</w:t>
            </w:r>
            <w:r>
              <w:rPr>
                <w:sz w:val="18"/>
                <w:color w:val="000000"/>
              </w:rPr>
              <w:t>L2TP协议剥离、GRE协议剥离、LWAPP协议剥离、CAPWAP协议剥离，并支持自定义协议剥离。</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加密网站识别和控制</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https网站识别，支持加密网站搜索，支持ssl论坛加密发帖内容识别，支持基于关键字的控制。</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支持授权证书的推送和下载后双击可自动执行安装；</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支持基于授权签名的方式实现</w:t>
            </w:r>
            <w:r>
              <w:rPr>
                <w:sz w:val="18"/>
                <w:color w:val="000000"/>
              </w:rPr>
              <w:t>https审计免除告警的行为。</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公告页面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支持周期性将</w:t>
            </w:r>
            <w:r>
              <w:rPr>
                <w:sz w:val="18"/>
                <w:color w:val="000000"/>
              </w:rPr>
              <w:t>http流量重定向到指定公告页面，能够为上网用户在浏览器进行网站浏览时周期性的对其展示公告页面；公告页面可指定Uniform Resource Locator(统一资源定位系统)使用外部公告页面，重定向公告页面的周期可自定义重定向间隔时间，或是自定义访问次数到达指定次数后进行重定向，以及在指定时间内访问网站到达指定次数后进行重定向到公告页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邮件过滤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支持基于支持邮件的</w:t>
            </w:r>
            <w:r>
              <w:rPr>
                <w:sz w:val="18"/>
                <w:color w:val="000000"/>
              </w:rPr>
              <w:t>“发件人/主题关键字/内容关键字/附件类型”过滤（POP3/SMTP/Web Mail），支持ssl加密邮件内容和标题的识别和过滤。</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告警</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设备内存、</w:t>
            </w:r>
            <w:r>
              <w:rPr>
                <w:sz w:val="18"/>
                <w:color w:val="000000"/>
              </w:rPr>
              <w:t>cpu、会话、接口速率支持告警设置；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支持时间告警，支持黑名单告警；</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★支持违规网站、违规搜索、违规帖子、违规上传、违规邮件、还有潜在威胁的告警行为；</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★告警策略要支持syslog、短信、邮件、日志记录，以及上述任意的方式组合。</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1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color w:val="000000"/>
              </w:rPr>
              <w:t>白名单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★支持Uniform Resource Locator(统一资源定位系统)白名单，添加到白名单的Uniform Resource Locator(统一资源定位系统)不受策略控制和审计。支持ip、用户/用户组白名单，添加到白名单的ip不受策略控制和审计。白名单策略可实现基于时间段的控制。支持设置完全放通（不审计，不控制），或者审计但是不统计和控制流量。</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定义</w:t>
            </w:r>
            <w:r>
              <w:rPr>
                <w:sz w:val="18"/>
                <w:color w:val="000000"/>
              </w:rPr>
              <w:t>Uniform Resource Locator(统一资源定位系统)</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网关支持管理者自定义新的</w:t>
            </w:r>
            <w:r>
              <w:rPr>
                <w:sz w:val="18"/>
                <w:color w:val="000000"/>
              </w:rPr>
              <w:t>Uniform Resource Locator(统一资源定位系统)地址和Uniform Resource Locator(统一资源定位系统)分类；</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关键字过滤</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关键字组支持通配符配置，支持论坛、微博发帖关键字过滤，支持搜索引擎关键字过滤，支持邮件内容、正文标题、附件内容的关键字过滤，支持包含制定关键字的页面过滤。</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终端提醒策略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支持基于用户设置终端提醒策略，能够实现公告页面按照策略推送。</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禁止使用代理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1.不允许使用外部HTTP代理；2.不允许使用外部Sock4/5代理；3.不允许在HTTP,SSL一些的标准端口上使用其他协议；（比如在80端口上传输非HTTP协议数据，在443端口上传输非HTTPS协议数据等）</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上网用户翻墙行为管控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支持通过识别翻墙软件流量特征，对翻墙软件进行审计和管控，从而实现审计和管控上网用户的翻墙行为，内置翻墙软件特征支持</w:t>
            </w:r>
            <w:r>
              <w:rPr>
                <w:sz w:val="18"/>
                <w:color w:val="000000"/>
              </w:rPr>
              <w:t>30种以上。</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网页附件管理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支持百度文库、百度云盘、华为网盘等常见网盘的文件过滤</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线路带宽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支持设备在各个工作模式的线路带宽设置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基于应用的流控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结合应用协议识别功能，可以根据用户的应用协议类别进行流量管理</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基于用户的流控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支持基于源</w:t>
            </w:r>
            <w:r>
              <w:rPr>
                <w:sz w:val="18"/>
                <w:color w:val="000000"/>
              </w:rPr>
              <w:t>ip、地址薄、用户及用户组的流控策略。支持基于每个人的限速以及整体限速。</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基于连接数限制</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支持每个用户的源，服务等，进行最大上下行会话数控制，避免网络滥用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服务限速</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流控行为可以基于应用特征库选择，也可以基于</w:t>
            </w:r>
            <w:r>
              <w:rPr>
                <w:sz w:val="18"/>
                <w:color w:val="000000"/>
              </w:rPr>
              <w:t>Uniform Resource Locator(统一资源定位系统)、文件类型控制。</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带宽保障</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支持基于用户、协议、应用、</w:t>
            </w:r>
            <w:r>
              <w:rPr>
                <w:sz w:val="18"/>
                <w:color w:val="000000"/>
              </w:rPr>
              <w:t>Uniform Resource Locator(统一资源定位系统)、文件类型的带宽保障行为，可以通过队列实现重要业务优先转发。</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动态流控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支持在设置流量策略后，根据整体线路或者设置某流量通道内的空闲值，根据通道的空闲情况，自动启用和停止使用流量控制策略，以提升带宽的高使用率；空闲值可自定义。</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智能带宽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可根据预设总带宽，实时智能识别策略匹配上线用户，并依照预设总带宽将流量对匹配用户进行智能平均分配。</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黑名单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根据每用户的</w:t>
            </w:r>
            <w:r>
              <w:rPr>
                <w:sz w:val="18"/>
                <w:color w:val="000000"/>
              </w:rPr>
              <w:t>“每日/每周/每月”使用的流量(上行/下行/双向)总和超过预设阀值，则自动进入黑名单。根据每用户在连续一段时间的“上行速率/下行速率”超过预设阀值，则自动进入黑名单。根据每用户在连续一段时间的并发会话数(上行/下行)超过预设阀值，则自动进入黑名单。对进入黑名单的用户可采取强制下线或修改“上行带宽/下行带宽/上行会话数/下行会话数”的方式对用户进行惩罚。惩罚时间到期，可正常上网。对连续进入黑名单多次（如5次，可配置）的用户，可对用户进行加倍惩罚，惩罚时间可以原来的N倍。</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应用限额</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支持基于每天的时长、流量、服务、每天登陆次数和单词在线时长来显示用户使用网络，达到限额限制后会提示相关用户在应用限额限制内。</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生效时间</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支持基于时间计划的流控策略。</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防共享</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支持防网络共享行为，针对私接路由器和非法无线热点行为进行识别和管控；检测方式包括但不限于</w:t>
            </w:r>
            <w:r>
              <w:rPr>
                <w:sz w:val="18"/>
                <w:color w:val="000000"/>
              </w:rPr>
              <w:t>UA识别、共享账号识别、虚拟身份识别、路由器识别、应用特征检测等；支持设置共享行为匹配条件，即可设置所识别到的总终端数数量、移动终端数量、pc数量，以及应用检测特征数在指定数值后再将其定义为共享行为。识别到的共享行为可对共享用户进行提示、阻断、限制带宽和会话，并可设置惩罚时长。</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移动终端管理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支持无线环境下，移动终端接入识别，对未添加信任的黑名单支持拒绝加入网络。发现移动终端后，可支持拒绝该移动终端，或者告警。</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操作系统准入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支持检测</w:t>
            </w:r>
            <w:r>
              <w:rPr>
                <w:sz w:val="18"/>
                <w:color w:val="000000"/>
              </w:rPr>
              <w:t>Windows操作系统，细化到系统补丁例如sp1，如符合准入要求，可放行终端入网，否则禁止。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补丁规则</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支持针</w:t>
            </w:r>
            <w:r>
              <w:rPr>
                <w:sz w:val="18"/>
                <w:color w:val="000000"/>
              </w:rPr>
              <w:t>Windows PC端的补丁进行检测，对于违规操作的用户可选择禁止上网，或者仅记录。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进程准入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支持检测</w:t>
            </w:r>
            <w:r>
              <w:rPr>
                <w:sz w:val="18"/>
                <w:color w:val="000000"/>
              </w:rPr>
              <w:t>Windows PC是否运行，或者没有运行配置要求的进程，如符合准入要求，可放行终端入网，否则禁止。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文件准入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支持检测</w:t>
            </w:r>
            <w:r>
              <w:rPr>
                <w:sz w:val="18"/>
                <w:color w:val="000000"/>
              </w:rPr>
              <w:t>Windows PC指定目录是否存在指定文件，支持判断文件大小和更新日期，如符合准入要求，可放行终端入网，否则禁止。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注册表准入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支持检测</w:t>
            </w:r>
            <w:r>
              <w:rPr>
                <w:sz w:val="18"/>
                <w:color w:val="000000"/>
              </w:rPr>
              <w:t>Windows PC注册表项、名称、数据，通过注册表状态来判断是否可以入网，如符合准入要求，可放行终端入网，否则禁止。</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17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color w:val="000000"/>
              </w:rPr>
              <w:t>其他准入</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支持判断登录操作系统的管理员是否是</w:t>
            </w:r>
            <w:r>
              <w:rPr>
                <w:sz w:val="18"/>
                <w:color w:val="000000"/>
              </w:rPr>
              <w:t>Administrator的身份，如果不是不允许入网；</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1714"/>
            <w:vMerge/>
            <w:tcBorders>
              <w:top w:val="none" w:color="000000" w:sz="4"/>
              <w:left w:val="none" w:color="000000" w:sz="4"/>
              <w:bottom w:val="non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支持在准入程序中校验登录计算机是否符合该用户的</w:t>
            </w:r>
            <w:r>
              <w:rPr>
                <w:sz w:val="18"/>
                <w:color w:val="000000"/>
              </w:rPr>
              <w:t>IP/MAC 登录条件（包括IP/MAC绑定、IP/MAC限制），如果正确则允许入网。</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计划任务规则</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可以针对</w:t>
            </w:r>
            <w:r>
              <w:rPr>
                <w:sz w:val="18"/>
                <w:color w:val="000000"/>
              </w:rPr>
              <w:t>Windows PC端，设置任务计划，在指定的时间执行指定的任务。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杀软规则</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支持对</w:t>
            </w:r>
            <w:r>
              <w:rPr>
                <w:sz w:val="18"/>
                <w:color w:val="000000"/>
              </w:rPr>
              <w:t>Windows PC端的杀毒软件的安装情况，以及版本进行检测，并设定规则，对于违规操作的用户可选择禁止上网，或者仅记录。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外联检测</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对于</w:t>
            </w:r>
            <w:r>
              <w:rPr>
                <w:sz w:val="18"/>
                <w:color w:val="000000"/>
              </w:rPr>
              <w:t>Windows PC端的外联行为进行检测，包括拨号行为，使用双网卡，无线网卡，连接非法WIFI，4G网卡，使用非法网关，连接外网，使用代理，以及自定义非法外联，等行为进行检测，对违规的用户可禁止上网。</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外联控制</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支持控制</w:t>
            </w:r>
            <w:r>
              <w:rPr>
                <w:sz w:val="18"/>
                <w:color w:val="000000"/>
              </w:rPr>
              <w:t>Windows PC端访问指定的IP地址范围，或者不允许访问指定IP地址范围</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外设管理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支持设置移动存储，网络设备，蓝牙设备，摄像头，打印机，等外设设备的允许或者阻止，并可以设置外设白名单。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广告弹窗拦截</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支持阻拦终端用户的广告弹窗，至少支持</w:t>
            </w:r>
            <w:r>
              <w:rPr>
                <w:sz w:val="18"/>
                <w:color w:val="000000"/>
              </w:rPr>
              <w:t>WinRAR、快压、360安全卫士、360画报、金山毒霸、热点资讯、今日热点</w:t>
            </w:r>
            <w:r>
              <w:rPr>
                <w:sz w:val="18"/>
                <w:color w:val="000000"/>
              </w:rPr>
              <w:t>广告弹窗。</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独立报表中心</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★为了日志安全性，设备必须支持独立硬盘存放审计日志，不能与审计系统共用硬盘。</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内置报表中心</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★设备必须支持内置报表中心，默认自带数据库无需再安装数据库。</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日志分级</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通过配置管理员分组，实现指定分组的管理员只能访问指定用户组上网行为日志。</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DKEY管理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日志中心必须支持</w:t>
            </w:r>
            <w:r>
              <w:rPr>
                <w:sz w:val="18"/>
                <w:color w:val="000000"/>
              </w:rPr>
              <w:t>usb-key接入认证，当日志查看员同时拥有key和用户名密码时才能查看审计日志从而实现日志安全。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日志备份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支持通过集中管理平台或者</w:t>
            </w:r>
            <w:r>
              <w:rPr>
                <w:sz w:val="18"/>
                <w:color w:val="000000"/>
              </w:rPr>
              <w:t>ftp方式备份日志。</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虚拟身份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支持记录</w:t>
            </w:r>
            <w:r>
              <w:rPr>
                <w:sz w:val="18"/>
                <w:color w:val="000000"/>
              </w:rPr>
              <w:t>qq、微信等常见即时通讯账号登录信息，支持记录新浪新闻、搜狐新闻等常见新闻类登录信息。支持短信认证等常见认证身份信息记录。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1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邮件审计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支持收件人、发件人账号审计（</w:t>
            </w:r>
            <w:r>
              <w:rPr>
                <w:sz w:val="18"/>
                <w:color w:val="000000"/>
              </w:rPr>
              <w:t>POP3/SMTP/Web Mail）。</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支持邮件内容审计（</w:t>
            </w:r>
            <w:r>
              <w:rPr>
                <w:sz w:val="18"/>
                <w:color w:val="000000"/>
              </w:rPr>
              <w:t>POP3/SMTP/Web Mail）。</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支持邮件附件审计（</w:t>
            </w:r>
            <w:r>
              <w:rPr>
                <w:sz w:val="18"/>
                <w:color w:val="000000"/>
              </w:rPr>
              <w:t>POP3/SMTP/Web Mail）。</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1714"/>
            <w:vMerge/>
            <w:tcBorders>
              <w:top w:val="none" w:color="000000" w:sz="4"/>
              <w:left w:val="none" w:color="000000" w:sz="4"/>
              <w:bottom w:val="single" w:color="000000" w:sz="4"/>
              <w:right w:val="single" w:color="000000" w:sz="4"/>
            </w:tcBorders>
          </w:tcP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支持加密邮箱内容审计。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即时通讯</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Windows pc版qq聊天内容审计、支持Windows pc 微信聊天内容审计、支持QQ、微信等常用IM登录、聊天、文件传输审计。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Uniform Resource Locator(统一资源定位系统)审计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能基于组织结构记录用户访问的具体</w:t>
            </w:r>
            <w:r>
              <w:rPr>
                <w:sz w:val="18"/>
                <w:color w:val="000000"/>
              </w:rPr>
              <w:t>Uniform Resource Locator(统一资源定位系统)、标题、网站类型、访问时间、动作等信息，通过详细信息可以查看用户访问的源和目的地址，以及访问的端口。</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网页搜索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能基于组织结构记录用户搜索的关键字、搜索的类型时间、动作等信息，通过详细信息可以查看用户访问的源和目的地址，以及访问的端口</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论坛微博</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能记录用户发帖行为，可以记录用户访问的具体</w:t>
            </w:r>
            <w:r>
              <w:rPr>
                <w:sz w:val="18"/>
                <w:color w:val="000000"/>
              </w:rPr>
              <w:t>Uniform Resource Locator(统一资源定位系统)、访问时间、发帖内容、用户明、对应分组、以及是否被阻断</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Telnet</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支持记录用户</w:t>
            </w:r>
            <w:r>
              <w:rPr>
                <w:sz w:val="18"/>
                <w:color w:val="000000"/>
              </w:rPr>
              <w:t>telnet访问行为，记录访问的人员、命令信息。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http上传下载</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http上传和下载记录，包括上传人员地址、mac、用户名信息，上传文件还原，下载文件名称记录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FTP</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w:t>
            </w:r>
            <w:r>
              <w:rPr>
                <w:sz w:val="18"/>
                <w:color w:val="000000"/>
              </w:rPr>
              <w:t>FTP的上传和下载记录，包括用户名和文件名，以及上传文件还原，下载的文件名称记录</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SAMBA审计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支持记录</w:t>
            </w:r>
            <w:r>
              <w:rPr>
                <w:sz w:val="18"/>
                <w:color w:val="000000"/>
              </w:rPr>
              <w:t>SAMBA协议，包括读取，写入文件，登录，文件名，账号等行为</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数据库审计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支持记录数据库的执行</w:t>
            </w:r>
            <w:r>
              <w:rPr>
                <w:sz w:val="18"/>
                <w:color w:val="000000"/>
              </w:rPr>
              <w:t>SQL语句等信息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阻断记录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★支持防火墙模块阻断、流量模块阻断、行为管控模块阻断记录</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告警日志</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支持非法网站、违规帖子、</w:t>
            </w:r>
            <w:r>
              <w:rPr>
                <w:sz w:val="18"/>
                <w:color w:val="000000"/>
              </w:rPr>
              <w:t>ftp上传、网页上传、违规邮件、违规im内容、以及匹配潜在威胁的记录。</w:t>
            </w:r>
            <w:r>
              <w:rPr>
                <w:sz w:val="18"/>
                <w:b/>
                <w:color w:val="000000"/>
              </w:rPr>
              <w:t>（要求提供截图）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会话日志</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★支持所有访问的会话日志记录，包括: 源 IP、目的 IP、协议类型、七层应用名称、源端口、目的端口、是否进行 NAT 转换(可显示转换后的 IP 和端口)、会话产生的时间和会话持续时间。</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个人统计分析</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★基于个人的所有行为监控报表，包括：网页标题记录、发贴记录、网页评论记录、在搜索引擎上的搜索记录、网页文件上传记录、Uniform Resource Locator(统一资源定位系统)访问记录、即时通讯的登录信息（及聊天内容及文件传输记录）、邮件记录（详细内容、及附件）、FTP登录信息（及上传记录及下载记录）；</w:t>
            </w:r>
            <w:r>
              <w:rPr>
                <w:sz w:val="18"/>
                <w:b/>
                <w:color w:val="000000"/>
              </w:rPr>
              <w:t>（要求提供截图或其他能证明满足该项要求的证明材料）</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171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color w:val="000000"/>
              </w:rPr>
              <w:t>接入日志记录</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记录用户认证日志，包括用户名、IP/MAC、时间信息；详细的黑名单、防共享和终端发现日志，查看匹配策略记录和终端信息；支持记录合规准入的详细信息，包括用户名、IP/MAC、时间、策略名称、规则类型、违规类型和详情信息。</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流量统计嵌套查询</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时间段/用户/用户组/终端类型/位置维度的流量排行报表，报表包含：用户排名、用户组排名、服务排名、服务类型排名、网站排名、网站类型排名、终端排名、位置排名；每一项排名还可分别依据流量统计、会话统计、活跃会话信息进行内容排名；各排名报表中可嵌套展示关联内容，通过嵌套按钮的点击弹出相关内容信息窗口，嵌套内容为所被嵌套排名的各类相关联信息，如：在用户排名下的嵌套内容有针对每项单个用户的趋势图、服务访问排名表、服务类型访问排名表、Uniform Resource Locator(统一资源定位系统)排名表、Uniform Resource Locator(统一资源定位系统)类型排名表，以及服务排名下有准对单项服务的趋势图、用户访问排名表、用户组访问排名表。</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报表管理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★支持基于统计分类、统计分类、用户及其用户组的自定义报表，通过邮件方式给部分人员发送日报、周报、月报、年报。</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统计分析</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★支持cpu、内存、活跃会话、在线用户的统计以及趋势图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用户统计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★支持基于流量、会话、用户及其用户组统计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服务统计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★支持基于服务、服务类型的统计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Uniform Resource Locator（统一资源定位系统）统计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★支持基于Uniform Resource Locator（统一资源定位系统）类型的统计，访问量统计，网页文件访问统计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线路统计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★支持基于出口情况下，线路统计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上网时长统计</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★支持基于用户的上网时长统计。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160</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Syslog</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系统能够支持多个</w:t>
            </w:r>
            <w:r>
              <w:rPr>
                <w:sz w:val="18"/>
                <w:color w:val="000000"/>
              </w:rPr>
              <w:t>Syslog</w:t>
            </w:r>
            <w:r>
              <w:rPr>
                <w:sz w:val="18"/>
                <w:color w:val="000000"/>
              </w:rPr>
              <w:t>第三方日志服务器系统。</w:t>
            </w:r>
            <w:r>
              <w:rPr>
                <w:sz w:val="18"/>
                <w:b/>
                <w:color w:val="000000"/>
              </w:rPr>
              <w:t>（需要提供截图）</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161</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大数据对接配置</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支持与采购方现有天融信态势感知系统对接，发送用户行为分析等数据。</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162</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集中管理</w:t>
            </w:r>
          </w:p>
        </w:tc>
        <w:tc>
          <w:tcPr>
            <w:tcW w:type="dxa" w:w="5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color w:val="000000"/>
              </w:rPr>
              <w:t>支持将用户行为日志上传到集中管理平台</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color w:val="000000"/>
              </w:rPr>
              <w:t>注：供应商在投标</w:t>
            </w:r>
            <w:r>
              <w:rPr>
                <w:sz w:val="18"/>
                <w:b/>
                <w:color w:val="000000"/>
              </w:rPr>
              <w:t>/响应环节需出具所提供的上网行为管理设备是否完全满足本表格★条款要求的《承诺函》（可参照“投标文件格式与要求”中《承诺函》格式），承诺完全满足，即视为相关产品符合要求。供应商应根据实际情况做承诺。（要求提供相关证明文件的除外）</w:t>
            </w:r>
          </w:p>
        </w:tc>
      </w:tr>
    </w:tbl>
    <w:p>
      <w:pPr>
        <w:pStyle w:val="null3"/>
        <w:jc w:val="both"/>
        <w:outlineLvl w:val="1"/>
      </w:pPr>
      <w:r>
        <w:rPr>
          <w:sz w:val="24"/>
          <w:b/>
        </w:rPr>
        <w:t>（二）</w:t>
      </w:r>
      <w:r>
        <w:rPr>
          <w:sz w:val="24"/>
          <w:b/>
        </w:rPr>
        <w:t>标准要求</w:t>
      </w:r>
    </w:p>
    <w:p>
      <w:pPr>
        <w:pStyle w:val="null3"/>
        <w:ind w:firstLine="480"/>
        <w:jc w:val="both"/>
      </w:pPr>
      <w:r>
        <w:rPr>
          <w:sz w:val="24"/>
        </w:rPr>
        <w:t>供应商提供的所有产品和服务应符合国家、行业和地方的现行有效标准和规范，包括但不限于：</w:t>
      </w:r>
    </w:p>
    <w:p>
      <w:pPr>
        <w:pStyle w:val="null3"/>
        <w:ind w:firstLine="480"/>
        <w:jc w:val="both"/>
      </w:pPr>
      <w:r>
        <w:rPr>
          <w:sz w:val="24"/>
        </w:rPr>
        <w:t>1</w:t>
      </w:r>
      <w:r>
        <w:rPr>
          <w:sz w:val="24"/>
        </w:rPr>
        <w:t>、</w:t>
      </w:r>
      <w:r>
        <w:rPr>
          <w:sz w:val="24"/>
        </w:rPr>
        <w:t>信息安全等级保护相关标准（</w:t>
      </w:r>
      <w:r>
        <w:rPr>
          <w:sz w:val="24"/>
        </w:rPr>
        <w:t>GB/T22239-2019《信息安全技术网络安全等级保护基本要求》、GB/T25070-2019《信息安全技术 网络安全等级保护安全设计技术要求》等）。</w:t>
      </w:r>
    </w:p>
    <w:p>
      <w:pPr>
        <w:pStyle w:val="null3"/>
        <w:ind w:firstLine="480"/>
        <w:jc w:val="both"/>
      </w:pPr>
      <w:r>
        <w:rPr>
          <w:sz w:val="24"/>
        </w:rPr>
        <w:t>2</w:t>
      </w:r>
      <w:r>
        <w:rPr>
          <w:sz w:val="24"/>
        </w:rPr>
        <w:t>、</w:t>
      </w:r>
      <w:r>
        <w:rPr>
          <w:sz w:val="24"/>
        </w:rPr>
        <w:t>云计算相关标准（</w:t>
      </w:r>
      <w:r>
        <w:rPr>
          <w:sz w:val="24"/>
        </w:rPr>
        <w:t>GB/T 32399-2024《信息技术云计算参考架构》、GB/T 31168-2023《信息安全技术 云计算服务安全能力要求》等）。</w:t>
      </w:r>
    </w:p>
    <w:p>
      <w:pPr>
        <w:pStyle w:val="null3"/>
        <w:ind w:firstLine="480"/>
        <w:jc w:val="both"/>
      </w:pPr>
      <w:r>
        <w:rPr>
          <w:sz w:val="24"/>
        </w:rPr>
        <w:t>3</w:t>
      </w:r>
      <w:r>
        <w:rPr>
          <w:sz w:val="24"/>
        </w:rPr>
        <w:t>、</w:t>
      </w:r>
      <w:r>
        <w:rPr>
          <w:sz w:val="24"/>
        </w:rPr>
        <w:t>涉及国产密码算法的相关标准和规范（如</w:t>
      </w:r>
      <w:r>
        <w:rPr>
          <w:sz w:val="24"/>
        </w:rPr>
        <w:t>GM/T系列标准）。</w:t>
      </w:r>
    </w:p>
    <w:p>
      <w:pPr>
        <w:pStyle w:val="null3"/>
        <w:ind w:firstLine="480"/>
        <w:jc w:val="both"/>
      </w:pPr>
      <w:r>
        <w:rPr>
          <w:sz w:val="24"/>
        </w:rPr>
        <w:t>4</w:t>
      </w:r>
      <w:r>
        <w:rPr>
          <w:sz w:val="24"/>
        </w:rPr>
        <w:t>、</w:t>
      </w:r>
      <w:r>
        <w:rPr>
          <w:sz w:val="24"/>
        </w:rPr>
        <w:t>其他相关的国家标准、行业标准和地方标准。</w:t>
      </w:r>
      <w:r>
        <w:rPr>
          <w:sz w:val="24"/>
        </w:rPr>
        <w:t>若上述</w:t>
      </w:r>
      <w:r>
        <w:rPr>
          <w:sz w:val="24"/>
        </w:rPr>
        <w:t>文件</w:t>
      </w:r>
      <w:r>
        <w:rPr>
          <w:sz w:val="24"/>
        </w:rPr>
        <w:t>有</w:t>
      </w:r>
      <w:r>
        <w:rPr>
          <w:sz w:val="24"/>
        </w:rPr>
        <w:t>最新标准，</w:t>
      </w:r>
      <w:r>
        <w:rPr>
          <w:sz w:val="24"/>
        </w:rPr>
        <w:t>以</w:t>
      </w:r>
      <w:r>
        <w:rPr>
          <w:sz w:val="24"/>
        </w:rPr>
        <w:t>最新标准</w:t>
      </w:r>
      <w:r>
        <w:rPr>
          <w:sz w:val="24"/>
        </w:rPr>
        <w:t>为准。</w:t>
      </w:r>
    </w:p>
    <w:p>
      <w:pPr>
        <w:pStyle w:val="null3"/>
        <w:jc w:val="both"/>
        <w:outlineLvl w:val="1"/>
      </w:pPr>
      <w:r>
        <w:rPr>
          <w:sz w:val="24"/>
          <w:b/>
        </w:rPr>
        <w:t>（三）</w:t>
      </w:r>
      <w:r>
        <w:rPr>
          <w:sz w:val="24"/>
          <w:b/>
        </w:rPr>
        <w:t>供货要求</w:t>
      </w:r>
    </w:p>
    <w:p>
      <w:pPr>
        <w:pStyle w:val="null3"/>
        <w:ind w:firstLine="480"/>
        <w:jc w:val="both"/>
      </w:pPr>
      <w:r>
        <w:rPr>
          <w:sz w:val="24"/>
        </w:rPr>
        <w:t>为确保本项目采购的桌面云平台及相关设备能够安全、及时地交付至指定地点，并保障我院的合法权益，特制定以下供货要求：</w:t>
      </w:r>
    </w:p>
    <w:p>
      <w:pPr>
        <w:pStyle w:val="null3"/>
        <w:ind w:firstLine="480"/>
        <w:jc w:val="both"/>
      </w:pPr>
      <w:r>
        <w:rPr>
          <w:sz w:val="24"/>
        </w:rPr>
        <w:t>1</w:t>
      </w:r>
      <w:r>
        <w:rPr>
          <w:sz w:val="24"/>
        </w:rPr>
        <w:t>、</w:t>
      </w:r>
      <w:r>
        <w:rPr>
          <w:sz w:val="24"/>
        </w:rPr>
        <w:t>运输及费用承担：供应商负责本项目所有设备的运输、装卸以及相关运输许可的申请（若有）。供应商承担运输过程中产生的所有费用，涵盖运输费、保险费、装卸费等，同时承担运输全程的所有风险，直至设备安全送达并经我院初步检验合格。</w:t>
      </w:r>
    </w:p>
    <w:p>
      <w:pPr>
        <w:pStyle w:val="null3"/>
        <w:ind w:firstLine="482"/>
        <w:jc w:val="both"/>
      </w:pPr>
      <w:r>
        <w:rPr>
          <w:sz w:val="24"/>
          <w:b/>
        </w:rPr>
        <w:t>设备交付地点为广东省广州市黄埔区光谱中路</w:t>
      </w:r>
      <w:r>
        <w:rPr>
          <w:sz w:val="24"/>
          <w:b/>
        </w:rPr>
        <w:t>13号。</w:t>
      </w:r>
    </w:p>
    <w:p>
      <w:pPr>
        <w:pStyle w:val="null3"/>
        <w:ind w:firstLine="420"/>
        <w:jc w:val="both"/>
      </w:pPr>
      <w:r>
        <w:rPr>
          <w:sz w:val="21"/>
          <w:color w:val="000000"/>
        </w:rPr>
        <w:t>★</w:t>
      </w:r>
      <w:r>
        <w:rPr>
          <w:sz w:val="24"/>
        </w:rPr>
        <w:t>2</w:t>
      </w:r>
      <w:r>
        <w:rPr>
          <w:sz w:val="24"/>
        </w:rPr>
        <w:t>、</w:t>
      </w:r>
      <w:r>
        <w:rPr>
          <w:sz w:val="24"/>
        </w:rPr>
        <w:t>原厂供货证明提供：中标供应商需按照投标文件中的承诺，在签订合同后供货时提供所投品牌厂商出具的供货证明</w:t>
      </w:r>
      <w:r>
        <w:rPr>
          <w:sz w:val="24"/>
        </w:rPr>
        <w:t>。</w:t>
      </w:r>
      <w:r>
        <w:rPr>
          <w:sz w:val="24"/>
        </w:rPr>
        <w:t>（</w:t>
      </w:r>
      <w:r>
        <w:rPr>
          <w:sz w:val="24"/>
        </w:rPr>
        <w:t>投标时</w:t>
      </w:r>
      <w:r>
        <w:rPr>
          <w:sz w:val="24"/>
        </w:rPr>
        <w:t>提供承诺函，可参照</w:t>
      </w:r>
      <w:r>
        <w:rPr>
          <w:sz w:val="24"/>
        </w:rPr>
        <w:t>“投标文件格式与要求”中《承诺函》格式）</w:t>
      </w:r>
    </w:p>
    <w:p>
      <w:pPr>
        <w:pStyle w:val="null3"/>
        <w:ind w:firstLine="480"/>
        <w:jc w:val="both"/>
      </w:pPr>
      <w:r>
        <w:rPr>
          <w:sz w:val="24"/>
        </w:rPr>
        <w:t>3</w:t>
      </w:r>
      <w:r>
        <w:rPr>
          <w:sz w:val="24"/>
        </w:rPr>
        <w:t>、</w:t>
      </w:r>
      <w:r>
        <w:rPr>
          <w:sz w:val="24"/>
        </w:rPr>
        <w:t>货物包装及标识：货物包装应符合国家相关标准和运输要求，确保货物在运输过程中不受损坏。每个包装箱外应有清晰、牢固的标识</w:t>
      </w:r>
      <w:r>
        <w:rPr>
          <w:sz w:val="24"/>
        </w:rPr>
        <w:t>。</w:t>
      </w:r>
    </w:p>
    <w:p>
      <w:pPr>
        <w:pStyle w:val="null3"/>
        <w:jc w:val="both"/>
        <w:outlineLvl w:val="1"/>
      </w:pPr>
      <w:r>
        <w:rPr>
          <w:sz w:val="24"/>
          <w:b/>
        </w:rPr>
        <w:t>（</w:t>
      </w:r>
      <w:r>
        <w:rPr>
          <w:sz w:val="24"/>
          <w:b/>
        </w:rPr>
        <w:t>四</w:t>
      </w:r>
      <w:r>
        <w:rPr>
          <w:sz w:val="24"/>
          <w:b/>
        </w:rPr>
        <w:t>）</w:t>
      </w:r>
      <w:r>
        <w:rPr>
          <w:sz w:val="24"/>
          <w:b/>
        </w:rPr>
        <w:t>集成</w:t>
      </w:r>
      <w:r>
        <w:rPr>
          <w:sz w:val="24"/>
          <w:b/>
        </w:rPr>
        <w:t>要求</w:t>
      </w:r>
    </w:p>
    <w:p>
      <w:pPr>
        <w:pStyle w:val="null3"/>
        <w:ind w:firstLine="420"/>
        <w:jc w:val="both"/>
      </w:pPr>
      <w:r>
        <w:rPr>
          <w:sz w:val="21"/>
          <w:color w:val="000000"/>
        </w:rPr>
        <w:t>★</w:t>
      </w:r>
      <w:r>
        <w:rPr>
          <w:sz w:val="24"/>
        </w:rPr>
        <w:t>1</w:t>
      </w:r>
      <w:r>
        <w:rPr>
          <w:sz w:val="24"/>
        </w:rPr>
        <w:t>、</w:t>
      </w:r>
      <w:r>
        <w:rPr>
          <w:sz w:val="24"/>
        </w:rPr>
        <w:t>服务器集成（项目经理、技术负责、技术人员）：此部分集成</w:t>
      </w:r>
      <w:r>
        <w:rPr>
          <w:sz w:val="24"/>
        </w:rPr>
        <w:t>是</w:t>
      </w:r>
      <w:r>
        <w:rPr>
          <w:sz w:val="24"/>
        </w:rPr>
        <w:t>在将新采购的</w:t>
      </w:r>
      <w:r>
        <w:rPr>
          <w:sz w:val="24"/>
        </w:rPr>
        <w:t>桌面云集群</w:t>
      </w:r>
      <w:r>
        <w:rPr>
          <w:sz w:val="24"/>
        </w:rPr>
        <w:t>无缝融入我院现有的超融合架构平台，并利用现有的分布式存储资源。具体工作内容包括</w:t>
      </w:r>
      <w:r>
        <w:rPr>
          <w:sz w:val="24"/>
        </w:rPr>
        <w:t>（</w:t>
      </w:r>
      <w:r>
        <w:rPr>
          <w:sz w:val="24"/>
        </w:rPr>
        <w:t>投标时</w:t>
      </w:r>
      <w:r>
        <w:rPr>
          <w:sz w:val="24"/>
        </w:rPr>
        <w:t>提供承诺函，可参照</w:t>
      </w:r>
      <w:r>
        <w:rPr>
          <w:sz w:val="24"/>
        </w:rPr>
        <w:t>“投标文件格式与要求”中《承诺函》格式）</w:t>
      </w:r>
      <w:r>
        <w:rPr>
          <w:sz w:val="24"/>
        </w:rPr>
        <w:t>：</w:t>
      </w:r>
    </w:p>
    <w:p>
      <w:pPr>
        <w:pStyle w:val="null3"/>
        <w:ind w:firstLine="480"/>
        <w:jc w:val="both"/>
      </w:pPr>
      <w:r>
        <w:rPr>
          <w:sz w:val="24"/>
        </w:rPr>
        <w:t>（</w:t>
      </w:r>
      <w:r>
        <w:rPr>
          <w:sz w:val="24"/>
        </w:rPr>
        <w:t>1</w:t>
      </w:r>
      <w:r>
        <w:rPr>
          <w:sz w:val="24"/>
        </w:rPr>
        <w:t>）</w:t>
      </w:r>
      <w:r>
        <w:rPr>
          <w:sz w:val="24"/>
        </w:rPr>
        <w:t>硬件兼容性测试：技术人员需对新服务器硬件与现有超融合平台硬件进行严格的兼容性测试，确保硬件的稳定运行。</w:t>
      </w:r>
    </w:p>
    <w:p>
      <w:pPr>
        <w:pStyle w:val="null3"/>
        <w:ind w:firstLine="480"/>
        <w:jc w:val="both"/>
      </w:pPr>
      <w:r>
        <w:rPr>
          <w:sz w:val="24"/>
        </w:rPr>
        <w:t>（</w:t>
      </w:r>
      <w:r>
        <w:rPr>
          <w:sz w:val="24"/>
        </w:rPr>
        <w:t>2</w:t>
      </w:r>
      <w:r>
        <w:rPr>
          <w:sz w:val="24"/>
        </w:rPr>
        <w:t>）</w:t>
      </w:r>
      <w:r>
        <w:rPr>
          <w:sz w:val="24"/>
        </w:rPr>
        <w:t>操作系统适配与配置：技术人员负责在新服务器上安装和配置操作系统，并进行必要的优化，以适应虚拟化平台的需求。</w:t>
      </w:r>
    </w:p>
    <w:p>
      <w:pPr>
        <w:pStyle w:val="null3"/>
        <w:ind w:firstLine="480"/>
        <w:jc w:val="both"/>
      </w:pPr>
      <w:r>
        <w:rPr>
          <w:sz w:val="24"/>
        </w:rPr>
        <w:t>（</w:t>
      </w:r>
      <w:r>
        <w:rPr>
          <w:sz w:val="24"/>
        </w:rPr>
        <w:t>3</w:t>
      </w:r>
      <w:r>
        <w:rPr>
          <w:sz w:val="24"/>
        </w:rPr>
        <w:t>）</w:t>
      </w:r>
      <w:r>
        <w:rPr>
          <w:sz w:val="24"/>
        </w:rPr>
        <w:t>虚拟化平台配置与集成：技术负责指导技术人员将新服务器添加到现有超融合集群中，配置虚拟化环境，并与现有分布式存储系统进行集成。</w:t>
      </w:r>
    </w:p>
    <w:p>
      <w:pPr>
        <w:pStyle w:val="null3"/>
        <w:ind w:firstLine="480"/>
        <w:jc w:val="both"/>
      </w:pPr>
      <w:r>
        <w:rPr>
          <w:sz w:val="24"/>
        </w:rPr>
        <w:t>（</w:t>
      </w:r>
      <w:r>
        <w:rPr>
          <w:sz w:val="24"/>
        </w:rPr>
        <w:t>4</w:t>
      </w:r>
      <w:r>
        <w:rPr>
          <w:sz w:val="24"/>
        </w:rPr>
        <w:t>）</w:t>
      </w:r>
      <w:r>
        <w:rPr>
          <w:sz w:val="24"/>
        </w:rPr>
        <w:t>资源调配与优化：项目经理协调技术团队，根据数据生产的实际需求，合理调配计算、内存和存储资源，并进行必要的性能优化。</w:t>
      </w:r>
    </w:p>
    <w:p>
      <w:pPr>
        <w:pStyle w:val="null3"/>
        <w:ind w:firstLine="480"/>
        <w:jc w:val="both"/>
      </w:pPr>
      <w:r>
        <w:rPr>
          <w:sz w:val="24"/>
        </w:rPr>
        <w:t>★</w:t>
      </w:r>
      <w:r>
        <w:rPr>
          <w:sz w:val="24"/>
        </w:rPr>
        <w:t>2、</w:t>
      </w:r>
      <w:r>
        <w:rPr>
          <w:sz w:val="24"/>
        </w:rPr>
        <w:t>网络集成（项目经理、技术负责、技术人员）：此部分集成</w:t>
      </w:r>
      <w:r>
        <w:rPr>
          <w:sz w:val="24"/>
        </w:rPr>
        <w:t>是</w:t>
      </w:r>
      <w:r>
        <w:rPr>
          <w:sz w:val="24"/>
        </w:rPr>
        <w:t>在将新采购的核心交换机替换我院现有核心交换机，并与现有网络设备进行高效互联，构建高速稳定的桌面云网络环境，并集成网络流量监控和上网行为管理功能。具体工作内容包括</w:t>
      </w:r>
      <w:r>
        <w:rPr>
          <w:sz w:val="24"/>
        </w:rPr>
        <w:t>（</w:t>
      </w:r>
      <w:r>
        <w:rPr>
          <w:sz w:val="24"/>
        </w:rPr>
        <w:t>投标时</w:t>
      </w:r>
      <w:r>
        <w:rPr>
          <w:sz w:val="24"/>
        </w:rPr>
        <w:t>提供承诺函，可参照</w:t>
      </w:r>
      <w:r>
        <w:rPr>
          <w:sz w:val="24"/>
        </w:rPr>
        <w:t>“投标文件格式与要求”中《承诺函》格式）</w:t>
      </w:r>
      <w:r>
        <w:rPr>
          <w:sz w:val="24"/>
        </w:rPr>
        <w:t>：</w:t>
      </w:r>
    </w:p>
    <w:p>
      <w:pPr>
        <w:pStyle w:val="null3"/>
        <w:ind w:firstLine="480"/>
        <w:jc w:val="both"/>
      </w:pPr>
      <w:r>
        <w:rPr>
          <w:sz w:val="24"/>
        </w:rPr>
        <w:t>（</w:t>
      </w:r>
      <w:r>
        <w:rPr>
          <w:sz w:val="24"/>
        </w:rPr>
        <w:t>1</w:t>
      </w:r>
      <w:r>
        <w:rPr>
          <w:sz w:val="24"/>
        </w:rPr>
        <w:t>）</w:t>
      </w:r>
      <w:r>
        <w:rPr>
          <w:sz w:val="24"/>
        </w:rPr>
        <w:t>网络拓扑规划与设计：技术负责根据桌面云的流量特点和安全需求，规划和设计合理的网络拓扑结构，并与现有网络进行有效衔接。</w:t>
      </w:r>
    </w:p>
    <w:p>
      <w:pPr>
        <w:pStyle w:val="null3"/>
        <w:ind w:firstLine="480"/>
        <w:jc w:val="both"/>
      </w:pPr>
      <w:r>
        <w:rPr>
          <w:sz w:val="24"/>
        </w:rPr>
        <w:t>（</w:t>
      </w:r>
      <w:r>
        <w:rPr>
          <w:sz w:val="24"/>
        </w:rPr>
        <w:t>2</w:t>
      </w:r>
      <w:r>
        <w:rPr>
          <w:sz w:val="24"/>
        </w:rPr>
        <w:t>）</w:t>
      </w:r>
      <w:r>
        <w:rPr>
          <w:sz w:val="24"/>
        </w:rPr>
        <w:t>核心交换机更换与配置：技术人员负责更换核心交换机，并进行</w:t>
      </w:r>
      <w:r>
        <w:rPr>
          <w:sz w:val="24"/>
        </w:rPr>
        <w:t>VLAN划分、路由配置、QoS策略配置等工作，确保桌面云流量的优先传输，以及与现有网络的互联互通。此项工作技术难度较高，需要技术负责进行重点把控。</w:t>
      </w:r>
    </w:p>
    <w:p>
      <w:pPr>
        <w:pStyle w:val="null3"/>
        <w:ind w:firstLine="480"/>
        <w:jc w:val="both"/>
      </w:pPr>
      <w:r>
        <w:rPr>
          <w:sz w:val="24"/>
        </w:rPr>
        <w:t>（</w:t>
      </w:r>
      <w:r>
        <w:rPr>
          <w:sz w:val="24"/>
        </w:rPr>
        <w:t>3</w:t>
      </w:r>
      <w:r>
        <w:rPr>
          <w:sz w:val="24"/>
        </w:rPr>
        <w:t>）</w:t>
      </w:r>
      <w:r>
        <w:rPr>
          <w:sz w:val="24"/>
        </w:rPr>
        <w:t>网络流量监控与集成：技术人员负责部署和配置网络流量监控软件，并与现有网络设备进行集成，实现对网络流量的实时监控和分析。</w:t>
      </w:r>
    </w:p>
    <w:p>
      <w:pPr>
        <w:pStyle w:val="null3"/>
        <w:ind w:firstLine="480"/>
        <w:jc w:val="both"/>
      </w:pPr>
      <w:r>
        <w:rPr>
          <w:sz w:val="24"/>
        </w:rPr>
        <w:t>（</w:t>
      </w:r>
      <w:r>
        <w:rPr>
          <w:sz w:val="24"/>
        </w:rPr>
        <w:t>4</w:t>
      </w:r>
      <w:r>
        <w:rPr>
          <w:sz w:val="24"/>
        </w:rPr>
        <w:t>）</w:t>
      </w:r>
      <w:r>
        <w:rPr>
          <w:sz w:val="24"/>
        </w:rPr>
        <w:t>上网行为管理集成：技术人员负责将上网行为管理设备集成到网络环境中，并配置相应的策略，以规范用户上网行为，保障网络安全。</w:t>
      </w:r>
    </w:p>
    <w:p>
      <w:pPr>
        <w:pStyle w:val="null3"/>
        <w:ind w:firstLine="480"/>
        <w:jc w:val="both"/>
      </w:pPr>
      <w:r>
        <w:rPr>
          <w:sz w:val="24"/>
        </w:rPr>
        <w:t>（</w:t>
      </w:r>
      <w:r>
        <w:rPr>
          <w:sz w:val="24"/>
        </w:rPr>
        <w:t>5</w:t>
      </w:r>
      <w:r>
        <w:rPr>
          <w:sz w:val="24"/>
        </w:rPr>
        <w:t>）</w:t>
      </w:r>
      <w:r>
        <w:rPr>
          <w:sz w:val="24"/>
        </w:rPr>
        <w:t>网络性能测试与优化：技术负责指导技术人员进行网络性能测试，并根据测试结果进行必要的优化，确保网络的高效稳定运行。</w:t>
      </w:r>
    </w:p>
    <w:p>
      <w:pPr>
        <w:pStyle w:val="null3"/>
        <w:ind w:firstLine="480"/>
        <w:jc w:val="both"/>
      </w:pPr>
      <w:r>
        <w:rPr>
          <w:sz w:val="24"/>
        </w:rPr>
        <w:t>★</w:t>
      </w:r>
      <w:r>
        <w:rPr>
          <w:sz w:val="24"/>
        </w:rPr>
        <w:t>3</w:t>
      </w:r>
      <w:r>
        <w:rPr>
          <w:sz w:val="24"/>
        </w:rPr>
        <w:t>、</w:t>
      </w:r>
      <w:r>
        <w:rPr>
          <w:sz w:val="24"/>
        </w:rPr>
        <w:t>平台集成（项目经理、技术负责、技术人员）：此部分集成</w:t>
      </w:r>
      <w:r>
        <w:rPr>
          <w:sz w:val="24"/>
        </w:rPr>
        <w:t>是</w:t>
      </w:r>
      <w:r>
        <w:rPr>
          <w:sz w:val="24"/>
        </w:rPr>
        <w:t>在将新采购的桌面云软件与我院现有桌面云应用进行整合，实现统一的管理和监控。具体工作内容包括</w:t>
      </w:r>
      <w:r>
        <w:rPr>
          <w:sz w:val="24"/>
        </w:rPr>
        <w:t>（</w:t>
      </w:r>
      <w:r>
        <w:rPr>
          <w:sz w:val="24"/>
        </w:rPr>
        <w:t>投标时</w:t>
      </w:r>
      <w:r>
        <w:rPr>
          <w:sz w:val="24"/>
        </w:rPr>
        <w:t>提供承诺函，可参照</w:t>
      </w:r>
      <w:r>
        <w:rPr>
          <w:sz w:val="24"/>
        </w:rPr>
        <w:t>“投标文件格式与要求”中《承诺函》格式）</w:t>
      </w:r>
      <w:r>
        <w:rPr>
          <w:sz w:val="24"/>
        </w:rPr>
        <w:t>：</w:t>
      </w:r>
    </w:p>
    <w:p>
      <w:pPr>
        <w:pStyle w:val="null3"/>
        <w:ind w:firstLine="480"/>
        <w:jc w:val="both"/>
      </w:pPr>
      <w:r>
        <w:rPr>
          <w:sz w:val="24"/>
        </w:rPr>
        <w:t>（</w:t>
      </w:r>
      <w:r>
        <w:rPr>
          <w:sz w:val="24"/>
        </w:rPr>
        <w:t>1</w:t>
      </w:r>
      <w:r>
        <w:rPr>
          <w:sz w:val="24"/>
        </w:rPr>
        <w:t>）</w:t>
      </w:r>
      <w:r>
        <w:rPr>
          <w:sz w:val="24"/>
        </w:rPr>
        <w:t>软件兼容性测试：技术人员需对新采购的桌面云软件与现有桌面云应用以及其他相关软件进行兼容性测试，确保各软件之间能够良好协作。</w:t>
      </w:r>
    </w:p>
    <w:p>
      <w:pPr>
        <w:pStyle w:val="null3"/>
        <w:ind w:firstLine="480"/>
        <w:jc w:val="both"/>
      </w:pPr>
      <w:r>
        <w:rPr>
          <w:sz w:val="24"/>
        </w:rPr>
        <w:t>（</w:t>
      </w:r>
      <w:r>
        <w:rPr>
          <w:sz w:val="24"/>
        </w:rPr>
        <w:t>2</w:t>
      </w:r>
      <w:r>
        <w:rPr>
          <w:sz w:val="24"/>
        </w:rPr>
        <w:t>）</w:t>
      </w:r>
      <w:r>
        <w:rPr>
          <w:sz w:val="24"/>
        </w:rPr>
        <w:t>用户数据迁移与整合：技术人员负责将现有桌面云用户数据迁移到新平台，并进行必要的整合和转换。</w:t>
      </w:r>
    </w:p>
    <w:p>
      <w:pPr>
        <w:pStyle w:val="null3"/>
        <w:ind w:firstLine="480"/>
        <w:jc w:val="both"/>
      </w:pPr>
      <w:r>
        <w:rPr>
          <w:sz w:val="24"/>
        </w:rPr>
        <w:t>（</w:t>
      </w:r>
      <w:r>
        <w:rPr>
          <w:sz w:val="24"/>
        </w:rPr>
        <w:t>3</w:t>
      </w:r>
      <w:r>
        <w:rPr>
          <w:sz w:val="24"/>
        </w:rPr>
        <w:t>）</w:t>
      </w:r>
      <w:r>
        <w:rPr>
          <w:sz w:val="24"/>
        </w:rPr>
        <w:t>应用发布与配置：技术人员负责在新平台上发布和配置</w:t>
      </w:r>
      <w:r>
        <w:rPr>
          <w:sz w:val="24"/>
        </w:rPr>
        <w:t>平台</w:t>
      </w:r>
      <w:r>
        <w:rPr>
          <w:sz w:val="24"/>
        </w:rPr>
        <w:t>所需的各种应用程序，并进行必要的测试和优化。</w:t>
      </w:r>
    </w:p>
    <w:p>
      <w:pPr>
        <w:pStyle w:val="null3"/>
        <w:ind w:firstLine="480"/>
        <w:jc w:val="both"/>
      </w:pPr>
      <w:r>
        <w:rPr>
          <w:sz w:val="24"/>
        </w:rPr>
        <w:t>（</w:t>
      </w:r>
      <w:r>
        <w:rPr>
          <w:sz w:val="24"/>
        </w:rPr>
        <w:t>4</w:t>
      </w:r>
      <w:r>
        <w:rPr>
          <w:sz w:val="24"/>
        </w:rPr>
        <w:t>）</w:t>
      </w:r>
      <w:r>
        <w:rPr>
          <w:sz w:val="24"/>
        </w:rPr>
        <w:t>管理平台集成与配置：技术负责指导技术人员将新平台集成到统一的管理平台中，实现对所有桌面云资源的集中管理和监控。</w:t>
      </w:r>
    </w:p>
    <w:p>
      <w:pPr>
        <w:pStyle w:val="null3"/>
        <w:ind w:firstLine="480"/>
        <w:jc w:val="both"/>
      </w:pPr>
      <w:r>
        <w:rPr>
          <w:sz w:val="24"/>
        </w:rPr>
        <w:t>★</w:t>
      </w:r>
      <w:r>
        <w:rPr>
          <w:sz w:val="24"/>
        </w:rPr>
        <w:t>4</w:t>
      </w:r>
      <w:r>
        <w:rPr>
          <w:sz w:val="24"/>
        </w:rPr>
        <w:t>、</w:t>
      </w:r>
      <w:r>
        <w:rPr>
          <w:sz w:val="24"/>
        </w:rPr>
        <w:t>桌面云集成（项目经理、技术负责、技术人员）：此部分集成旨在将新建的虚拟桌面与现有应用系统进行集成，确保用户能够在虚拟桌面环境中正常使用各种业务应用程序，尤其是数据生产相关的专业软件。具体工作内容包括</w:t>
      </w:r>
      <w:r>
        <w:rPr>
          <w:sz w:val="24"/>
        </w:rPr>
        <w:t>（</w:t>
      </w:r>
      <w:r>
        <w:rPr>
          <w:sz w:val="24"/>
        </w:rPr>
        <w:t>投标时</w:t>
      </w:r>
      <w:r>
        <w:rPr>
          <w:sz w:val="24"/>
        </w:rPr>
        <w:t>提供承诺函，可参照</w:t>
      </w:r>
      <w:r>
        <w:rPr>
          <w:sz w:val="24"/>
        </w:rPr>
        <w:t>“投标文件格式与要求”中《承诺函》格式）</w:t>
      </w:r>
      <w:r>
        <w:rPr>
          <w:sz w:val="24"/>
        </w:rPr>
        <w:t>：</w:t>
      </w:r>
    </w:p>
    <w:p>
      <w:pPr>
        <w:pStyle w:val="null3"/>
        <w:ind w:firstLine="480"/>
        <w:jc w:val="both"/>
      </w:pPr>
      <w:r>
        <w:rPr>
          <w:sz w:val="24"/>
        </w:rPr>
        <w:t>（</w:t>
      </w:r>
      <w:r>
        <w:rPr>
          <w:sz w:val="24"/>
        </w:rPr>
        <w:t>1</w:t>
      </w:r>
      <w:r>
        <w:rPr>
          <w:sz w:val="24"/>
        </w:rPr>
        <w:t>）</w:t>
      </w:r>
      <w:r>
        <w:rPr>
          <w:sz w:val="24"/>
        </w:rPr>
        <w:t>应用兼容性测试：技术人员需要对数据生产相关的各种专业软件在虚拟桌面环境中进行充分的兼容性测试，确保软件能够稳定运行，并满足数据生产的性能要求。</w:t>
      </w:r>
    </w:p>
    <w:p>
      <w:pPr>
        <w:pStyle w:val="null3"/>
        <w:ind w:firstLine="480"/>
        <w:jc w:val="both"/>
      </w:pPr>
      <w:r>
        <w:rPr>
          <w:sz w:val="24"/>
        </w:rPr>
        <w:t>（</w:t>
      </w:r>
      <w:r>
        <w:rPr>
          <w:sz w:val="24"/>
        </w:rPr>
        <w:t>2</w:t>
      </w:r>
      <w:r>
        <w:rPr>
          <w:sz w:val="24"/>
        </w:rPr>
        <w:t>）</w:t>
      </w:r>
      <w:r>
        <w:rPr>
          <w:sz w:val="24"/>
        </w:rPr>
        <w:t>用户环境配置与迁移：技术人员负责配置用户虚拟桌面环境，包括桌面设置、应用程序快捷方式、外设驱动等，并迁移用户原有的个人配置。</w:t>
      </w:r>
    </w:p>
    <w:p>
      <w:pPr>
        <w:pStyle w:val="null3"/>
        <w:ind w:firstLine="480"/>
        <w:jc w:val="both"/>
      </w:pPr>
      <w:r>
        <w:rPr>
          <w:sz w:val="24"/>
        </w:rPr>
        <w:t>（</w:t>
      </w:r>
      <w:r>
        <w:rPr>
          <w:sz w:val="24"/>
        </w:rPr>
        <w:t>3</w:t>
      </w:r>
      <w:r>
        <w:rPr>
          <w:sz w:val="24"/>
        </w:rPr>
        <w:t>）</w:t>
      </w:r>
      <w:r>
        <w:rPr>
          <w:sz w:val="24"/>
        </w:rPr>
        <w:t>外设兼容性测试：技术人员需要对外设（如绘图仪、扫描仪等）在虚拟桌面环境中的兼容性进行测试，确保外设能够正常工作。</w:t>
      </w:r>
    </w:p>
    <w:p>
      <w:pPr>
        <w:pStyle w:val="null3"/>
        <w:jc w:val="both"/>
        <w:outlineLvl w:val="1"/>
      </w:pPr>
      <w:r>
        <w:rPr>
          <w:sz w:val="24"/>
          <w:b/>
        </w:rPr>
        <w:t>（</w:t>
      </w:r>
      <w:r>
        <w:rPr>
          <w:sz w:val="24"/>
          <w:b/>
        </w:rPr>
        <w:t>五</w:t>
      </w:r>
      <w:r>
        <w:rPr>
          <w:sz w:val="24"/>
          <w:b/>
        </w:rPr>
        <w:t>）</w:t>
      </w:r>
      <w:r>
        <w:rPr>
          <w:sz w:val="24"/>
          <w:b/>
        </w:rPr>
        <w:t>进度要求</w:t>
      </w:r>
    </w:p>
    <w:p>
      <w:pPr>
        <w:pStyle w:val="null3"/>
        <w:ind w:firstLine="480"/>
        <w:jc w:val="both"/>
      </w:pPr>
      <w:r>
        <w:rPr>
          <w:sz w:val="24"/>
        </w:rPr>
        <w:t>1</w:t>
      </w:r>
      <w:r>
        <w:rPr>
          <w:sz w:val="24"/>
        </w:rPr>
        <w:t>、</w:t>
      </w:r>
      <w:r>
        <w:rPr>
          <w:sz w:val="24"/>
        </w:rPr>
        <w:t>项目启动阶段</w:t>
      </w:r>
    </w:p>
    <w:p>
      <w:pPr>
        <w:pStyle w:val="null3"/>
        <w:ind w:firstLine="480"/>
        <w:jc w:val="both"/>
      </w:pPr>
      <w:r>
        <w:rPr>
          <w:sz w:val="24"/>
        </w:rPr>
        <w:t>自合同签订之日起，供应商应立即组建项目团队，并与我院相关部门进行对接，明确项目联系人和沟通机制，启动项目实施工作。</w:t>
      </w:r>
    </w:p>
    <w:p>
      <w:pPr>
        <w:pStyle w:val="null3"/>
        <w:ind w:firstLine="480"/>
        <w:jc w:val="both"/>
      </w:pPr>
      <w:r>
        <w:rPr>
          <w:sz w:val="24"/>
        </w:rPr>
        <w:t>2</w:t>
      </w:r>
      <w:r>
        <w:rPr>
          <w:sz w:val="24"/>
        </w:rPr>
        <w:t>、</w:t>
      </w:r>
      <w:r>
        <w:rPr>
          <w:sz w:val="24"/>
        </w:rPr>
        <w:t>详细设计与方案确认阶段：合同签订后</w:t>
      </w:r>
      <w:r>
        <w:rPr>
          <w:sz w:val="24"/>
        </w:rPr>
        <w:t>2周内，供应商应完成详细的集成设计方案，包括服务器、网络、平台和桌面云等各方面的详细配置和集成方案，并提交我院审核确认。方案确认后，方可进入后续实施阶段。</w:t>
      </w:r>
    </w:p>
    <w:p>
      <w:pPr>
        <w:pStyle w:val="null3"/>
        <w:ind w:firstLine="480"/>
        <w:jc w:val="both"/>
      </w:pPr>
      <w:r>
        <w:rPr>
          <w:sz w:val="24"/>
        </w:rPr>
        <w:t>3</w:t>
      </w:r>
      <w:r>
        <w:rPr>
          <w:sz w:val="24"/>
        </w:rPr>
        <w:t>、</w:t>
      </w:r>
      <w:r>
        <w:rPr>
          <w:sz w:val="24"/>
        </w:rPr>
        <w:t>设备采购与到货阶段：自方案确认后</w:t>
      </w:r>
      <w:r>
        <w:rPr>
          <w:sz w:val="24"/>
        </w:rPr>
        <w:t>4周内，供应商应完成所有设备的采购、生产（如有）和运输工作，确保设备按时到达我院指定地点。</w:t>
      </w:r>
    </w:p>
    <w:p>
      <w:pPr>
        <w:pStyle w:val="null3"/>
        <w:ind w:firstLine="480"/>
        <w:jc w:val="both"/>
      </w:pPr>
      <w:r>
        <w:rPr>
          <w:sz w:val="24"/>
        </w:rPr>
        <w:t>4</w:t>
      </w:r>
      <w:r>
        <w:rPr>
          <w:sz w:val="24"/>
        </w:rPr>
        <w:t>、</w:t>
      </w:r>
      <w:r>
        <w:rPr>
          <w:sz w:val="24"/>
        </w:rPr>
        <w:t>系统集成与调试阶段：自设备到货后</w:t>
      </w:r>
      <w:r>
        <w:rPr>
          <w:sz w:val="24"/>
        </w:rPr>
        <w:t>6周内，供应商应完成所有设备的安装、配置、集成、调试和测试工作，确保各系统之间能够协调稳定运行。此阶段包含与现有超融合平台、网络环境、现有桌面云应用的集成工作，以及网络流量监控和上网行为管理设备的集成。</w:t>
      </w:r>
    </w:p>
    <w:p>
      <w:pPr>
        <w:pStyle w:val="null3"/>
        <w:ind w:firstLine="480"/>
        <w:jc w:val="both"/>
      </w:pPr>
      <w:r>
        <w:rPr>
          <w:sz w:val="24"/>
        </w:rPr>
        <w:t>5</w:t>
      </w:r>
      <w:r>
        <w:rPr>
          <w:sz w:val="24"/>
        </w:rPr>
        <w:t>、</w:t>
      </w:r>
      <w:r>
        <w:rPr>
          <w:sz w:val="24"/>
        </w:rPr>
        <w:t>系统试运行阶段：自系统集成调试完成后</w:t>
      </w:r>
      <w:r>
        <w:rPr>
          <w:sz w:val="24"/>
        </w:rPr>
        <w:t>2周内，供应商应配合我院进行系统试运行，时间为7个自然日。试运行期间，系统应保持稳定运行，无重大故障或异常。</w:t>
      </w:r>
    </w:p>
    <w:p>
      <w:pPr>
        <w:pStyle w:val="null3"/>
        <w:ind w:firstLine="480"/>
        <w:jc w:val="both"/>
      </w:pPr>
      <w:r>
        <w:rPr>
          <w:sz w:val="24"/>
        </w:rPr>
        <w:t>6</w:t>
      </w:r>
      <w:r>
        <w:rPr>
          <w:sz w:val="24"/>
        </w:rPr>
        <w:t>、</w:t>
      </w:r>
      <w:r>
        <w:rPr>
          <w:sz w:val="24"/>
        </w:rPr>
        <w:t>项目验收阶段：试运行结束后，如系统运行稳定，符合验收标准，供应商向我院提出验收申请，我院将组织项目验收。验收合格后，双方签署验收报告，项目进入运维阶段。</w:t>
      </w:r>
    </w:p>
    <w:p>
      <w:pPr>
        <w:pStyle w:val="null3"/>
        <w:ind w:firstLine="480"/>
        <w:jc w:val="both"/>
      </w:pPr>
      <w:r>
        <w:rPr>
          <w:sz w:val="24"/>
        </w:rPr>
        <w:t>7</w:t>
      </w:r>
      <w:r>
        <w:rPr>
          <w:sz w:val="24"/>
        </w:rPr>
        <w:t>、</w:t>
      </w:r>
      <w:r>
        <w:rPr>
          <w:sz w:val="24"/>
        </w:rPr>
        <w:t>项目交付与培训阶段：在项目验收完成后，供应商应及时交付所有相关文档和资料，并为我院相关人员提供全面的技术培训。</w:t>
      </w:r>
    </w:p>
    <w:p>
      <w:pPr>
        <w:pStyle w:val="null3"/>
        <w:ind w:firstLine="480"/>
        <w:jc w:val="both"/>
      </w:pPr>
      <w:r>
        <w:rPr>
          <w:sz w:val="24"/>
          <w:color w:val="000000"/>
        </w:rPr>
        <w:t>★</w:t>
      </w:r>
      <w:r>
        <w:rPr>
          <w:sz w:val="24"/>
        </w:rPr>
        <w:t>8</w:t>
      </w:r>
      <w:r>
        <w:rPr>
          <w:sz w:val="24"/>
        </w:rPr>
        <w:t>、</w:t>
      </w:r>
      <w:r>
        <w:rPr>
          <w:sz w:val="24"/>
        </w:rPr>
        <w:t>整体项目工期：从合同签订之日起至提交验收申请之日止，整体项目工期不超过</w:t>
      </w:r>
      <w:r>
        <w:rPr>
          <w:sz w:val="24"/>
        </w:rPr>
        <w:t>3个月。</w:t>
      </w:r>
      <w:r>
        <w:rPr>
          <w:sz w:val="24"/>
        </w:rPr>
        <w:t>（提供承诺函，可参照</w:t>
      </w:r>
      <w:r>
        <w:rPr>
          <w:sz w:val="24"/>
        </w:rPr>
        <w:t>“投标文件格式与要求”中《承诺函》格式）</w:t>
      </w:r>
    </w:p>
    <w:p>
      <w:pPr>
        <w:pStyle w:val="null3"/>
        <w:jc w:val="both"/>
        <w:outlineLvl w:val="1"/>
      </w:pPr>
      <w:r>
        <w:rPr>
          <w:sz w:val="24"/>
          <w:b/>
        </w:rPr>
        <w:t>（</w:t>
      </w:r>
      <w:r>
        <w:rPr>
          <w:sz w:val="24"/>
          <w:b/>
        </w:rPr>
        <w:t>六</w:t>
      </w:r>
      <w:r>
        <w:rPr>
          <w:sz w:val="24"/>
          <w:b/>
        </w:rPr>
        <w:t>）</w:t>
      </w:r>
      <w:r>
        <w:rPr>
          <w:sz w:val="24"/>
          <w:b/>
        </w:rPr>
        <w:t>人员</w:t>
      </w:r>
      <w:r>
        <w:rPr>
          <w:sz w:val="24"/>
          <w:b/>
        </w:rPr>
        <w:t>要求</w:t>
      </w:r>
    </w:p>
    <w:p>
      <w:pPr>
        <w:pStyle w:val="null3"/>
        <w:ind w:firstLine="480"/>
        <w:jc w:val="both"/>
      </w:pPr>
      <w:r>
        <w:rPr>
          <w:sz w:val="24"/>
        </w:rPr>
        <w:t>供应商</w:t>
      </w:r>
      <w:r>
        <w:rPr>
          <w:sz w:val="24"/>
        </w:rPr>
        <w:t>需指派固定的团队为本项目提供专业服务，指派专人担任项目技术负责人，负责本项目的技术管理工作，且服务团队成员的技术能力及人数应充分满足本项目开展的需要。团队成员数量、资历要求见下表</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741"/>
        <w:gridCol w:w="712"/>
        <w:gridCol w:w="2251"/>
        <w:gridCol w:w="4602"/>
      </w:tblGrid>
      <w:tr>
        <w:tc>
          <w:tcPr>
            <w:tcW w:type="dxa" w:w="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岗位</w:t>
            </w:r>
          </w:p>
        </w:tc>
        <w:tc>
          <w:tcPr>
            <w:tcW w:type="dxa" w:w="7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2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人员情况要求</w:t>
            </w:r>
          </w:p>
        </w:tc>
        <w:tc>
          <w:tcPr>
            <w:tcW w:type="dxa" w:w="4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工作内容</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项目经理</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具有计算机科学与技术等相关专业本科或以上学历证书，或具有计算机技术与软件专业技术资格（水平）考试的信息系统项目管理师、系统分析师、软件设计师、系统架构设计师等证书</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统筹协调整体项目，确保项目按计划推进并符合质量要求。</w:t>
            </w:r>
            <w:r>
              <w:br/>
            </w:r>
            <w:r>
              <w:rPr>
                <w:sz w:val="24"/>
              </w:rPr>
              <w:t>组织项目团队，合理分配资源，制定实施计划和任务分工。</w:t>
            </w:r>
            <w:r>
              <w:br/>
            </w:r>
            <w:r>
              <w:rPr>
                <w:sz w:val="24"/>
              </w:rPr>
              <w:t>负责与相关部门沟通，确保项目实施过程中信息畅通。</w:t>
            </w:r>
            <w:r>
              <w:br/>
            </w:r>
            <w:r>
              <w:rPr>
                <w:sz w:val="24"/>
              </w:rPr>
              <w:t>监督技术团队执行服务器集成、网络集成、平台集成及桌面云集成等任务，并进行风险控制。</w:t>
            </w:r>
            <w:r>
              <w:br/>
            </w:r>
            <w:r>
              <w:rPr>
                <w:sz w:val="24"/>
              </w:rPr>
              <w:t>组织项目验收，确保所有系统稳定运行并满足业务需求。</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技术负责</w:t>
            </w:r>
            <w:r>
              <w:rPr>
                <w:sz w:val="24"/>
              </w:rPr>
              <w:t>人</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具有计算机科学与技术等相关专业本科或以上学历证书，或具有计算机技术与软件专业技术资格（水平）考试的网络工程师、信息系统项目管理师</w:t>
            </w:r>
            <w:r>
              <w:rPr>
                <w:sz w:val="24"/>
              </w:rPr>
              <w:t>、</w:t>
            </w:r>
            <w:r>
              <w:rPr>
                <w:sz w:val="24"/>
              </w:rPr>
              <w:t>系统规划与管理师等证书</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负责技术方案的制定和审核，确保技术方案的可行性和安全性。</w:t>
            </w:r>
            <w:r>
              <w:br/>
            </w:r>
            <w:r>
              <w:rPr>
                <w:sz w:val="24"/>
              </w:rPr>
              <w:t>负责指导技术人员进行服务器集成、网络集成、</w:t>
            </w:r>
            <w:r>
              <w:rPr>
                <w:sz w:val="24"/>
              </w:rPr>
              <w:t>网络系统规划、设计，</w:t>
            </w:r>
            <w:r>
              <w:rPr>
                <w:sz w:val="24"/>
              </w:rPr>
              <w:t>平台集成及桌面云集成等技术工作，确保系统稳定性和兼容性。</w:t>
            </w:r>
            <w:r>
              <w:br/>
            </w:r>
            <w:r>
              <w:rPr>
                <w:sz w:val="24"/>
              </w:rPr>
              <w:t>监督并参与硬件兼容性测试、操作系统适配、虚拟化平台配置等工作，保证新设备无缝融入现有环境。</w:t>
            </w:r>
            <w:r>
              <w:br/>
            </w:r>
            <w:r>
              <w:rPr>
                <w:sz w:val="24"/>
              </w:rPr>
              <w:t>负责网络拓扑设计、核心交换机更换、网络流量监控与优化等网络集成工作，确保桌面云网络的高效运行。</w:t>
            </w:r>
            <w:r>
              <w:br/>
            </w:r>
            <w:r>
              <w:rPr>
                <w:sz w:val="24"/>
              </w:rPr>
              <w:t>组织技术团队进行系统性能优化和技术培训，提高团队整体技术能力。</w:t>
            </w:r>
          </w:p>
        </w:tc>
      </w:tr>
      <w:tr>
        <w:tc>
          <w:tcPr>
            <w:tcW w:type="dxa" w:w="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技术人员</w:t>
            </w:r>
          </w:p>
        </w:tc>
        <w:tc>
          <w:tcPr>
            <w:tcW w:type="dxa" w:w="7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技术人员具有计算机技术与软件专业技术资格（水平）考试的系统规划与管理</w:t>
            </w:r>
            <w:r>
              <w:rPr>
                <w:sz w:val="24"/>
              </w:rPr>
              <w:t>师</w:t>
            </w:r>
            <w:r>
              <w:rPr>
                <w:sz w:val="24"/>
              </w:rPr>
              <w:t>、网络工程师</w:t>
            </w:r>
            <w:r>
              <w:rPr>
                <w:sz w:val="24"/>
              </w:rPr>
              <w:t>、</w:t>
            </w:r>
            <w:r>
              <w:rPr>
                <w:sz w:val="24"/>
              </w:rPr>
              <w:t>软件评测师、软件设计师</w:t>
            </w:r>
            <w:r>
              <w:rPr>
                <w:sz w:val="24"/>
              </w:rPr>
              <w:t>等证书。</w:t>
            </w:r>
          </w:p>
        </w:tc>
        <w:tc>
          <w:tcPr>
            <w:tcW w:type="dxa" w:w="4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负责新采购</w:t>
            </w:r>
            <w:r>
              <w:rPr>
                <w:sz w:val="24"/>
              </w:rPr>
              <w:t>桌面云集群</w:t>
            </w:r>
            <w:r>
              <w:rPr>
                <w:sz w:val="24"/>
              </w:rPr>
              <w:t>的硬件兼容性测试，确保其能稳定运行于现有超融合架构平台。</w:t>
            </w:r>
            <w:r>
              <w:br/>
            </w:r>
            <w:r>
              <w:rPr>
                <w:sz w:val="24"/>
              </w:rPr>
              <w:t>进行</w:t>
            </w:r>
            <w:r>
              <w:rPr>
                <w:sz w:val="24"/>
              </w:rPr>
              <w:t>操</w:t>
            </w:r>
            <w:r>
              <w:rPr>
                <w:sz w:val="24"/>
              </w:rPr>
              <w:t>作系统的安装、适配和优化，以满足虚拟化平台的技术要求。</w:t>
            </w:r>
            <w:r>
              <w:br/>
            </w:r>
            <w:r>
              <w:rPr>
                <w:sz w:val="24"/>
              </w:rPr>
              <w:t>负责新服务器的虚拟化平台配置及与分布式存储系统的集成，实现资源的统一管理。</w:t>
            </w:r>
            <w:r>
              <w:br/>
            </w:r>
            <w:r>
              <w:rPr>
                <w:sz w:val="24"/>
              </w:rPr>
              <w:t>进行核心交换机的更换与网络配置，包括</w:t>
            </w:r>
            <w:r>
              <w:rPr>
                <w:sz w:val="24"/>
              </w:rPr>
              <w:t>VLAN划分、路由配置、QoS策略等，保障网络稳定性和高效性。</w:t>
            </w:r>
            <w:r>
              <w:rPr>
                <w:sz w:val="24"/>
              </w:rPr>
              <w:t>负责网络设备的软硬件安装调试，信息技术服务规划，信息系统运行。</w:t>
            </w:r>
            <w:r>
              <w:br/>
            </w:r>
            <w:r>
              <w:rPr>
                <w:sz w:val="24"/>
              </w:rPr>
              <w:t>部署和集成网络流量监控与上网行为管理系统，优化网络性能，确保安全合规。</w:t>
            </w:r>
            <w:r>
              <w:br/>
            </w:r>
            <w:r>
              <w:rPr>
                <w:sz w:val="24"/>
              </w:rPr>
              <w:t>负责桌面云软件兼容性测试，进行用户数据迁移、应用发布与管理平台集成，确保云环境与现有应用的无缝对接。</w:t>
            </w:r>
            <w:r>
              <w:br/>
            </w:r>
            <w:r>
              <w:rPr>
                <w:sz w:val="24"/>
              </w:rPr>
              <w:t>进行桌面云应用兼容性测试，配置用户环境，确保业务软件在虚拟桌面环境中正常运行。</w:t>
            </w:r>
            <w:r>
              <w:br/>
            </w:r>
            <w:r>
              <w:rPr>
                <w:sz w:val="24"/>
              </w:rPr>
              <w:t>进行外设兼容性测试，确保绘图仪、扫描仪等设备能正常适配云桌面环境。</w:t>
            </w:r>
          </w:p>
        </w:tc>
      </w:tr>
    </w:tbl>
    <w:p>
      <w:pPr>
        <w:pStyle w:val="null3"/>
        <w:ind w:firstLine="420"/>
        <w:jc w:val="both"/>
      </w:pPr>
      <w:r>
        <w:rPr>
          <w:sz w:val="24"/>
        </w:rPr>
        <w:t>★供应商投标文件承诺的拟投入人员视为项目实施实际投入人员（提供承诺函，可参照“投标文件格式与要求”中《承诺函》格式）。</w:t>
      </w:r>
    </w:p>
    <w:p>
      <w:pPr>
        <w:pStyle w:val="null3"/>
        <w:ind w:firstLine="420"/>
        <w:jc w:val="both"/>
      </w:pPr>
      <w:r>
        <w:rPr>
          <w:sz w:val="24"/>
        </w:rPr>
        <w:t>供应商需根据以上表格分项列出拟投入人员名单及资历情况。</w:t>
      </w:r>
    </w:p>
    <w:p>
      <w:pPr>
        <w:pStyle w:val="null3"/>
        <w:ind w:firstLine="420"/>
        <w:jc w:val="both"/>
      </w:pPr>
      <w:r>
        <w:rPr>
          <w:sz w:val="24"/>
        </w:rPr>
        <w:t>如需调整服务团队成员，需书面向采购人提出申请，说明申请理由，经采购人书面同意方可调整，调入人员的资历和从业经验不低于调出人员，否则视为违约行为，采购人有权终止服务合同。</w:t>
      </w:r>
    </w:p>
    <w:p>
      <w:pPr>
        <w:pStyle w:val="null3"/>
        <w:jc w:val="both"/>
        <w:outlineLvl w:val="1"/>
      </w:pPr>
      <w:r>
        <w:rPr>
          <w:sz w:val="24"/>
          <w:b/>
        </w:rPr>
        <w:t>（</w:t>
      </w:r>
      <w:r>
        <w:rPr>
          <w:sz w:val="24"/>
          <w:b/>
        </w:rPr>
        <w:t>七</w:t>
      </w:r>
      <w:r>
        <w:rPr>
          <w:sz w:val="24"/>
          <w:b/>
        </w:rPr>
        <w:t>）</w:t>
      </w:r>
      <w:r>
        <w:rPr>
          <w:sz w:val="24"/>
          <w:b/>
        </w:rPr>
        <w:t>验收要求</w:t>
      </w:r>
    </w:p>
    <w:p>
      <w:pPr>
        <w:pStyle w:val="null3"/>
        <w:ind w:firstLine="482"/>
        <w:jc w:val="both"/>
      </w:pPr>
      <w:r>
        <w:rPr>
          <w:sz w:val="24"/>
          <w:b/>
        </w:rPr>
        <w:t>1</w:t>
      </w:r>
      <w:r>
        <w:rPr>
          <w:sz w:val="24"/>
          <w:b/>
        </w:rPr>
        <w:t>、</w:t>
      </w:r>
      <w:r>
        <w:rPr>
          <w:sz w:val="24"/>
          <w:b/>
        </w:rPr>
        <w:t>验收标准</w:t>
      </w:r>
    </w:p>
    <w:p>
      <w:pPr>
        <w:pStyle w:val="null3"/>
        <w:ind w:firstLine="480"/>
        <w:jc w:val="both"/>
      </w:pPr>
      <w:r>
        <w:rPr>
          <w:sz w:val="24"/>
        </w:rPr>
        <w:t>本项目验收应遵循以下标准，所有内容均为必要条件，需全部满足：</w:t>
      </w:r>
    </w:p>
    <w:p>
      <w:pPr>
        <w:pStyle w:val="null3"/>
        <w:ind w:firstLine="480"/>
        <w:jc w:val="both"/>
      </w:pPr>
      <w:r>
        <w:rPr>
          <w:sz w:val="24"/>
        </w:rPr>
        <w:t>（</w:t>
      </w:r>
      <w:r>
        <w:rPr>
          <w:sz w:val="24"/>
        </w:rPr>
        <w:t>1）合规性：符合中华人民共和国国家和履约地相关安全、质量标准、行业技术规范标准，包括但不限于信息安全等级保护相关标准、云计算相关标准、涉及国产密码算法的相关标准和规范等。</w:t>
      </w:r>
    </w:p>
    <w:p>
      <w:pPr>
        <w:pStyle w:val="null3"/>
        <w:ind w:firstLine="480"/>
        <w:jc w:val="both"/>
      </w:pPr>
      <w:r>
        <w:rPr>
          <w:sz w:val="24"/>
        </w:rPr>
        <w:t>（</w:t>
      </w:r>
      <w:r>
        <w:rPr>
          <w:sz w:val="24"/>
        </w:rPr>
        <w:t>2）一致性：符合招标文件和响应承诺（投标文件）中各方共同认可的合理配置、参数规格及各项要求，包括服务器配置、软件功能、网络性能、终端规格等。</w:t>
      </w:r>
    </w:p>
    <w:p>
      <w:pPr>
        <w:pStyle w:val="null3"/>
        <w:ind w:firstLine="480"/>
        <w:jc w:val="both"/>
      </w:pPr>
      <w:r>
        <w:rPr>
          <w:sz w:val="24"/>
        </w:rPr>
        <w:t>（</w:t>
      </w:r>
      <w:r>
        <w:rPr>
          <w:sz w:val="24"/>
        </w:rPr>
        <w:t>3）技术要求符合性：符合项目实施过程中双方约定的其他相关技术要求，包括接口协议、数据格式、系统兼容性等。</w:t>
      </w:r>
    </w:p>
    <w:p>
      <w:pPr>
        <w:pStyle w:val="null3"/>
        <w:ind w:firstLine="480"/>
        <w:jc w:val="both"/>
      </w:pPr>
      <w:r>
        <w:rPr>
          <w:sz w:val="24"/>
        </w:rPr>
        <w:t>（</w:t>
      </w:r>
      <w:r>
        <w:rPr>
          <w:sz w:val="24"/>
        </w:rPr>
        <w:t>4）试运行合格：系统通过为期7个自然日的连续稳定试运行，期间运行稳定，无重大故障或异常，能够满足数据生产业务的实际需求。试运行期间，供应商需提供详细的试运行报告，包括系统运行日志、性能监控数据等。</w:t>
      </w:r>
    </w:p>
    <w:p>
      <w:pPr>
        <w:pStyle w:val="null3"/>
        <w:ind w:firstLine="480"/>
        <w:jc w:val="both"/>
      </w:pPr>
      <w:r>
        <w:rPr>
          <w:sz w:val="24"/>
        </w:rPr>
        <w:t>（</w:t>
      </w:r>
      <w:r>
        <w:rPr>
          <w:sz w:val="24"/>
        </w:rPr>
        <w:t>5）产品全新性与完整性：货物应当均为近10个月内（以出产日期为准，交付日期截止）原制造商制造的全新合格产品，整机无污染，无侵权行为、表面无划损、无任何缺陷隐患，在中国境内可依常规安全合法使用。货物为原厂商（制造商）全新包装，具出厂合格证，序列号、包装箱号与出厂批号一致，可追溯查阅；所有附带设备的附件需齐全。</w:t>
      </w:r>
    </w:p>
    <w:p>
      <w:pPr>
        <w:pStyle w:val="null3"/>
        <w:ind w:firstLine="480"/>
        <w:jc w:val="both"/>
      </w:pPr>
      <w:r>
        <w:rPr>
          <w:sz w:val="24"/>
        </w:rPr>
        <w:t>（</w:t>
      </w:r>
      <w:r>
        <w:rPr>
          <w:sz w:val="24"/>
        </w:rPr>
        <w:t>6）强制性认证与许可/认证符合性：</w:t>
      </w:r>
    </w:p>
    <w:p>
      <w:pPr>
        <w:pStyle w:val="null3"/>
        <w:ind w:firstLine="480"/>
        <w:jc w:val="both"/>
      </w:pPr>
      <w:r>
        <w:rPr>
          <w:sz w:val="24"/>
        </w:rPr>
        <w:t>★凡属于中国强制性产品认证目录（CCC目录）的产品，供货时必须提供相关证书复印件或自我声明的有效材料（提供在[http://cx.cnca.cn/查询的产品的证书编号及查询结果截图](http://cx.cnca.cn/查询的产品的证书编号及查询结果截图)）。</w:t>
      </w:r>
      <w:r>
        <w:rPr>
          <w:sz w:val="24"/>
        </w:rPr>
        <w:t>（</w:t>
      </w:r>
      <w:r>
        <w:rPr>
          <w:sz w:val="24"/>
        </w:rPr>
        <w:t>投标时提供承诺函，可参照</w:t>
      </w:r>
      <w:r>
        <w:rPr>
          <w:sz w:val="24"/>
        </w:rPr>
        <w:t>“投标文件格式”中《承诺函》格式。</w:t>
      </w:r>
      <w:r>
        <w:rPr>
          <w:sz w:val="24"/>
        </w:rPr>
        <w:t>）</w:t>
      </w:r>
    </w:p>
    <w:p>
      <w:pPr>
        <w:pStyle w:val="null3"/>
        <w:ind w:firstLine="480"/>
        <w:jc w:val="both"/>
      </w:pPr>
      <w:r>
        <w:rPr>
          <w:sz w:val="24"/>
        </w:rPr>
        <w:t>★凡所投产品列入国家互联网信息办公室会同工业和信息化部、公安部、国家认证认可监督管理委员会颁布的《网络关键设备和网络安全专用产品目录》的，所投产品在验收时须出具以下之一</w:t>
      </w:r>
      <w:r>
        <w:rPr>
          <w:sz w:val="24"/>
        </w:rPr>
        <w:t>（</w:t>
      </w:r>
      <w:r>
        <w:rPr>
          <w:sz w:val="24"/>
        </w:rPr>
        <w:t>投标时提供承诺函，可参照</w:t>
      </w:r>
      <w:r>
        <w:rPr>
          <w:sz w:val="24"/>
        </w:rPr>
        <w:t>“投标文件格式”中《承诺函》格式。</w:t>
      </w:r>
      <w:r>
        <w:rPr>
          <w:sz w:val="24"/>
        </w:rPr>
        <w:t>）</w:t>
      </w:r>
      <w:r>
        <w:rPr>
          <w:sz w:val="24"/>
        </w:rPr>
        <w:t>：</w:t>
      </w:r>
    </w:p>
    <w:p>
      <w:pPr>
        <w:pStyle w:val="null3"/>
        <w:ind w:firstLine="480"/>
        <w:jc w:val="both"/>
      </w:pPr>
      <w:r>
        <w:rPr>
          <w:sz w:val="24"/>
        </w:rPr>
        <w:t>①</w:t>
      </w:r>
      <w:r>
        <w:rPr>
          <w:sz w:val="21"/>
        </w:rPr>
        <w:t xml:space="preserve"> </w:t>
      </w:r>
      <w:r>
        <w:rPr>
          <w:sz w:val="24"/>
        </w:rPr>
        <w:t>有效期内的公安部监制的《计算机信息系统安全专用产品销售许可证》；</w:t>
      </w:r>
    </w:p>
    <w:p>
      <w:pPr>
        <w:pStyle w:val="null3"/>
        <w:ind w:firstLine="480"/>
        <w:jc w:val="both"/>
      </w:pPr>
      <w:r>
        <w:rPr>
          <w:sz w:val="24"/>
        </w:rPr>
        <w:t>②</w:t>
      </w:r>
      <w:r>
        <w:rPr>
          <w:sz w:val="21"/>
        </w:rPr>
        <w:t xml:space="preserve"> </w:t>
      </w:r>
      <w:r>
        <w:rPr>
          <w:sz w:val="24"/>
        </w:rPr>
        <w:t>提供产品符合《信息安全技术网络安全专用产品安全技术要求》等相关国家标准的强制性要求的机构安全认证合格或者安全检测符合要求的证明材料。</w:t>
      </w:r>
    </w:p>
    <w:p>
      <w:pPr>
        <w:pStyle w:val="null3"/>
        <w:ind w:firstLine="480"/>
        <w:jc w:val="both"/>
      </w:pPr>
      <w:r>
        <w:rPr>
          <w:sz w:val="24"/>
        </w:rPr>
        <w:t>注：上述</w:t>
      </w:r>
      <w:r>
        <w:rPr>
          <w:sz w:val="24"/>
        </w:rPr>
        <w:t>②所出具的认证或材料须由列入《承担网络关键设备和网络安全专用产品安全认证和安全检测任务机构名录》的机构出具方为有效认证或材料。</w:t>
      </w:r>
    </w:p>
    <w:p>
      <w:pPr>
        <w:pStyle w:val="null3"/>
        <w:ind w:firstLine="482"/>
        <w:jc w:val="both"/>
      </w:pPr>
      <w:r>
        <w:rPr>
          <w:sz w:val="24"/>
          <w:b/>
        </w:rPr>
        <w:t>2</w:t>
      </w:r>
      <w:r>
        <w:rPr>
          <w:sz w:val="24"/>
          <w:b/>
        </w:rPr>
        <w:t>、</w:t>
      </w:r>
      <w:r>
        <w:rPr>
          <w:sz w:val="24"/>
          <w:b/>
        </w:rPr>
        <w:t>验收条件</w:t>
      </w:r>
    </w:p>
    <w:p>
      <w:pPr>
        <w:pStyle w:val="null3"/>
        <w:ind w:firstLine="480"/>
        <w:jc w:val="both"/>
      </w:pPr>
      <w:r>
        <w:rPr>
          <w:sz w:val="24"/>
        </w:rPr>
        <w:t>供应商需完成以下工作并提交相关成果，方可提出验收申请：</w:t>
      </w:r>
    </w:p>
    <w:p>
      <w:pPr>
        <w:pStyle w:val="null3"/>
        <w:ind w:firstLine="480"/>
        <w:jc w:val="both"/>
      </w:pPr>
      <w:r>
        <w:rPr>
          <w:sz w:val="24"/>
        </w:rPr>
        <w:t>（</w:t>
      </w:r>
      <w:r>
        <w:rPr>
          <w:sz w:val="24"/>
        </w:rPr>
        <w:t>1）完成合同约定的所有工作内容，包括设备安装、配置、集成、调试、测试等。</w:t>
      </w:r>
    </w:p>
    <w:p>
      <w:pPr>
        <w:pStyle w:val="null3"/>
        <w:ind w:firstLine="480"/>
        <w:jc w:val="both"/>
      </w:pPr>
      <w:r>
        <w:rPr>
          <w:sz w:val="24"/>
        </w:rPr>
        <w:t>（</w:t>
      </w:r>
      <w:r>
        <w:rPr>
          <w:sz w:val="24"/>
        </w:rPr>
        <w:t>2）交付所有工作成果，包括系统集成方案、配置文档、操作手册、测试报告、培训资料、试运行报告等。</w:t>
      </w:r>
    </w:p>
    <w:p>
      <w:pPr>
        <w:pStyle w:val="null3"/>
        <w:ind w:firstLine="482"/>
        <w:jc w:val="both"/>
      </w:pPr>
      <w:r>
        <w:rPr>
          <w:sz w:val="24"/>
          <w:b/>
        </w:rPr>
        <w:t>3</w:t>
      </w:r>
      <w:r>
        <w:rPr>
          <w:sz w:val="24"/>
          <w:b/>
        </w:rPr>
        <w:t>、</w:t>
      </w:r>
      <w:r>
        <w:rPr>
          <w:sz w:val="24"/>
          <w:b/>
        </w:rPr>
        <w:t>验收方式</w:t>
      </w:r>
    </w:p>
    <w:p>
      <w:pPr>
        <w:pStyle w:val="null3"/>
        <w:ind w:firstLine="480"/>
        <w:jc w:val="both"/>
      </w:pPr>
      <w:r>
        <w:rPr>
          <w:sz w:val="24"/>
        </w:rPr>
        <w:t>本项目采用现场验收方式，具体流程如下：</w:t>
      </w:r>
    </w:p>
    <w:p>
      <w:pPr>
        <w:pStyle w:val="null3"/>
        <w:ind w:firstLine="480"/>
        <w:jc w:val="both"/>
      </w:pPr>
      <w:r>
        <w:rPr>
          <w:sz w:val="24"/>
        </w:rPr>
        <w:t>（</w:t>
      </w:r>
      <w:r>
        <w:rPr>
          <w:sz w:val="24"/>
        </w:rPr>
        <w:t>1）到货检验：货物运抵现场后，我院将组织相关人员对货物数量、质量、规格等进行初步检验。如发现货物与招标文件、投标文件或合同不符，我院有权要求供应商立即更换或提出索赔。</w:t>
      </w:r>
    </w:p>
    <w:p>
      <w:pPr>
        <w:pStyle w:val="null3"/>
        <w:ind w:firstLine="480"/>
        <w:jc w:val="both"/>
      </w:pPr>
      <w:r>
        <w:rPr>
          <w:sz w:val="24"/>
        </w:rPr>
        <w:t>（</w:t>
      </w:r>
      <w:r>
        <w:rPr>
          <w:sz w:val="24"/>
        </w:rPr>
        <w:t>2）安装后检验与验收申请：货物由供应商负责安装，安装完毕后，我院将对货物的数量、质量、规格、性能等进行详细而全面的检验。如软件需要安装、调试，则由供应商负责并承担相应的费用。安装完毕</w:t>
      </w:r>
      <w:r>
        <w:rPr>
          <w:sz w:val="24"/>
        </w:rPr>
        <w:t>，</w:t>
      </w:r>
      <w:r>
        <w:rPr>
          <w:sz w:val="24"/>
        </w:rPr>
        <w:t>并证明货物以及安装质量无任何问题，通过试运行后，供应商向我院正式提出验收申请。</w:t>
      </w:r>
    </w:p>
    <w:p>
      <w:pPr>
        <w:pStyle w:val="null3"/>
        <w:ind w:firstLine="480"/>
        <w:jc w:val="both"/>
      </w:pPr>
      <w:r>
        <w:rPr>
          <w:sz w:val="24"/>
        </w:rPr>
        <w:t>（</w:t>
      </w:r>
      <w:r>
        <w:rPr>
          <w:sz w:val="24"/>
        </w:rPr>
        <w:t>3）正式验收与验收报告：我院将在收到验收申请后组织相关人员进行正式验收，必要时可邀请第三方机构参与验收</w:t>
      </w:r>
      <w:r>
        <w:rPr>
          <w:sz w:val="24"/>
        </w:rPr>
        <w:t>(费用包含在合同款中）</w:t>
      </w:r>
      <w:r>
        <w:rPr>
          <w:sz w:val="24"/>
        </w:rPr>
        <w:t>。验收合格后，验收小组将签署验收报告，作为付款凭据之一。</w:t>
      </w:r>
    </w:p>
    <w:p>
      <w:pPr>
        <w:pStyle w:val="null3"/>
        <w:ind w:firstLine="482"/>
        <w:jc w:val="both"/>
      </w:pPr>
      <w:r>
        <w:rPr>
          <w:sz w:val="24"/>
          <w:b/>
        </w:rPr>
        <w:t>4</w:t>
      </w:r>
      <w:r>
        <w:rPr>
          <w:sz w:val="24"/>
          <w:b/>
        </w:rPr>
        <w:t>、</w:t>
      </w:r>
      <w:r>
        <w:rPr>
          <w:sz w:val="24"/>
          <w:b/>
        </w:rPr>
        <w:t>验收期限</w:t>
      </w:r>
    </w:p>
    <w:p>
      <w:pPr>
        <w:pStyle w:val="null3"/>
        <w:ind w:firstLine="480"/>
        <w:jc w:val="both"/>
      </w:pPr>
      <w:r>
        <w:rPr>
          <w:sz w:val="24"/>
        </w:rPr>
        <w:t>本项目验收应在合同签订之日起</w:t>
      </w:r>
      <w:r>
        <w:rPr>
          <w:sz w:val="24"/>
        </w:rPr>
        <w:t>3个月内</w:t>
      </w:r>
      <w:r>
        <w:rPr>
          <w:sz w:val="24"/>
        </w:rPr>
        <w:t>提交验收申请</w:t>
      </w:r>
      <w:r>
        <w:rPr>
          <w:sz w:val="24"/>
        </w:rPr>
        <w:t>。</w:t>
      </w:r>
    </w:p>
    <w:p>
      <w:pPr>
        <w:pStyle w:val="null3"/>
        <w:ind w:firstLine="482"/>
        <w:jc w:val="both"/>
      </w:pPr>
      <w:r>
        <w:rPr>
          <w:sz w:val="24"/>
          <w:b/>
        </w:rPr>
        <w:t>5</w:t>
      </w:r>
      <w:r>
        <w:rPr>
          <w:sz w:val="24"/>
          <w:b/>
        </w:rPr>
        <w:t>、</w:t>
      </w:r>
      <w:r>
        <w:rPr>
          <w:sz w:val="24"/>
          <w:b/>
        </w:rPr>
        <w:t>验收前置审核</w:t>
      </w:r>
    </w:p>
    <w:p>
      <w:pPr>
        <w:pStyle w:val="null3"/>
        <w:ind w:firstLine="480"/>
        <w:jc w:val="both"/>
      </w:pPr>
      <w:r>
        <w:rPr>
          <w:sz w:val="24"/>
        </w:rPr>
        <w:t>供应商在完成本项目系统测试工作并交付所有工作成果后，应正式提交该项目的验收申请。在通过验收前置审核后，我院将组织相关验收工作。在此期间，供应商必须依据我院的具体要求，完整提交与本项目验收前置审核相关的全部成果资料，从而有力保障验收流程得以顺利推进。</w:t>
      </w:r>
    </w:p>
    <w:p>
      <w:pPr>
        <w:pStyle w:val="null3"/>
        <w:jc w:val="both"/>
        <w:outlineLvl w:val="1"/>
      </w:pPr>
      <w:r>
        <w:rPr>
          <w:sz w:val="24"/>
          <w:b/>
        </w:rPr>
        <w:t>（</w:t>
      </w:r>
      <w:r>
        <w:rPr>
          <w:sz w:val="24"/>
          <w:b/>
        </w:rPr>
        <w:t>八</w:t>
      </w:r>
      <w:r>
        <w:rPr>
          <w:sz w:val="24"/>
          <w:b/>
        </w:rPr>
        <w:t>）</w:t>
      </w:r>
      <w:r>
        <w:rPr>
          <w:sz w:val="24"/>
          <w:b/>
        </w:rPr>
        <w:t>培训要求</w:t>
      </w:r>
    </w:p>
    <w:p>
      <w:pPr>
        <w:pStyle w:val="null3"/>
        <w:ind w:firstLine="480"/>
        <w:jc w:val="left"/>
      </w:pPr>
      <w:r>
        <w:rPr>
          <w:sz w:val="24"/>
        </w:rPr>
        <w:t>1.培训内容：本次采购设备的安装、维护、系统管理专业培训。</w:t>
      </w:r>
    </w:p>
    <w:p>
      <w:pPr>
        <w:pStyle w:val="null3"/>
        <w:ind w:firstLine="480"/>
        <w:jc w:val="left"/>
      </w:pPr>
      <w:r>
        <w:rPr>
          <w:sz w:val="24"/>
        </w:rPr>
        <w:t>2.培训地点和方式：广东省国土资源测绘院，现场培训。</w:t>
      </w:r>
    </w:p>
    <w:p>
      <w:pPr>
        <w:pStyle w:val="null3"/>
        <w:ind w:firstLine="480"/>
        <w:jc w:val="left"/>
      </w:pPr>
      <w:r>
        <w:rPr>
          <w:sz w:val="24"/>
        </w:rPr>
        <w:t>3.培训要求：需有厂家提供的原厂培训，有原厂资格认证培训的需提供原厂认证培训以保证培训质量。</w:t>
      </w:r>
    </w:p>
    <w:p>
      <w:pPr>
        <w:pStyle w:val="null3"/>
        <w:ind w:firstLine="480"/>
        <w:jc w:val="left"/>
      </w:pPr>
      <w:r>
        <w:rPr>
          <w:sz w:val="24"/>
        </w:rPr>
        <w:t>4.培训时长：培训人数≥6人，时间≥1个工作日，次数≥</w:t>
      </w:r>
      <w:r>
        <w:rPr>
          <w:sz w:val="24"/>
        </w:rPr>
        <w:t>1</w:t>
      </w:r>
      <w:r>
        <w:rPr>
          <w:sz w:val="24"/>
        </w:rPr>
        <w:t>次。</w:t>
      </w:r>
    </w:p>
    <w:p>
      <w:pPr>
        <w:pStyle w:val="null3"/>
        <w:jc w:val="both"/>
        <w:outlineLvl w:val="1"/>
      </w:pPr>
      <w:r>
        <w:rPr>
          <w:sz w:val="24"/>
          <w:b/>
        </w:rPr>
        <w:t>（</w:t>
      </w:r>
      <w:r>
        <w:rPr>
          <w:sz w:val="24"/>
          <w:b/>
        </w:rPr>
        <w:t>九</w:t>
      </w:r>
      <w:r>
        <w:rPr>
          <w:sz w:val="24"/>
          <w:b/>
        </w:rPr>
        <w:t>）</w:t>
      </w:r>
      <w:r>
        <w:rPr>
          <w:sz w:val="24"/>
          <w:b/>
        </w:rPr>
        <w:t>交付要求</w:t>
      </w:r>
    </w:p>
    <w:p>
      <w:pPr>
        <w:pStyle w:val="null3"/>
        <w:ind w:firstLine="480"/>
        <w:jc w:val="both"/>
      </w:pPr>
      <w:r>
        <w:rPr>
          <w:sz w:val="24"/>
        </w:rPr>
        <w:t>为确保本项目采购的桌面云平台及相关设备能够及时、完整地交付，并顺利投入使用，特制定以下交付要求：</w:t>
      </w:r>
    </w:p>
    <w:p>
      <w:pPr>
        <w:pStyle w:val="null3"/>
        <w:ind w:firstLine="480"/>
        <w:jc w:val="left"/>
      </w:pPr>
      <w:r>
        <w:rPr>
          <w:sz w:val="24"/>
        </w:rPr>
        <w:t>1、交付时间：供应商应按照合同约定的时间完成所有设备和软件的交付。如因特殊原因需要延期交付，应提前与我院协商并达成一致，并以书面形式确认。</w:t>
      </w:r>
    </w:p>
    <w:p>
      <w:pPr>
        <w:pStyle w:val="null3"/>
        <w:ind w:firstLine="480"/>
        <w:jc w:val="left"/>
      </w:pPr>
      <w:r>
        <w:rPr>
          <w:sz w:val="24"/>
        </w:rPr>
        <w:t>2、交付地点：</w:t>
      </w:r>
      <w:r>
        <w:rPr>
          <w:sz w:val="24"/>
          <w:b/>
        </w:rPr>
        <w:t>广东省广州市黄埔区光谱中路</w:t>
      </w:r>
      <w:r>
        <w:rPr>
          <w:sz w:val="24"/>
          <w:b/>
        </w:rPr>
        <w:t>13号</w:t>
      </w:r>
      <w:r>
        <w:rPr>
          <w:sz w:val="24"/>
        </w:rPr>
        <w:t>。</w:t>
      </w:r>
    </w:p>
    <w:p>
      <w:pPr>
        <w:pStyle w:val="null3"/>
        <w:ind w:firstLine="480"/>
        <w:jc w:val="left"/>
      </w:pPr>
      <w:r>
        <w:rPr>
          <w:sz w:val="24"/>
        </w:rPr>
        <w:t>3、交付内容：供应商应交付以下内容：</w:t>
      </w:r>
    </w:p>
    <w:p>
      <w:pPr>
        <w:pStyle w:val="null3"/>
        <w:ind w:firstLine="480"/>
        <w:jc w:val="left"/>
      </w:pPr>
      <w:r>
        <w:rPr>
          <w:sz w:val="24"/>
        </w:rPr>
        <w:t>（</w:t>
      </w:r>
      <w:r>
        <w:rPr>
          <w:sz w:val="24"/>
        </w:rPr>
        <w:t>1）所有硬件设备：包括服务器、瘦客户机/零客户机、核心交换机、接入交换机、上网行为管理设备等，并提供原厂包装、装箱清单、合格证等相关资料。</w:t>
      </w:r>
    </w:p>
    <w:p>
      <w:pPr>
        <w:pStyle w:val="null3"/>
        <w:ind w:firstLine="480"/>
        <w:jc w:val="left"/>
      </w:pPr>
      <w:r>
        <w:rPr>
          <w:sz w:val="24"/>
        </w:rPr>
        <w:t>（</w:t>
      </w:r>
      <w:r>
        <w:rPr>
          <w:sz w:val="24"/>
        </w:rPr>
        <w:t>2）所有软件：包括桌面云软件、操作系统、网络流量监控软件等，并提供软件许可证书、安装介质、用户手册等相关资料。</w:t>
      </w:r>
    </w:p>
    <w:p>
      <w:pPr>
        <w:pStyle w:val="null3"/>
        <w:ind w:firstLine="480"/>
        <w:jc w:val="left"/>
      </w:pPr>
      <w:r>
        <w:rPr>
          <w:sz w:val="24"/>
        </w:rPr>
        <w:t>（</w:t>
      </w:r>
      <w:r>
        <w:rPr>
          <w:sz w:val="24"/>
        </w:rPr>
        <w:t>3）所有文档资料：包括系统集成方案、配置文档、操作手册、测试报告、培训资料等，并提供电子版和纸质版。</w:t>
      </w:r>
    </w:p>
    <w:p>
      <w:pPr>
        <w:pStyle w:val="null3"/>
        <w:ind w:firstLine="480"/>
        <w:jc w:val="left"/>
      </w:pPr>
      <w:r>
        <w:rPr>
          <w:sz w:val="24"/>
        </w:rPr>
        <w:t>4、交付方式：供应商应负责将设备安全、完整地运送至指定地点，并承担相关的运输、保险等费用。卸货和搬运工作由供应商负责，我院予以配合。</w:t>
      </w:r>
    </w:p>
    <w:p>
      <w:pPr>
        <w:pStyle w:val="null3"/>
        <w:ind w:firstLine="480"/>
        <w:jc w:val="left"/>
      </w:pPr>
      <w:r>
        <w:rPr>
          <w:sz w:val="24"/>
        </w:rPr>
        <w:t>5、到货检验：货物到达指定地点后，我院将组织相关人员进行初步检验，核对货物的数量、型号、规格等是否与合同约定一致。如发现货物存在短缺、损坏或与合同不符等情况，我院有权拒绝接收，并要求供应商及时更换或补发。</w:t>
      </w:r>
    </w:p>
    <w:p>
      <w:pPr>
        <w:pStyle w:val="null3"/>
        <w:ind w:firstLine="480"/>
        <w:jc w:val="left"/>
      </w:pPr>
      <w:r>
        <w:rPr>
          <w:sz w:val="24"/>
        </w:rPr>
        <w:t>6、交付清单：供应商在交付时应提供详细的交付清单，包括货物名称、型号、数量、序列号、生产日期等信息，并由双方代表签字确认。</w:t>
      </w:r>
    </w:p>
    <w:p>
      <w:pPr>
        <w:pStyle w:val="null3"/>
        <w:jc w:val="both"/>
        <w:outlineLvl w:val="1"/>
      </w:pPr>
      <w:r>
        <w:rPr>
          <w:sz w:val="24"/>
          <w:b/>
        </w:rPr>
        <w:t>（</w:t>
      </w:r>
      <w:r>
        <w:rPr>
          <w:sz w:val="24"/>
          <w:b/>
        </w:rPr>
        <w:t>十</w:t>
      </w:r>
      <w:r>
        <w:rPr>
          <w:sz w:val="24"/>
          <w:b/>
        </w:rPr>
        <w:t>）</w:t>
      </w:r>
      <w:r>
        <w:rPr>
          <w:sz w:val="24"/>
          <w:b/>
        </w:rPr>
        <w:t>售后</w:t>
      </w:r>
      <w:r>
        <w:rPr>
          <w:sz w:val="24"/>
          <w:b/>
        </w:rPr>
        <w:t>要求</w:t>
      </w:r>
    </w:p>
    <w:p>
      <w:pPr>
        <w:pStyle w:val="null3"/>
        <w:ind w:firstLine="480"/>
        <w:jc w:val="both"/>
      </w:pPr>
      <w:r>
        <w:rPr>
          <w:sz w:val="24"/>
        </w:rPr>
        <w:t>为保障本项目采购的桌面云平台及相关设备在投入使用后能够长期稳定运行，并及时解决可能出现的各种问题，特制定以下售后要求</w:t>
      </w:r>
      <w:r>
        <w:rPr>
          <w:sz w:val="24"/>
        </w:rPr>
        <w:t>（所有费用均已包含在报价内）</w:t>
      </w:r>
      <w:r>
        <w:rPr>
          <w:sz w:val="24"/>
        </w:rPr>
        <w:t>：</w:t>
      </w:r>
    </w:p>
    <w:p>
      <w:pPr>
        <w:pStyle w:val="null3"/>
        <w:ind w:firstLine="480"/>
        <w:jc w:val="both"/>
      </w:pPr>
      <w:r>
        <w:rPr>
          <w:sz w:val="24"/>
        </w:rPr>
        <w:t>1</w:t>
      </w:r>
      <w:r>
        <w:rPr>
          <w:sz w:val="24"/>
        </w:rPr>
        <w:t>、</w:t>
      </w:r>
      <w:r>
        <w:rPr>
          <w:sz w:val="24"/>
        </w:rPr>
        <w:t>售后服务期限：自项目终验合格之日起，供应商应提供至少一年的售后服务。若本项目其他指标要求中对货物的售后服务时间有更长要求的，则以指标要求为准。</w:t>
      </w:r>
    </w:p>
    <w:p>
      <w:pPr>
        <w:pStyle w:val="null3"/>
        <w:ind w:firstLine="480"/>
        <w:jc w:val="both"/>
      </w:pPr>
      <w:r>
        <w:rPr>
          <w:sz w:val="24"/>
        </w:rPr>
        <w:t>2</w:t>
      </w:r>
      <w:r>
        <w:rPr>
          <w:sz w:val="24"/>
        </w:rPr>
        <w:t>、</w:t>
      </w:r>
      <w:r>
        <w:rPr>
          <w:sz w:val="24"/>
        </w:rPr>
        <w:t>服务内容：售后服务内容包括但不限于：</w:t>
      </w:r>
    </w:p>
    <w:p>
      <w:pPr>
        <w:pStyle w:val="null3"/>
        <w:ind w:firstLine="480"/>
        <w:jc w:val="both"/>
      </w:pPr>
      <w:r>
        <w:rPr>
          <w:sz w:val="24"/>
        </w:rPr>
        <w:t>（</w:t>
      </w:r>
      <w:r>
        <w:rPr>
          <w:sz w:val="24"/>
        </w:rPr>
        <w:t>1</w:t>
      </w:r>
      <w:r>
        <w:rPr>
          <w:sz w:val="24"/>
        </w:rPr>
        <w:t>）</w:t>
      </w:r>
      <w:r>
        <w:rPr>
          <w:sz w:val="24"/>
        </w:rPr>
        <w:t>技术支持：提供</w:t>
      </w:r>
      <w:r>
        <w:rPr>
          <w:sz w:val="24"/>
        </w:rPr>
        <w:t>7×24小时技术支持服务，包括电话、邮件、远程协助等多种方式，及时响应并解决用户在使用过程中遇到的问题。</w:t>
      </w:r>
    </w:p>
    <w:p>
      <w:pPr>
        <w:pStyle w:val="null3"/>
        <w:ind w:firstLine="480"/>
        <w:jc w:val="both"/>
      </w:pPr>
      <w:r>
        <w:rPr>
          <w:sz w:val="24"/>
        </w:rPr>
        <w:t>（</w:t>
      </w:r>
      <w:r>
        <w:rPr>
          <w:sz w:val="24"/>
        </w:rPr>
        <w:t>2</w:t>
      </w:r>
      <w:r>
        <w:rPr>
          <w:sz w:val="24"/>
        </w:rPr>
        <w:t>）</w:t>
      </w:r>
      <w:r>
        <w:rPr>
          <w:sz w:val="24"/>
        </w:rPr>
        <w:t>故障排除：负责对系统和设备出现的故障进行诊断和排除，并提供必要的维修或更换服务。</w:t>
      </w:r>
    </w:p>
    <w:p>
      <w:pPr>
        <w:pStyle w:val="null3"/>
        <w:ind w:firstLine="480"/>
        <w:jc w:val="both"/>
      </w:pPr>
      <w:r>
        <w:rPr>
          <w:sz w:val="24"/>
        </w:rPr>
        <w:t>（</w:t>
      </w:r>
      <w:r>
        <w:rPr>
          <w:sz w:val="24"/>
        </w:rPr>
        <w:t>3</w:t>
      </w:r>
      <w:r>
        <w:rPr>
          <w:sz w:val="24"/>
        </w:rPr>
        <w:t>）</w:t>
      </w:r>
      <w:r>
        <w:rPr>
          <w:sz w:val="24"/>
        </w:rPr>
        <w:t>软件升级和补丁：及时提供软件的升级版本和安全补丁，以修复已知漏洞，提高系统安全性。</w:t>
      </w:r>
    </w:p>
    <w:p>
      <w:pPr>
        <w:pStyle w:val="null3"/>
        <w:ind w:firstLine="480"/>
        <w:jc w:val="both"/>
      </w:pPr>
      <w:r>
        <w:rPr>
          <w:sz w:val="24"/>
        </w:rPr>
        <w:t>（</w:t>
      </w:r>
      <w:r>
        <w:rPr>
          <w:sz w:val="24"/>
        </w:rPr>
        <w:t>4</w:t>
      </w:r>
      <w:r>
        <w:rPr>
          <w:sz w:val="24"/>
        </w:rPr>
        <w:t>）</w:t>
      </w:r>
      <w:r>
        <w:rPr>
          <w:sz w:val="24"/>
        </w:rPr>
        <w:t>系统巡检：定期对系统进行巡检，检查系统运行状态，及时发现并解决潜在问题，防患于未然。</w:t>
      </w:r>
    </w:p>
    <w:p>
      <w:pPr>
        <w:pStyle w:val="null3"/>
        <w:ind w:firstLine="480"/>
        <w:jc w:val="both"/>
      </w:pPr>
      <w:r>
        <w:rPr>
          <w:sz w:val="24"/>
        </w:rPr>
        <w:t>（</w:t>
      </w:r>
      <w:r>
        <w:rPr>
          <w:sz w:val="24"/>
        </w:rPr>
        <w:t>5</w:t>
      </w:r>
      <w:r>
        <w:rPr>
          <w:sz w:val="24"/>
        </w:rPr>
        <w:t>）</w:t>
      </w:r>
      <w:r>
        <w:rPr>
          <w:sz w:val="24"/>
        </w:rPr>
        <w:t>备品备件：供应商应提供必要的备品备件，以保证在设备发生故障时能够及时更换，最大程度地减少对业务的影响。</w:t>
      </w:r>
    </w:p>
    <w:p>
      <w:pPr>
        <w:pStyle w:val="null3"/>
        <w:ind w:firstLine="480"/>
        <w:jc w:val="left"/>
      </w:pPr>
      <w:r>
        <w:rPr>
          <w:sz w:val="24"/>
          <w:color w:val="000000"/>
        </w:rPr>
        <w:t>★</w:t>
      </w:r>
      <w:r>
        <w:rPr>
          <w:sz w:val="24"/>
        </w:rPr>
        <w:t>3、</w:t>
      </w:r>
      <w:r>
        <w:rPr>
          <w:sz w:val="24"/>
        </w:rPr>
        <w:t>服务响应时间：供应商应承诺在接到我院的故障报修后，在规定的时间内做出响应并采取相应的措施。具体响应时间要求如下</w:t>
      </w:r>
      <w:r>
        <w:rPr>
          <w:sz w:val="24"/>
        </w:rPr>
        <w:t>（</w:t>
      </w:r>
      <w:r>
        <w:rPr>
          <w:sz w:val="24"/>
        </w:rPr>
        <w:t>投标时</w:t>
      </w:r>
      <w:r>
        <w:rPr>
          <w:sz w:val="24"/>
        </w:rPr>
        <w:t>提供承诺函，可参照</w:t>
      </w:r>
      <w:r>
        <w:rPr>
          <w:sz w:val="24"/>
        </w:rPr>
        <w:t>“投标文件格式与要求”中《承诺函》格式）</w:t>
      </w:r>
      <w:r>
        <w:rPr>
          <w:sz w:val="24"/>
        </w:rPr>
        <w:t>：</w:t>
      </w:r>
    </w:p>
    <w:p>
      <w:pPr>
        <w:pStyle w:val="null3"/>
        <w:ind w:firstLine="480"/>
        <w:jc w:val="both"/>
      </w:pPr>
      <w:r>
        <w:rPr>
          <w:sz w:val="24"/>
        </w:rPr>
        <w:t>（</w:t>
      </w:r>
      <w:r>
        <w:rPr>
          <w:sz w:val="24"/>
        </w:rPr>
        <w:t>1</w:t>
      </w:r>
      <w:r>
        <w:rPr>
          <w:sz w:val="24"/>
        </w:rPr>
        <w:t>）</w:t>
      </w:r>
      <w:r>
        <w:rPr>
          <w:sz w:val="24"/>
        </w:rPr>
        <w:t>重大故障：</w:t>
      </w:r>
      <w:r>
        <w:rPr>
          <w:sz w:val="24"/>
        </w:rPr>
        <w:t>2小时内响应，4小时内到达现场（如需要），并尽快解决问题。</w:t>
      </w:r>
    </w:p>
    <w:p>
      <w:pPr>
        <w:pStyle w:val="null3"/>
        <w:ind w:firstLine="480"/>
        <w:jc w:val="both"/>
      </w:pPr>
      <w:r>
        <w:rPr>
          <w:sz w:val="24"/>
        </w:rPr>
        <w:t>（</w:t>
      </w:r>
      <w:r>
        <w:rPr>
          <w:sz w:val="24"/>
        </w:rPr>
        <w:t>2</w:t>
      </w:r>
      <w:r>
        <w:rPr>
          <w:sz w:val="24"/>
        </w:rPr>
        <w:t>）</w:t>
      </w:r>
      <w:r>
        <w:rPr>
          <w:sz w:val="24"/>
        </w:rPr>
        <w:t>一般故障：</w:t>
      </w:r>
      <w:r>
        <w:rPr>
          <w:sz w:val="24"/>
        </w:rPr>
        <w:t>4小时内响应，8小时内到达现场（如需要），并在24小时内解决问题。</w:t>
      </w:r>
    </w:p>
    <w:p>
      <w:pPr>
        <w:pStyle w:val="null3"/>
        <w:ind w:firstLine="480"/>
        <w:jc w:val="both"/>
      </w:pPr>
      <w:r>
        <w:rPr>
          <w:sz w:val="24"/>
        </w:rPr>
        <w:t>4</w:t>
      </w:r>
      <w:r>
        <w:rPr>
          <w:sz w:val="24"/>
        </w:rPr>
        <w:t>、</w:t>
      </w:r>
      <w:r>
        <w:rPr>
          <w:sz w:val="24"/>
        </w:rPr>
        <w:t>服务报告：供应商应定期向我院提供服务报告，包括故障记录、处理情况、系统运行状态等信息，以便我院了解系统的运行情况。。</w:t>
      </w:r>
    </w:p>
    <w:p>
      <w:pPr>
        <w:pStyle w:val="null3"/>
        <w:ind w:firstLine="482"/>
        <w:jc w:val="both"/>
      </w:pPr>
      <w:r>
        <w:rPr>
          <w:sz w:val="24"/>
          <w:b/>
        </w:rPr>
        <w:t>联系方式：供应商应提供负责售后服务的联系人（联系人：</w:t>
      </w:r>
      <w:r>
        <w:rPr>
          <w:sz w:val="21"/>
          <w:b/>
          <w:u w:val="single"/>
        </w:rPr>
        <w:t xml:space="preserve"> </w:t>
      </w:r>
      <w:r>
        <w:rPr>
          <w:sz w:val="22"/>
          <w:i/>
          <w:u w:val="single"/>
        </w:rPr>
        <w:t>（投标人填写）</w:t>
      </w:r>
      <w:r>
        <w:rPr>
          <w:sz w:val="21"/>
          <w:b/>
          <w:u w:val="single"/>
        </w:rPr>
        <w:t xml:space="preserve">  </w:t>
      </w:r>
      <w:r>
        <w:rPr>
          <w:sz w:val="21"/>
          <w:b/>
        </w:rPr>
        <w:t xml:space="preserve"> </w:t>
      </w:r>
      <w:r>
        <w:rPr>
          <w:sz w:val="24"/>
          <w:b/>
        </w:rPr>
        <w:t>电话：</w:t>
      </w:r>
      <w:r>
        <w:rPr>
          <w:sz w:val="21"/>
          <w:b/>
          <w:u w:val="single"/>
        </w:rPr>
        <w:t xml:space="preserve">  </w:t>
      </w:r>
      <w:r>
        <w:rPr>
          <w:sz w:val="22"/>
          <w:i/>
          <w:u w:val="single"/>
        </w:rPr>
        <w:t>（投标人填写）</w:t>
      </w:r>
      <w:r>
        <w:rPr>
          <w:sz w:val="21"/>
          <w:b/>
          <w:u w:val="single"/>
        </w:rPr>
        <w:t xml:space="preserve">  </w:t>
      </w:r>
      <w:r>
        <w:rPr>
          <w:sz w:val="24"/>
          <w:b/>
        </w:rPr>
        <w:t>）</w:t>
      </w:r>
    </w:p>
    <w:p>
      <w:pPr>
        <w:pStyle w:val="null3"/>
        <w:jc w:val="both"/>
        <w:outlineLvl w:val="1"/>
      </w:pPr>
      <w:r>
        <w:rPr>
          <w:sz w:val="28"/>
          <w:b/>
        </w:rPr>
        <w:t>（</w:t>
      </w:r>
      <w:r>
        <w:rPr>
          <w:sz w:val="24"/>
          <w:b/>
        </w:rPr>
        <w:t>十一）</w:t>
      </w:r>
      <w:r>
        <w:rPr>
          <w:sz w:val="24"/>
          <w:b/>
        </w:rPr>
        <w:t>权属要求</w:t>
      </w:r>
    </w:p>
    <w:p>
      <w:pPr>
        <w:pStyle w:val="null3"/>
        <w:ind w:firstLine="480"/>
        <w:jc w:val="both"/>
      </w:pPr>
      <w:r>
        <w:rPr>
          <w:sz w:val="24"/>
        </w:rPr>
        <w:t>为明确本项目涉及的各项资产和知识产权的归属，保障我院的合法权益，特制定以下权属要求：</w:t>
      </w:r>
    </w:p>
    <w:p>
      <w:pPr>
        <w:pStyle w:val="null3"/>
        <w:ind w:firstLine="480"/>
        <w:jc w:val="both"/>
      </w:pPr>
      <w:r>
        <w:rPr>
          <w:sz w:val="24"/>
        </w:rPr>
        <w:t>1</w:t>
      </w:r>
      <w:r>
        <w:rPr>
          <w:sz w:val="24"/>
        </w:rPr>
        <w:t>、</w:t>
      </w:r>
      <w:r>
        <w:rPr>
          <w:sz w:val="24"/>
        </w:rPr>
        <w:t>硬件设备所有权：本项目采购的所有硬件设备（包括服务器、</w:t>
      </w:r>
      <w:r>
        <w:rPr>
          <w:sz w:val="24"/>
        </w:rPr>
        <w:t>终端</w:t>
      </w:r>
      <w:r>
        <w:rPr>
          <w:sz w:val="24"/>
        </w:rPr>
        <w:t>、核心交换机、接入交换机、上网行为管理设备等），其所有权自验收合格并完成付款后归</w:t>
      </w:r>
      <w:r>
        <w:rPr>
          <w:sz w:val="24"/>
        </w:rPr>
        <w:t>我</w:t>
      </w:r>
      <w:r>
        <w:rPr>
          <w:sz w:val="24"/>
        </w:rPr>
        <w:t>院所有。</w:t>
      </w:r>
    </w:p>
    <w:p>
      <w:pPr>
        <w:pStyle w:val="null3"/>
        <w:ind w:firstLine="480"/>
        <w:jc w:val="both"/>
      </w:pPr>
      <w:r>
        <w:rPr>
          <w:sz w:val="24"/>
        </w:rPr>
        <w:t>2</w:t>
      </w:r>
      <w:r>
        <w:rPr>
          <w:sz w:val="24"/>
        </w:rPr>
        <w:t>、</w:t>
      </w:r>
      <w:r>
        <w:rPr>
          <w:sz w:val="24"/>
        </w:rPr>
        <w:t>软件著作权和使用权：本项目采购的所有软件（包括桌面云软件、操作系统、网络流量监控软件等），其著作权归原软件厂商所有。我院获得相应软件的合法使用权，使用范围应符合软件许可协议的约定。供应商应保证所提供的软件为正版软件，并提供合法的授权许可证明。</w:t>
      </w:r>
    </w:p>
    <w:p>
      <w:pPr>
        <w:pStyle w:val="null3"/>
        <w:ind w:firstLine="480"/>
        <w:jc w:val="both"/>
      </w:pPr>
      <w:r>
        <w:rPr>
          <w:sz w:val="24"/>
        </w:rPr>
        <w:t>3</w:t>
      </w:r>
      <w:r>
        <w:rPr>
          <w:sz w:val="24"/>
        </w:rPr>
        <w:t>、</w:t>
      </w:r>
      <w:r>
        <w:rPr>
          <w:sz w:val="24"/>
        </w:rPr>
        <w:t>项目成果所有权：本项目实施过程中形成的所有文档、方案、报告等成果资料，其所有权归</w:t>
      </w:r>
      <w:r>
        <w:rPr>
          <w:sz w:val="24"/>
        </w:rPr>
        <w:t>我</w:t>
      </w:r>
      <w:r>
        <w:rPr>
          <w:sz w:val="24"/>
        </w:rPr>
        <w:t>院所有。供应商不得擅自复制、传播或用于其他商业用途。</w:t>
      </w:r>
    </w:p>
    <w:p>
      <w:pPr>
        <w:pStyle w:val="null3"/>
        <w:ind w:firstLine="480"/>
        <w:jc w:val="both"/>
      </w:pPr>
      <w:r>
        <w:rPr>
          <w:sz w:val="24"/>
        </w:rPr>
        <w:t>4</w:t>
      </w:r>
      <w:r>
        <w:rPr>
          <w:sz w:val="24"/>
        </w:rPr>
        <w:t>、</w:t>
      </w:r>
      <w:r>
        <w:rPr>
          <w:sz w:val="24"/>
        </w:rPr>
        <w:t>知识产权：供应商应保证其提供的产品和服务不侵犯任何第三方的知识产权。如因供应商提供的产品或服务引起知识产权纠纷，由供应商承担全部责任。</w:t>
      </w:r>
    </w:p>
    <w:p>
      <w:pPr>
        <w:pStyle w:val="null3"/>
        <w:jc w:val="both"/>
        <w:outlineLvl w:val="1"/>
      </w:pPr>
      <w:r>
        <w:rPr>
          <w:sz w:val="24"/>
          <w:b/>
        </w:rPr>
        <w:t>（十二）</w:t>
      </w:r>
      <w:r>
        <w:rPr>
          <w:sz w:val="24"/>
          <w:b/>
        </w:rPr>
        <w:t>保密要求</w:t>
      </w:r>
    </w:p>
    <w:p>
      <w:pPr>
        <w:pStyle w:val="null3"/>
        <w:ind w:firstLine="480"/>
        <w:jc w:val="left"/>
      </w:pPr>
      <w:r>
        <w:rPr>
          <w:sz w:val="24"/>
        </w:rPr>
        <w:t>1</w:t>
      </w:r>
      <w:r>
        <w:rPr>
          <w:sz w:val="24"/>
        </w:rPr>
        <w:t>、</w:t>
      </w:r>
      <w:r>
        <w:rPr>
          <w:sz w:val="24"/>
        </w:rPr>
        <w:t>供应商</w:t>
      </w:r>
      <w:r>
        <w:rPr>
          <w:sz w:val="24"/>
        </w:rPr>
        <w:t>需签订保密协议，对其因身份、职务、职业或技术关系而知悉的</w:t>
      </w:r>
      <w:r>
        <w:rPr>
          <w:sz w:val="24"/>
        </w:rPr>
        <w:t>采购人</w:t>
      </w:r>
      <w:r>
        <w:rPr>
          <w:sz w:val="24"/>
        </w:rPr>
        <w:t>商业秘密和党政机关保密信息应严格保守，保证不被披露或使用，包括意外或过失。</w:t>
      </w:r>
    </w:p>
    <w:p>
      <w:pPr>
        <w:pStyle w:val="null3"/>
        <w:ind w:firstLine="480"/>
        <w:jc w:val="left"/>
      </w:pPr>
      <w:r>
        <w:rPr>
          <w:sz w:val="24"/>
        </w:rPr>
        <w:t>2</w:t>
      </w:r>
      <w:r>
        <w:rPr>
          <w:sz w:val="24"/>
        </w:rPr>
        <w:t>、</w:t>
      </w:r>
      <w:r>
        <w:rPr>
          <w:sz w:val="24"/>
        </w:rPr>
        <w:t>供应商</w:t>
      </w:r>
      <w:r>
        <w:rPr>
          <w:sz w:val="24"/>
        </w:rPr>
        <w:t>不得以竞争为目的、或出于私利、或为第三人谋利而擅自保存、披露、使用</w:t>
      </w:r>
      <w:r>
        <w:rPr>
          <w:sz w:val="24"/>
        </w:rPr>
        <w:t>采购人</w:t>
      </w:r>
      <w:r>
        <w:rPr>
          <w:sz w:val="24"/>
        </w:rPr>
        <w:t>商业秘密和党政机关保密信息；不得直接或间接地向无关人员泄露</w:t>
      </w:r>
      <w:r>
        <w:rPr>
          <w:sz w:val="24"/>
        </w:rPr>
        <w:t>采购人</w:t>
      </w:r>
      <w:r>
        <w:rPr>
          <w:sz w:val="24"/>
        </w:rPr>
        <w:t>的商业秘密和党政机关保密信息；不得向不承担保密义务的任何第三人披露</w:t>
      </w:r>
      <w:r>
        <w:rPr>
          <w:sz w:val="24"/>
        </w:rPr>
        <w:t>采购人</w:t>
      </w:r>
      <w:r>
        <w:rPr>
          <w:sz w:val="24"/>
        </w:rPr>
        <w:t>的商业秘密和党政机关保密信息。</w:t>
      </w:r>
      <w:r>
        <w:rPr>
          <w:sz w:val="24"/>
        </w:rPr>
        <w:t>供应商</w:t>
      </w:r>
      <w:r>
        <w:rPr>
          <w:sz w:val="24"/>
        </w:rPr>
        <w:t>在从事政府项目时，不得擅自记录、复制、拍摄、摘抄、收藏在工作中涉及的保密信息，严禁将涉及政府项目的任何资料、数据透露或以其他方式提供给项目以外的其他方或</w:t>
      </w:r>
      <w:r>
        <w:rPr>
          <w:sz w:val="24"/>
        </w:rPr>
        <w:t>供应商</w:t>
      </w:r>
      <w:r>
        <w:rPr>
          <w:sz w:val="24"/>
        </w:rPr>
        <w:t>内部与该项目无关的任何人员。</w:t>
      </w:r>
    </w:p>
    <w:p>
      <w:pPr>
        <w:pStyle w:val="null3"/>
        <w:ind w:firstLine="480"/>
        <w:jc w:val="left"/>
      </w:pPr>
      <w:r>
        <w:rPr>
          <w:sz w:val="24"/>
        </w:rPr>
        <w:t>3</w:t>
      </w:r>
      <w:r>
        <w:rPr>
          <w:sz w:val="24"/>
        </w:rPr>
        <w:t>、</w:t>
      </w:r>
      <w:r>
        <w:rPr>
          <w:sz w:val="24"/>
        </w:rPr>
        <w:t>供应商</w:t>
      </w:r>
      <w:r>
        <w:rPr>
          <w:sz w:val="24"/>
        </w:rPr>
        <w:t>对于工作期间知悉</w:t>
      </w:r>
      <w:r>
        <w:rPr>
          <w:sz w:val="24"/>
        </w:rPr>
        <w:t>采购人</w:t>
      </w:r>
      <w:r>
        <w:rPr>
          <w:sz w:val="24"/>
        </w:rPr>
        <w:t>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80"/>
        <w:jc w:val="left"/>
      </w:pPr>
      <w:r>
        <w:rPr>
          <w:sz w:val="24"/>
        </w:rPr>
        <w:t>4</w:t>
      </w:r>
      <w:r>
        <w:rPr>
          <w:sz w:val="24"/>
        </w:rPr>
        <w:t>、</w:t>
      </w:r>
      <w:r>
        <w:rPr>
          <w:sz w:val="24"/>
        </w:rPr>
        <w:t>严禁泄露在工作中接触到的政府机关科技研究、发明、装备器材及其技术资料和政府工作信息。</w:t>
      </w:r>
    </w:p>
    <w:p>
      <w:pPr>
        <w:pStyle w:val="null3"/>
        <w:jc w:val="both"/>
        <w:outlineLvl w:val="1"/>
      </w:pPr>
      <w:r>
        <w:rPr>
          <w:sz w:val="24"/>
          <w:b/>
        </w:rPr>
        <w:t>（十三）</w:t>
      </w:r>
      <w:r>
        <w:rPr>
          <w:sz w:val="24"/>
          <w:b/>
        </w:rPr>
        <w:t>其他要求</w:t>
      </w:r>
    </w:p>
    <w:p>
      <w:pPr>
        <w:pStyle w:val="null3"/>
        <w:ind w:firstLine="480"/>
        <w:jc w:val="both"/>
      </w:pPr>
      <w:r>
        <w:rPr>
          <w:sz w:val="24"/>
        </w:rPr>
        <w:t>1</w:t>
      </w:r>
      <w:r>
        <w:rPr>
          <w:sz w:val="24"/>
        </w:rPr>
        <w:t>、</w:t>
      </w:r>
      <w:r>
        <w:rPr>
          <w:sz w:val="24"/>
        </w:rPr>
        <w:t>供应商与采购人签订廉政责任书。</w:t>
      </w:r>
    </w:p>
    <w:p>
      <w:pPr>
        <w:pStyle w:val="null3"/>
        <w:ind w:firstLine="480"/>
        <w:jc w:val="both"/>
      </w:pPr>
      <w:r>
        <w:rPr>
          <w:sz w:val="24"/>
        </w:rPr>
        <w:t>2</w:t>
      </w:r>
      <w:r>
        <w:rPr>
          <w:sz w:val="24"/>
        </w:rPr>
        <w:t>、</w:t>
      </w:r>
      <w:r>
        <w:rPr>
          <w:sz w:val="24"/>
        </w:rPr>
        <w:t>其他未涉及内容参照本项目招标文件中合同文本相应条款的约定执行</w:t>
      </w:r>
      <w:r>
        <w:rPr>
          <w:sz w:val="24"/>
        </w:rPr>
        <w:t>。</w:t>
      </w:r>
    </w:p>
    <w:p>
      <w:pPr>
        <w:pStyle w:val="null3"/>
        <w:jc w:val="both"/>
        <w:outlineLvl w:val="0"/>
      </w:pPr>
      <w:r>
        <w:rPr>
          <w:sz w:val="24"/>
          <w:b/>
        </w:rPr>
        <w:t>五、</w:t>
      </w:r>
      <w:r>
        <w:rPr>
          <w:sz w:val="24"/>
          <w:b/>
        </w:rPr>
        <w:t>商务要求</w:t>
      </w:r>
    </w:p>
    <w:p>
      <w:pPr>
        <w:pStyle w:val="null3"/>
        <w:ind w:firstLine="480"/>
        <w:jc w:val="both"/>
      </w:pPr>
      <w:r>
        <w:rPr>
          <w:sz w:val="24"/>
        </w:rPr>
        <w:t>1、供应商应具有项目相关的有效的质量管理体系认证证书（认证范围与计算机应用软件开发、或信息系统集成及技术服务相关）。</w:t>
      </w:r>
    </w:p>
    <w:p>
      <w:pPr>
        <w:pStyle w:val="null3"/>
        <w:ind w:firstLine="480"/>
        <w:jc w:val="both"/>
      </w:pPr>
      <w:r>
        <w:rPr>
          <w:sz w:val="24"/>
        </w:rPr>
        <w:t>2、供应商应具有同类项目经验情况，提供2022年（以验收合格报告时间为准）至今完成的同类项目（同类项目指：与桌面云建设、或超融合平台建设、或虚拟化平台建设、或数据中心建设任意一类相关的项目）。</w:t>
      </w:r>
    </w:p>
    <w:p>
      <w:pPr>
        <w:pStyle w:val="null3"/>
        <w:jc w:val="both"/>
        <w:outlineLvl w:val="0"/>
      </w:pPr>
      <w:r>
        <w:rPr>
          <w:sz w:val="24"/>
          <w:b/>
        </w:rPr>
        <w:t>六、</w:t>
      </w:r>
      <w:r>
        <w:rPr>
          <w:sz w:val="24"/>
          <w:b/>
        </w:rPr>
        <w:t>付款方式及要求</w:t>
      </w:r>
    </w:p>
    <w:p>
      <w:pPr>
        <w:pStyle w:val="null3"/>
        <w:ind w:firstLine="482"/>
        <w:jc w:val="both"/>
      </w:pPr>
      <w:r>
        <w:rPr>
          <w:sz w:val="24"/>
          <w:b/>
        </w:rPr>
        <w:t>1</w:t>
      </w:r>
      <w:r>
        <w:rPr>
          <w:sz w:val="24"/>
          <w:b/>
        </w:rPr>
        <w:t>、</w:t>
      </w:r>
      <w:r>
        <w:rPr>
          <w:sz w:val="24"/>
          <w:b/>
        </w:rPr>
        <w:t>费用要求</w:t>
      </w:r>
    </w:p>
    <w:p>
      <w:pPr>
        <w:pStyle w:val="null3"/>
        <w:ind w:firstLine="480"/>
        <w:jc w:val="both"/>
      </w:pPr>
      <w:r>
        <w:rPr>
          <w:sz w:val="24"/>
        </w:rPr>
        <w:t>中标价款总额为完成本项目全部内容的包干价，其总额包括但不限于税金、技术服务经费及报酬、知识产权申请、科技成果查新（鉴定）、专利申报、设计书评审、技术培训、第三方服务（鉴定、测试测评检测、系统软件授权、技术支持等）、项目验收、质保期服务和</w:t>
      </w:r>
      <w:r>
        <w:rPr>
          <w:sz w:val="24"/>
        </w:rPr>
        <w:t>代理</w:t>
      </w:r>
      <w:r>
        <w:rPr>
          <w:sz w:val="24"/>
        </w:rPr>
        <w:t>服务费等可以预见的费用和一切不可预见的费用，</w:t>
      </w:r>
      <w:r>
        <w:rPr>
          <w:sz w:val="24"/>
        </w:rPr>
        <w:t>供应商</w:t>
      </w:r>
      <w:r>
        <w:rPr>
          <w:sz w:val="24"/>
        </w:rPr>
        <w:t>不得以任何理由要求</w:t>
      </w:r>
      <w:r>
        <w:rPr>
          <w:sz w:val="24"/>
        </w:rPr>
        <w:t>采购人</w:t>
      </w:r>
      <w:r>
        <w:rPr>
          <w:sz w:val="24"/>
        </w:rPr>
        <w:t>追加经费。</w:t>
      </w:r>
    </w:p>
    <w:p>
      <w:pPr>
        <w:pStyle w:val="null3"/>
        <w:ind w:firstLine="482"/>
        <w:jc w:val="both"/>
      </w:pPr>
      <w:r>
        <w:rPr>
          <w:sz w:val="24"/>
          <w:b/>
        </w:rPr>
        <w:t>2</w:t>
      </w:r>
      <w:r>
        <w:rPr>
          <w:sz w:val="24"/>
          <w:b/>
        </w:rPr>
        <w:t>、</w:t>
      </w:r>
      <w:r>
        <w:rPr>
          <w:sz w:val="24"/>
          <w:b/>
        </w:rPr>
        <w:t>付款方式</w:t>
      </w:r>
    </w:p>
    <w:p>
      <w:pPr>
        <w:pStyle w:val="null3"/>
        <w:ind w:firstLine="480"/>
        <w:jc w:val="both"/>
      </w:pPr>
      <w:r>
        <w:rPr>
          <w:sz w:val="24"/>
        </w:rPr>
        <w:t>本项目分</w:t>
      </w:r>
      <w:r>
        <w:rPr>
          <w:sz w:val="24"/>
        </w:rPr>
        <w:t>2期支付，具体支付方式和时间如下：</w:t>
      </w:r>
    </w:p>
    <w:p>
      <w:pPr>
        <w:pStyle w:val="null3"/>
        <w:ind w:firstLine="480"/>
        <w:jc w:val="both"/>
      </w:pPr>
      <w:r>
        <w:rPr>
          <w:sz w:val="24"/>
        </w:rPr>
        <w:t>首期款：合同签订后，</w:t>
      </w:r>
      <w:r>
        <w:rPr>
          <w:sz w:val="24"/>
        </w:rPr>
        <w:t>采购人</w:t>
      </w:r>
      <w:r>
        <w:rPr>
          <w:sz w:val="24"/>
        </w:rPr>
        <w:t>收到</w:t>
      </w:r>
      <w:r>
        <w:rPr>
          <w:sz w:val="24"/>
        </w:rPr>
        <w:t>供应商</w:t>
      </w:r>
      <w:r>
        <w:rPr>
          <w:sz w:val="24"/>
        </w:rPr>
        <w:t>开具的符合要求的发票后</w:t>
      </w:r>
      <w:r>
        <w:rPr>
          <w:sz w:val="24"/>
        </w:rPr>
        <w:t>1</w:t>
      </w:r>
      <w:r>
        <w:rPr>
          <w:sz w:val="24"/>
        </w:rPr>
        <w:t>0</w:t>
      </w:r>
      <w:r>
        <w:rPr>
          <w:sz w:val="24"/>
        </w:rPr>
        <w:t>个工作日内支付，支付合同总价的</w:t>
      </w:r>
      <w:r>
        <w:rPr>
          <w:sz w:val="24"/>
        </w:rPr>
        <w:t>50%。</w:t>
      </w:r>
    </w:p>
    <w:p>
      <w:pPr>
        <w:pStyle w:val="null3"/>
        <w:ind w:firstLine="480"/>
        <w:jc w:val="both"/>
      </w:pPr>
      <w:r>
        <w:rPr>
          <w:sz w:val="24"/>
        </w:rPr>
        <w:t>二期款：通过验收后，</w:t>
      </w:r>
      <w:r>
        <w:rPr>
          <w:sz w:val="24"/>
        </w:rPr>
        <w:t>采购人</w:t>
      </w:r>
      <w:r>
        <w:rPr>
          <w:sz w:val="24"/>
        </w:rPr>
        <w:t>收到</w:t>
      </w:r>
      <w:r>
        <w:rPr>
          <w:sz w:val="24"/>
        </w:rPr>
        <w:t>供应商</w:t>
      </w:r>
      <w:r>
        <w:rPr>
          <w:sz w:val="24"/>
        </w:rPr>
        <w:t>开具的符合要求的发票后</w:t>
      </w:r>
      <w:r>
        <w:rPr>
          <w:sz w:val="24"/>
        </w:rPr>
        <w:t>1</w:t>
      </w:r>
      <w:r>
        <w:rPr>
          <w:sz w:val="24"/>
        </w:rPr>
        <w:t>0</w:t>
      </w:r>
      <w:r>
        <w:rPr>
          <w:sz w:val="24"/>
        </w:rPr>
        <w:t>个工作日内支付，支付合同总价的</w:t>
      </w:r>
      <w:r>
        <w:rPr>
          <w:sz w:val="24"/>
        </w:rPr>
        <w:t>50%。</w:t>
      </w:r>
    </w:p>
    <w:p>
      <w:pPr>
        <w:pStyle w:val="null3"/>
        <w:ind w:firstLine="480"/>
        <w:jc w:val="both"/>
      </w:pPr>
      <w:r>
        <w:rPr>
          <w:sz w:val="24"/>
        </w:rPr>
        <w:t>因本项目资金来源为财政资金，</w:t>
      </w:r>
      <w:r>
        <w:rPr>
          <w:sz w:val="24"/>
        </w:rPr>
        <w:t>供应商</w:t>
      </w:r>
      <w:r>
        <w:rPr>
          <w:sz w:val="24"/>
        </w:rPr>
        <w:t>出具的发票需满足</w:t>
      </w:r>
      <w:r>
        <w:rPr>
          <w:sz w:val="24"/>
        </w:rPr>
        <w:t>采购人</w:t>
      </w:r>
      <w:r>
        <w:rPr>
          <w:sz w:val="24"/>
        </w:rPr>
        <w:t>资金来源管理要求，如因财政经费未到达无法支付款项，中标供应商不得以迟延支付为由要求</w:t>
      </w:r>
      <w:r>
        <w:rPr>
          <w:sz w:val="24"/>
        </w:rPr>
        <w:t>采购人</w:t>
      </w:r>
      <w:r>
        <w:rPr>
          <w:sz w:val="24"/>
        </w:rPr>
        <w:t>承担违约责任或解除合同。</w:t>
      </w:r>
      <w:r>
        <w:rPr>
          <w:sz w:val="24"/>
        </w:rPr>
        <w:t>供应商</w:t>
      </w:r>
      <w:r>
        <w:rPr>
          <w:sz w:val="24"/>
        </w:rPr>
        <w:t>应在</w:t>
      </w:r>
      <w:r>
        <w:rPr>
          <w:sz w:val="24"/>
        </w:rPr>
        <w:t>采购人</w:t>
      </w:r>
      <w:r>
        <w:rPr>
          <w:sz w:val="24"/>
        </w:rPr>
        <w:t>支付前提供合法等额发票，否则</w:t>
      </w:r>
      <w:r>
        <w:rPr>
          <w:sz w:val="24"/>
        </w:rPr>
        <w:t>采购人</w:t>
      </w:r>
      <w:r>
        <w:rPr>
          <w:sz w:val="24"/>
        </w:rPr>
        <w:t>有权拒绝支付相应费用，并不承担违约责任。</w:t>
      </w:r>
    </w:p>
    <w:p>
      <w:pPr>
        <w:pStyle w:val="null3"/>
        <w:ind w:firstLine="482"/>
        <w:jc w:val="both"/>
      </w:pPr>
      <w:r>
        <w:rPr>
          <w:sz w:val="24"/>
          <w:b/>
        </w:rPr>
        <w:t>3</w:t>
      </w:r>
      <w:r>
        <w:rPr>
          <w:sz w:val="24"/>
          <w:b/>
        </w:rPr>
        <w:t>、</w:t>
      </w:r>
      <w:r>
        <w:rPr>
          <w:sz w:val="24"/>
          <w:b/>
        </w:rPr>
        <w:t>其他约定</w:t>
      </w:r>
    </w:p>
    <w:p>
      <w:pPr>
        <w:pStyle w:val="null3"/>
        <w:ind w:firstLine="480"/>
        <w:jc w:val="both"/>
      </w:pPr>
      <w:r>
        <w:rPr>
          <w:sz w:val="24"/>
        </w:rPr>
        <w:t>1.</w:t>
      </w:r>
      <w:r>
        <w:rPr>
          <w:sz w:val="24"/>
        </w:rPr>
        <w:t>供应商</w:t>
      </w:r>
      <w:r>
        <w:rPr>
          <w:sz w:val="24"/>
        </w:rPr>
        <w:t>出具的发票应满足</w:t>
      </w:r>
      <w:r>
        <w:rPr>
          <w:sz w:val="24"/>
        </w:rPr>
        <w:t>采购人</w:t>
      </w:r>
      <w:r>
        <w:rPr>
          <w:sz w:val="24"/>
        </w:rPr>
        <w:t>资金来源管理要求。</w:t>
      </w:r>
    </w:p>
    <w:p>
      <w:pPr>
        <w:pStyle w:val="null3"/>
        <w:ind w:firstLine="480"/>
        <w:jc w:val="both"/>
      </w:pPr>
      <w:r>
        <w:rPr>
          <w:sz w:val="24"/>
        </w:rPr>
        <w:t>2.</w:t>
      </w:r>
      <w:r>
        <w:rPr>
          <w:sz w:val="24"/>
        </w:rPr>
        <w:t>供应商</w:t>
      </w:r>
      <w:r>
        <w:rPr>
          <w:sz w:val="24"/>
        </w:rPr>
        <w:t>交付的货物未能按期完成或验收不合格，致使本项目资金回收而无法支付本项目款项时，所造成的直接经济损失和预期损失由</w:t>
      </w:r>
      <w:r>
        <w:rPr>
          <w:sz w:val="24"/>
        </w:rPr>
        <w:t>供应商</w:t>
      </w:r>
      <w:r>
        <w:rPr>
          <w:sz w:val="24"/>
        </w:rPr>
        <w:t>承担。</w:t>
      </w:r>
    </w:p>
    <w:p>
      <w:pPr>
        <w:pStyle w:val="null3"/>
        <w:ind w:firstLine="480"/>
        <w:jc w:val="both"/>
      </w:pPr>
      <w:r>
        <w:rPr>
          <w:sz w:val="24"/>
        </w:rPr>
        <w:t>3.若</w:t>
      </w:r>
      <w:r>
        <w:rPr>
          <w:sz w:val="24"/>
        </w:rPr>
        <w:t>供应商</w:t>
      </w:r>
      <w:r>
        <w:rPr>
          <w:sz w:val="24"/>
        </w:rPr>
        <w:t>为中小企业（需提供《中小企业声明函》），则按</w:t>
      </w:r>
      <w:r>
        <w:rPr>
          <w:sz w:val="24"/>
        </w:rPr>
        <w:t>财政部门相关规定</w:t>
      </w:r>
      <w:r>
        <w:rPr>
          <w:sz w:val="24"/>
        </w:rPr>
        <w:t>执行。</w:t>
      </w:r>
    </w:p>
    <w:p>
      <w:pPr>
        <w:pStyle w:val="null3"/>
        <w:ind w:firstLine="480"/>
        <w:jc w:val="both"/>
      </w:pPr>
      <w:r>
        <w:rPr>
          <w:sz w:val="24"/>
        </w:rPr>
        <w:t>4.投标文件需提供《附件1：服务要求承诺函》；《附件2：技术要求响应承诺函》；《附件3：服务响应承诺函》</w:t>
      </w:r>
      <w:r>
        <w:rPr>
          <w:sz w:val="24"/>
        </w:rPr>
        <w:t>。</w:t>
      </w:r>
    </w:p>
    <w:p>
      <w:pPr>
        <w:pStyle w:val="null3"/>
        <w:jc w:val="both"/>
      </w:pPr>
      <w:r>
        <w:rPr>
          <w:sz w:val="24"/>
          <w:b/>
        </w:rPr>
        <w:t>七</w:t>
      </w:r>
      <w:r>
        <w:rPr>
          <w:sz w:val="24"/>
          <w:b/>
        </w:rPr>
        <w:t>、政策适用性说明</w:t>
      </w:r>
      <w:r>
        <w:rPr>
          <w:sz w:val="24"/>
        </w:rPr>
        <w:t>（因云平台投标格式中的</w:t>
      </w:r>
      <w:r>
        <w:rPr>
          <w:sz w:val="24"/>
        </w:rPr>
        <w:t>“ 政策适用性说明”无法满足项目实际，请投标/报价人按此格式填写政策适用性说明）</w:t>
      </w:r>
    </w:p>
    <w:p>
      <w:pPr>
        <w:pStyle w:val="null3"/>
        <w:ind w:firstLine="420"/>
        <w:jc w:val="both"/>
      </w:pPr>
      <w:r>
        <w:rPr>
          <w:sz w:val="24"/>
        </w:rPr>
        <w:t>《政策适用性说明》</w:t>
      </w:r>
    </w:p>
    <w:p>
      <w:pPr>
        <w:pStyle w:val="null3"/>
        <w:ind w:firstLine="420"/>
        <w:jc w:val="both"/>
      </w:pPr>
      <w:r>
        <w:rPr>
          <w:sz w:val="24"/>
        </w:rPr>
        <w:t>供应商所投的产品，符合节能产品、环境标志产品政策要求的，按以下格式提供说明。</w:t>
      </w:r>
    </w:p>
    <w:p>
      <w:pPr>
        <w:pStyle w:val="null3"/>
        <w:ind w:firstLine="422"/>
        <w:jc w:val="both"/>
      </w:pPr>
      <w:r>
        <w:rPr>
          <w:sz w:val="24"/>
        </w:rPr>
        <w:t>1、节能产品说明：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752"/>
        <w:gridCol w:w="1309"/>
        <w:gridCol w:w="2528"/>
        <w:gridCol w:w="1866"/>
        <w:gridCol w:w="1851"/>
      </w:tblGrid>
      <w:tr>
        <w:tc>
          <w:tcPr>
            <w:tcW w:type="dxa" w:w="752"/>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序号</w:t>
            </w:r>
          </w:p>
        </w:tc>
        <w:tc>
          <w:tcPr>
            <w:tcW w:type="dxa" w:w="13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产品名称</w:t>
            </w:r>
          </w:p>
        </w:tc>
        <w:tc>
          <w:tcPr>
            <w:tcW w:type="dxa" w:w="252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对应《节能产品政府采购品目清单》的品目序号</w:t>
            </w:r>
          </w:p>
        </w:tc>
        <w:tc>
          <w:tcPr>
            <w:tcW w:type="dxa" w:w="186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产品认证证书所在响应文件页码</w:t>
            </w:r>
          </w:p>
        </w:tc>
        <w:tc>
          <w:tcPr>
            <w:tcW w:type="dxa" w:w="185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产品报价（元）</w:t>
            </w:r>
          </w:p>
          <w:p>
            <w:pPr>
              <w:pStyle w:val="null3"/>
              <w:ind w:firstLine="420"/>
              <w:jc w:val="both"/>
            </w:p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（一）强制节能产品</w:t>
            </w: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both"/>
            </w:pPr>
            <w:r>
              <w:rPr>
                <w:sz w:val="21"/>
              </w:rPr>
              <w:t>1</w:t>
            </w:r>
          </w:p>
        </w:tc>
        <w:tc>
          <w:tcPr>
            <w:tcW w:type="dxa" w:w="13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强制节能产品，此处无须填报价格</w:t>
            </w: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both"/>
            </w:pPr>
            <w:r>
              <w:rPr>
                <w:sz w:val="21"/>
              </w:rPr>
              <w:t>2</w:t>
            </w:r>
          </w:p>
        </w:tc>
        <w:tc>
          <w:tcPr>
            <w:tcW w:type="dxa" w:w="13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vMerge/>
            <w:tcBorders>
              <w:top w:val="single" w:color="000000" w:sz="4"/>
              <w:left w:val="none" w:color="000000" w:sz="4"/>
              <w:bottom w:val="single" w:color="000000" w:sz="4"/>
              <w:right w:val="single" w:color="000000" w:sz="4"/>
            </w:tcBorders>
          </w:tcP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3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vMerge/>
            <w:tcBorders>
              <w:top w:val="single" w:color="000000" w:sz="4"/>
              <w:left w:val="none" w:color="000000" w:sz="4"/>
              <w:bottom w:val="single" w:color="000000" w:sz="4"/>
              <w:right w:val="single" w:color="000000" w:sz="4"/>
            </w:tcBorders>
          </w:tcPr>
          <w:p/>
        </w:tc>
      </w:tr>
      <w:tr>
        <w:tc>
          <w:tcPr>
            <w:tcW w:type="dxa" w:w="8306"/>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（二）优先采购节能产品</w:t>
            </w: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both"/>
            </w:pPr>
            <w:r>
              <w:rPr>
                <w:sz w:val="21"/>
              </w:rPr>
              <w:t>1</w:t>
            </w:r>
          </w:p>
        </w:tc>
        <w:tc>
          <w:tcPr>
            <w:tcW w:type="dxa" w:w="13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right"/>
            </w:pPr>
            <w:r>
              <w:rPr>
                <w:sz w:val="21"/>
              </w:rPr>
              <w:t>2</w:t>
            </w:r>
          </w:p>
        </w:tc>
        <w:tc>
          <w:tcPr>
            <w:tcW w:type="dxa" w:w="13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52"/>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right"/>
            </w:pPr>
            <w:r>
              <w:rPr>
                <w:sz w:val="21"/>
              </w:rPr>
              <w:t>3</w:t>
            </w:r>
          </w:p>
        </w:tc>
        <w:tc>
          <w:tcPr>
            <w:tcW w:type="dxa" w:w="13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52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5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5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优先采购节能产品价格合计（不含强制节能产品）</w:t>
            </w:r>
          </w:p>
        </w:tc>
        <w:tc>
          <w:tcPr>
            <w:tcW w:type="dxa" w:w="185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r>
    </w:tbl>
    <w:p>
      <w:pPr>
        <w:pStyle w:val="null3"/>
        <w:jc w:val="both"/>
      </w:pPr>
      <w:r>
        <w:rPr>
          <w:sz w:val="21"/>
        </w:rPr>
        <w:t>供应商名称（盖章）：</w:t>
      </w:r>
      <w:r>
        <w:rPr>
          <w:sz w:val="21"/>
        </w:rPr>
        <w:t>__________________</w:t>
      </w:r>
    </w:p>
    <w:p>
      <w:pPr>
        <w:pStyle w:val="null3"/>
        <w:ind w:firstLine="420"/>
        <w:jc w:val="both"/>
      </w:pPr>
      <w:r>
        <w:rPr>
          <w:sz w:val="21"/>
        </w:rPr>
        <w:t>日期：年月日</w:t>
      </w:r>
    </w:p>
    <w:p>
      <w:pPr>
        <w:pStyle w:val="null3"/>
        <w:ind w:firstLine="420"/>
        <w:jc w:val="both"/>
      </w:pPr>
      <w:r>
        <w:rPr>
          <w:sz w:val="24"/>
        </w:rPr>
        <w:t>2、环境标志产品说明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6"/>
        <w:gridCol w:w="1367"/>
        <w:gridCol w:w="2689"/>
        <w:gridCol w:w="1787"/>
        <w:gridCol w:w="1727"/>
      </w:tblGrid>
      <w:tr>
        <w:tc>
          <w:tcPr>
            <w:tcW w:type="dxa" w:w="736"/>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序号</w:t>
            </w:r>
          </w:p>
        </w:tc>
        <w:tc>
          <w:tcPr>
            <w:tcW w:type="dxa" w:w="136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产品名称</w:t>
            </w:r>
          </w:p>
        </w:tc>
        <w:tc>
          <w:tcPr>
            <w:tcW w:type="dxa" w:w="268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对应《环境标志产品政府采购品目清单》的品目序号</w:t>
            </w:r>
          </w:p>
        </w:tc>
        <w:tc>
          <w:tcPr>
            <w:tcW w:type="dxa" w:w="1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产品认证证书所在响应文件页码</w:t>
            </w:r>
          </w:p>
        </w:tc>
        <w:tc>
          <w:tcPr>
            <w:tcW w:type="dxa" w:w="1727"/>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产品报价（元）</w:t>
            </w:r>
          </w:p>
          <w:p>
            <w:pPr>
              <w:pStyle w:val="null3"/>
              <w:ind w:firstLine="420"/>
              <w:jc w:val="both"/>
            </w:pPr>
          </w:p>
        </w:tc>
      </w:tr>
      <w:tr>
        <w:tc>
          <w:tcPr>
            <w:tcW w:type="dxa" w:w="73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1</w:t>
            </w: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68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2</w:t>
            </w: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68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3</w:t>
            </w:r>
          </w:p>
        </w:tc>
        <w:tc>
          <w:tcPr>
            <w:tcW w:type="dxa" w:w="136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c>
          <w:tcPr>
            <w:tcW w:type="dxa" w:w="268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8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57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both"/>
            </w:pPr>
            <w:r>
              <w:rPr>
                <w:sz w:val="21"/>
              </w:rPr>
              <w:t>环境标志产品价格合计</w:t>
            </w:r>
          </w:p>
        </w:tc>
        <w:tc>
          <w:tcPr>
            <w:tcW w:type="dxa" w:w="1727"/>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jc w:val="both"/>
            </w:pPr>
          </w:p>
        </w:tc>
      </w:tr>
    </w:tbl>
    <w:p>
      <w:pPr>
        <w:pStyle w:val="null3"/>
        <w:jc w:val="both"/>
      </w:pPr>
      <w:r>
        <w:rPr>
          <w:sz w:val="21"/>
        </w:rPr>
        <w:t>供应商名称（盖章）：</w:t>
      </w:r>
      <w:r>
        <w:rPr>
          <w:sz w:val="21"/>
        </w:rPr>
        <w:t>__________________</w:t>
      </w:r>
    </w:p>
    <w:p>
      <w:pPr>
        <w:pStyle w:val="null3"/>
        <w:ind w:firstLine="420"/>
        <w:jc w:val="both"/>
      </w:pPr>
      <w:r>
        <w:rPr>
          <w:sz w:val="21"/>
        </w:rPr>
        <w:t>日期：年月日</w:t>
      </w:r>
    </w:p>
    <w:p>
      <w:pPr>
        <w:pStyle w:val="null3"/>
        <w:ind w:firstLine="420"/>
        <w:jc w:val="both"/>
      </w:pPr>
      <w:r>
        <w:rPr>
          <w:sz w:val="21"/>
        </w:rPr>
        <w:t>备注：</w:t>
      </w:r>
    </w:p>
    <w:p>
      <w:pPr>
        <w:pStyle w:val="null3"/>
        <w:ind w:firstLine="420"/>
        <w:jc w:val="both"/>
      </w:pPr>
      <w:r>
        <w:rPr>
          <w:sz w:val="21"/>
        </w:rPr>
        <w:t>1. 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jc w:val="both"/>
      </w:pPr>
      <w:r>
        <w:rPr>
          <w:sz w:val="21"/>
        </w:rPr>
        <w:t>2. 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ind w:firstLine="420"/>
        <w:jc w:val="both"/>
      </w:pPr>
      <w:r>
        <w:rPr>
          <w:sz w:val="21"/>
        </w:rPr>
        <w:t>3. 国家确定的认证机构可在《市场监管总局关于发布参与实施政府采购节能产品、环境标志产品认证机构名录的公告》（2019年第16号）中查询。如后续有更新的，则以更新后的文件为准。</w:t>
      </w:r>
    </w:p>
    <w:p>
      <w:pPr>
        <w:pStyle w:val="null3"/>
        <w:ind w:firstLine="420"/>
        <w:jc w:val="both"/>
      </w:pPr>
      <w:r>
        <w:rPr>
          <w:sz w:val="21"/>
        </w:rPr>
        <w:t>4.上述节能产品包括节水产品。</w:t>
      </w:r>
    </w:p>
    <w:p>
      <w:pPr>
        <w:pStyle w:val="null3"/>
        <w:ind w:firstLine="480"/>
        <w:jc w:val="both"/>
      </w:pPr>
      <w:r>
        <w:rPr>
          <w:sz w:val="24"/>
          <w:b/>
        </w:rPr>
        <w:t>八、</w:t>
      </w:r>
      <w:r>
        <w:rPr>
          <w:sz w:val="24"/>
          <w:b/>
        </w:rPr>
        <w:t>产品报价统计表</w:t>
      </w:r>
    </w:p>
    <w:p>
      <w:pPr>
        <w:pStyle w:val="null3"/>
        <w:jc w:val="center"/>
      </w:pPr>
      <w:r>
        <w:rPr>
          <w:sz w:val="21"/>
        </w:rPr>
        <w:t>《产品报价统计表》</w:t>
      </w:r>
    </w:p>
    <w:p>
      <w:pPr>
        <w:pStyle w:val="null3"/>
        <w:jc w:val="both"/>
      </w:pPr>
      <w:r>
        <w:rPr>
          <w:sz w:val="21"/>
        </w:rPr>
        <w:t>采购</w:t>
      </w:r>
      <w:r>
        <w:rPr>
          <w:sz w:val="21"/>
        </w:rPr>
        <w:t>项目名称：</w:t>
      </w:r>
    </w:p>
    <w:p>
      <w:pPr>
        <w:pStyle w:val="null3"/>
        <w:jc w:val="both"/>
      </w:pPr>
      <w:r>
        <w:rPr>
          <w:sz w:val="21"/>
        </w:rPr>
        <w:t>采购</w:t>
      </w:r>
      <w:r>
        <w:rPr>
          <w:sz w:val="21"/>
        </w:rPr>
        <w:t>项目编号：</w:t>
      </w:r>
    </w:p>
    <w:tbl>
      <w:tblPr>
        <w:tblW w:w="0" w:type="auto"/>
        <w:tblBorders>
          <w:top w:val="none" w:color="000000" w:sz="4"/>
          <w:left w:val="none" w:color="000000" w:sz="4"/>
          <w:bottom w:val="none" w:color="000000" w:sz="4"/>
          <w:right w:val="none" w:color="000000" w:sz="4"/>
          <w:insideH w:val="none"/>
          <w:insideV w:val="none"/>
        </w:tblBorders>
      </w:tblPr>
      <w:tblGrid>
        <w:gridCol w:w="620"/>
        <w:gridCol w:w="708"/>
        <w:gridCol w:w="1054"/>
        <w:gridCol w:w="855"/>
        <w:gridCol w:w="1851"/>
        <w:gridCol w:w="815"/>
        <w:gridCol w:w="579"/>
        <w:gridCol w:w="825"/>
        <w:gridCol w:w="999"/>
      </w:tblGrid>
      <w:tr>
        <w:tc>
          <w:tcPr>
            <w:tcW w:type="dxa" w:w="62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7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10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w:t>
            </w:r>
          </w:p>
        </w:tc>
        <w:tc>
          <w:tcPr>
            <w:tcW w:type="dxa" w:w="270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制造商信息</w:t>
            </w:r>
          </w:p>
        </w:tc>
        <w:tc>
          <w:tcPr>
            <w:tcW w:type="dxa" w:w="8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5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p>
        </w:tc>
        <w:tc>
          <w:tcPr>
            <w:tcW w:type="dxa" w:w="9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r>
      <w:tr>
        <w:tc>
          <w:tcPr>
            <w:tcW w:type="dxa" w:w="620"/>
            <w:vMerge/>
            <w:tcBorders>
              <w:top w:val="single" w:color="000000" w:sz="4"/>
              <w:left w:val="single" w:color="000000" w:sz="4"/>
              <w:bottom w:val="single" w:color="000000" w:sz="4"/>
              <w:right w:val="single" w:color="000000" w:sz="4"/>
            </w:tcBorders>
          </w:tcPr>
          <w:p/>
        </w:tc>
        <w:tc>
          <w:tcPr>
            <w:tcW w:type="dxa" w:w="708"/>
            <w:vMerge/>
            <w:tcBorders>
              <w:top w:val="single" w:color="000000" w:sz="4"/>
              <w:left w:val="none" w:color="000000" w:sz="4"/>
              <w:bottom w:val="single" w:color="000000" w:sz="4"/>
              <w:right w:val="single" w:color="000000" w:sz="4"/>
            </w:tcBorders>
          </w:tcPr>
          <w:p/>
        </w:tc>
        <w:tc>
          <w:tcPr>
            <w:tcW w:type="dxa" w:w="1054"/>
            <w:vMerge/>
            <w:tcBorders>
              <w:top w:val="single" w:color="000000" w:sz="4"/>
              <w:left w:val="none" w:color="000000" w:sz="4"/>
              <w:bottom w:val="single" w:color="000000" w:sz="4"/>
              <w:right w:val="single" w:color="000000" w:sz="4"/>
            </w:tcBorders>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制造商名称</w:t>
            </w: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企业类型（请填写：大型、中型、小型、微型）</w:t>
            </w:r>
          </w:p>
        </w:tc>
        <w:tc>
          <w:tcPr>
            <w:tcW w:type="dxa" w:w="815"/>
            <w:vMerge/>
            <w:tcBorders>
              <w:top w:val="single" w:color="000000" w:sz="4"/>
              <w:left w:val="none" w:color="000000" w:sz="4"/>
              <w:bottom w:val="single" w:color="000000" w:sz="4"/>
              <w:right w:val="single" w:color="000000" w:sz="4"/>
            </w:tcBorders>
          </w:tcPr>
          <w:p/>
        </w:tc>
        <w:tc>
          <w:tcPr>
            <w:tcW w:type="dxa" w:w="579"/>
            <w:vMerge/>
            <w:tcBorders>
              <w:top w:val="single" w:color="000000" w:sz="4"/>
              <w:left w:val="none" w:color="000000" w:sz="4"/>
              <w:bottom w:val="single" w:color="000000" w:sz="4"/>
              <w:right w:val="single" w:color="000000" w:sz="4"/>
            </w:tcBorders>
          </w:tcPr>
          <w:p/>
        </w:tc>
        <w:tc>
          <w:tcPr>
            <w:tcW w:type="dxa" w:w="825"/>
            <w:vMerge/>
            <w:tcBorders>
              <w:top w:val="single" w:color="000000" w:sz="4"/>
              <w:left w:val="none" w:color="000000" w:sz="4"/>
              <w:bottom w:val="single" w:color="000000" w:sz="4"/>
              <w:right w:val="single" w:color="000000" w:sz="4"/>
            </w:tcBorders>
          </w:tcPr>
          <w:p/>
        </w:tc>
        <w:tc>
          <w:tcPr>
            <w:tcW w:type="dxa" w:w="999"/>
            <w:vMerge/>
            <w:tcBorders>
              <w:top w:val="single" w:color="000000" w:sz="4"/>
              <w:left w:val="none" w:color="000000" w:sz="4"/>
              <w:bottom w:val="single" w:color="000000" w:sz="4"/>
              <w:right w:val="single" w:color="000000" w:sz="4"/>
            </w:tcBorders>
          </w:tc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38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项目总</w:t>
            </w:r>
            <w:r>
              <w:rPr>
                <w:sz w:val="21"/>
              </w:rPr>
              <w:t>报价</w:t>
            </w:r>
          </w:p>
        </w:tc>
        <w:tc>
          <w:tcPr>
            <w:tcW w:type="dxa" w:w="592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元</w:t>
            </w:r>
          </w:p>
        </w:tc>
      </w:tr>
      <w:tr>
        <w:tc>
          <w:tcPr>
            <w:tcW w:type="dxa" w:w="238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中小</w:t>
            </w:r>
            <w:r>
              <w:rPr>
                <w:sz w:val="21"/>
              </w:rPr>
              <w:t>企业产品</w:t>
            </w:r>
            <w:r>
              <w:rPr>
                <w:sz w:val="21"/>
              </w:rPr>
              <w:t>报价合计</w:t>
            </w:r>
          </w:p>
        </w:tc>
        <w:tc>
          <w:tcPr>
            <w:tcW w:type="dxa" w:w="592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元</w:t>
            </w:r>
          </w:p>
        </w:tc>
      </w:tr>
      <w:tr>
        <w:tc>
          <w:tcPr>
            <w:tcW w:type="dxa" w:w="238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中小</w:t>
            </w:r>
            <w:r>
              <w:rPr>
                <w:sz w:val="21"/>
              </w:rPr>
              <w:t>企业产品占比</w:t>
            </w:r>
            <w:r>
              <w:rPr>
                <w:sz w:val="21"/>
              </w:rPr>
              <w:t>=</w:t>
            </w:r>
            <w:r>
              <w:rPr>
                <w:sz w:val="21"/>
              </w:rPr>
              <w:t>中小</w:t>
            </w:r>
            <w:r>
              <w:rPr>
                <w:sz w:val="21"/>
              </w:rPr>
              <w:t>企业产品</w:t>
            </w:r>
            <w:r>
              <w:rPr>
                <w:sz w:val="21"/>
              </w:rPr>
              <w:t>报价合计</w:t>
            </w:r>
            <w:r>
              <w:rPr>
                <w:sz w:val="21"/>
              </w:rPr>
              <w:t>÷总报价×100%</w:t>
            </w:r>
          </w:p>
        </w:tc>
        <w:tc>
          <w:tcPr>
            <w:tcW w:type="dxa" w:w="5924"/>
            <w:gridSpan w:val="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rPr>
        <w:t>供应商名称（盖章）：</w:t>
      </w:r>
    </w:p>
    <w:p>
      <w:pPr>
        <w:pStyle w:val="null3"/>
        <w:ind w:firstLine="504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注：为便于评委会评审，建议对同一划型的制造商产品连续填写。即填写完大型制造商产品后再填写中型制造商产品，最后再填写小微制造商产品。</w:t>
      </w:r>
    </w:p>
    <w:p>
      <w:pPr>
        <w:pStyle w:val="null3"/>
        <w:ind w:firstLine="480"/>
        <w:jc w:val="both"/>
      </w:pPr>
      <w:r>
        <w:rPr/>
        <w:t xml:space="preserve"> </w:t>
      </w:r>
    </w:p>
    <w:p>
      <w:pPr>
        <w:pStyle w:val="null3"/>
        <w:jc w:val="both"/>
      </w:pPr>
      <w:r>
        <w:rPr>
          <w:sz w:val="24"/>
        </w:rPr>
        <w:t>附件</w:t>
      </w:r>
      <w:r>
        <w:rPr>
          <w:sz w:val="24"/>
        </w:rPr>
        <w:t>1：</w:t>
      </w:r>
    </w:p>
    <w:p>
      <w:pPr>
        <w:pStyle w:val="null3"/>
        <w:jc w:val="center"/>
      </w:pPr>
      <w:r>
        <w:rPr>
          <w:sz w:val="24"/>
          <w:b/>
        </w:rPr>
        <w:t>服务要求承诺函</w:t>
      </w:r>
    </w:p>
    <w:p>
      <w:pPr>
        <w:pStyle w:val="null3"/>
        <w:ind w:firstLine="422"/>
        <w:jc w:val="both"/>
      </w:pPr>
      <w:r>
        <w:rPr>
          <w:sz w:val="24"/>
        </w:rPr>
        <w:t>广东省国土资源测绘院：</w:t>
      </w:r>
    </w:p>
    <w:p>
      <w:pPr>
        <w:pStyle w:val="null3"/>
        <w:ind w:firstLine="420"/>
        <w:jc w:val="both"/>
      </w:pPr>
      <w:r>
        <w:rPr>
          <w:sz w:val="24"/>
        </w:rPr>
        <w:t>我方充分了解并清楚知晓贵单位项目</w:t>
      </w:r>
      <w:r>
        <w:rPr>
          <w:sz w:val="24"/>
        </w:rPr>
        <w:t>采购人</w:t>
      </w:r>
      <w:r>
        <w:rPr>
          <w:sz w:val="24"/>
        </w:rPr>
        <w:t>需求中相关服务要求，我方承诺：响应文件中承诺的服务要求，包括技术指标要求、服务人员要求等相关内容，均作为中标后合同签订中相关服务要求的标准和依据，否则视为违约行为，贵方有权终止本次</w:t>
      </w:r>
      <w:r>
        <w:rPr>
          <w:sz w:val="24"/>
        </w:rPr>
        <w:t>采购</w:t>
      </w:r>
      <w:r>
        <w:rPr>
          <w:sz w:val="24"/>
        </w:rPr>
        <w:t>。</w:t>
      </w:r>
    </w:p>
    <w:p>
      <w:pPr>
        <w:pStyle w:val="null3"/>
        <w:ind w:firstLine="420"/>
        <w:jc w:val="both"/>
      </w:pPr>
      <w:r>
        <w:rPr>
          <w:sz w:val="24"/>
        </w:rPr>
        <w:t>拟投入人员（详见附件）为项目实施实际投入人员。如需调整服务团队成员，需书面提出申请，说明申请理由，经贵方书面同意方可调整团队人员，调入人员的资历和从业经验不低于调出人员，否则视为违约行为，贵方有权终止服务合同，我方愿承担合同约定的相关违约责任。</w:t>
      </w:r>
    </w:p>
    <w:p>
      <w:pPr>
        <w:pStyle w:val="null3"/>
        <w:jc w:val="both"/>
      </w:pPr>
      <w:r>
        <w:rPr>
          <w:sz w:val="24"/>
        </w:rPr>
        <w:t>附件：拟投入人员资历情况表（按分项列出人员信息：含成员角色、职责和资历等内容）</w:t>
      </w:r>
    </w:p>
    <w:p>
      <w:pPr>
        <w:pStyle w:val="null3"/>
        <w:ind w:firstLine="420"/>
        <w:jc w:val="both"/>
      </w:pPr>
      <w:r>
        <w:rPr>
          <w:sz w:val="24"/>
        </w:rPr>
        <w:t>(盖章)</w:t>
      </w:r>
    </w:p>
    <w:p>
      <w:pPr>
        <w:pStyle w:val="null3"/>
        <w:jc w:val="right"/>
      </w:pPr>
      <w:r>
        <w:rPr>
          <w:sz w:val="24"/>
        </w:rPr>
        <w:t>年</w:t>
      </w:r>
      <w:r>
        <w:rPr>
          <w:sz w:val="21"/>
        </w:rPr>
        <w:t xml:space="preserve">   </w:t>
      </w:r>
      <w:r>
        <w:rPr>
          <w:sz w:val="24"/>
        </w:rPr>
        <w:t>月</w:t>
      </w:r>
      <w:r>
        <w:rPr>
          <w:sz w:val="21"/>
        </w:rPr>
        <w:t xml:space="preserve">   </w:t>
      </w:r>
      <w:r>
        <w:rPr>
          <w:sz w:val="24"/>
        </w:rPr>
        <w:t>日</w:t>
      </w:r>
    </w:p>
    <w:p>
      <w:pPr>
        <w:pStyle w:val="null3"/>
        <w:jc w:val="both"/>
      </w:pPr>
      <w:r>
        <w:rPr/>
        <w:t xml:space="preserve"> </w:t>
      </w:r>
    </w:p>
    <w:p>
      <w:pPr>
        <w:pStyle w:val="null3"/>
      </w:pPr>
      <w:r>
        <w:rPr/>
        <w:t>采购包1（2025年基础地理信息数据及耕地动态监测监管等项目桌面云集群建设采购项目）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从合同签订之日起至提交验收申请之日止，整体项目工期不超过3个月。</w:t>
            </w:r>
          </w:p>
        </w:tc>
      </w:tr>
      <w:tr>
        <w:tc>
          <w:tcPr>
            <w:tcW w:type="dxa" w:w="4153"/>
          </w:tcPr>
          <w:p>
            <w:pPr>
              <w:pStyle w:val="null3"/>
            </w:pPr>
            <w:r>
              <w:rPr/>
              <w:t>标的提供的地点</w:t>
            </w:r>
          </w:p>
        </w:tc>
        <w:tc>
          <w:tcPr>
            <w:tcW w:type="dxa" w:w="4153"/>
          </w:tcPr>
          <w:p>
            <w:pPr>
              <w:pStyle w:val="null3"/>
            </w:pPr>
            <w:r>
              <w:rPr/>
              <w:t>广东省广州市黄埔区光谱中路13号</w:t>
            </w:r>
          </w:p>
        </w:tc>
      </w:tr>
      <w:tr/>
      <w:tr/>
      <w:tr>
        <w:tc>
          <w:tcPr>
            <w:tcW w:type="dxa" w:w="4153"/>
          </w:tcPr>
          <w:p>
            <w:pPr>
              <w:pStyle w:val="null3"/>
            </w:pPr>
            <w:r>
              <w:rPr/>
              <w:t>付款方式</w:t>
            </w:r>
          </w:p>
        </w:tc>
        <w:tc>
          <w:tcPr>
            <w:tcW w:type="dxa" w:w="4153"/>
          </w:tcPr>
          <w:p>
            <w:pPr>
              <w:pStyle w:val="null3"/>
            </w:pPr>
            <w:r>
              <w:rPr/>
              <w:t>第1期为(预付款)：支付比例50%，合同签订后，采购人收到供应商开具的符合要求的发票后10个工作日内支付，支付合同总价的50%。。</w:t>
            </w:r>
          </w:p>
          <w:p>
            <w:pPr>
              <w:pStyle w:val="null3"/>
            </w:pPr>
            <w:r>
              <w:rPr/>
              <w:t>第2期为(尾款)：支付比例50%，通过验收后，采购人收到供应商开具的符合要求的发票后10个工作日内支付，支付合同总价的50%。。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 采购需求</w:t>
            </w:r>
          </w:p>
        </w:tc>
        <w:tc>
          <w:tcPr>
            <w:tcW w:type="dxa" w:w="2076"/>
          </w:tcPr>
          <w:p>
            <w:pPr>
              <w:pStyle w:val="null3"/>
              <w:jc w:val="left"/>
            </w:pPr>
            <w:r>
              <w:rPr/>
              <w:t>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服务器</w:t>
            </w:r>
          </w:p>
        </w:tc>
        <w:tc>
          <w:tcPr>
            <w:tcW w:type="dxa" w:w="831"/>
          </w:tcPr>
          <w:p>
            <w:pPr>
              <w:pStyle w:val="null3"/>
              <w:jc w:val="left"/>
            </w:pPr>
            <w:r>
              <w:rPr/>
              <w:t>桌面云集群</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250,000.00</w:t>
            </w:r>
          </w:p>
        </w:tc>
        <w:tc>
          <w:tcPr>
            <w:tcW w:type="dxa" w:w="831"/>
          </w:tcPr>
          <w:p>
            <w:pPr>
              <w:pStyle w:val="null3"/>
              <w:jc w:val="right"/>
            </w:pPr>
            <w:r>
              <w:rPr/>
              <w:t>750,000.00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其他计算机软件</w:t>
            </w:r>
          </w:p>
        </w:tc>
        <w:tc>
          <w:tcPr>
            <w:tcW w:type="dxa" w:w="831"/>
          </w:tcPr>
          <w:p>
            <w:pPr>
              <w:pStyle w:val="null3"/>
              <w:jc w:val="left"/>
            </w:pPr>
            <w:r>
              <w:rPr/>
              <w:t>桌面云软件</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80,000.00</w:t>
            </w:r>
          </w:p>
        </w:tc>
        <w:tc>
          <w:tcPr>
            <w:tcW w:type="dxa" w:w="831"/>
          </w:tcPr>
          <w:p>
            <w:pPr>
              <w:pStyle w:val="null3"/>
              <w:jc w:val="right"/>
            </w:pPr>
            <w:r>
              <w:rPr/>
              <w:t>240,000.00</w:t>
            </w:r>
          </w:p>
        </w:tc>
        <w:tc>
          <w:tcPr>
            <w:tcW w:type="dxa" w:w="831"/>
          </w:tcPr>
          <w:p>
            <w:pPr>
              <w:pStyle w:val="null3"/>
            </w:pPr>
            <w:r>
              <w:rPr/>
              <w:t>软件和信息技术服务业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其他计算机</w:t>
            </w:r>
          </w:p>
        </w:tc>
        <w:tc>
          <w:tcPr>
            <w:tcW w:type="dxa" w:w="831"/>
          </w:tcPr>
          <w:p>
            <w:pPr>
              <w:pStyle w:val="null3"/>
              <w:jc w:val="left"/>
            </w:pPr>
            <w:r>
              <w:rPr/>
              <w:t>桌面云终端</w:t>
            </w:r>
          </w:p>
        </w:tc>
        <w:tc>
          <w:tcPr>
            <w:tcW w:type="dxa" w:w="831"/>
          </w:tcPr>
          <w:p>
            <w:pPr>
              <w:pStyle w:val="null3"/>
              <w:jc w:val="left"/>
            </w:pPr>
            <w:r>
              <w:rPr/>
              <w:t>套</w:t>
            </w:r>
          </w:p>
        </w:tc>
        <w:tc>
          <w:tcPr>
            <w:tcW w:type="dxa" w:w="831"/>
          </w:tcPr>
          <w:p>
            <w:pPr>
              <w:pStyle w:val="null3"/>
              <w:jc w:val="right"/>
            </w:pPr>
            <w:r>
              <w:rPr/>
              <w:t>100.00</w:t>
            </w:r>
          </w:p>
        </w:tc>
        <w:tc>
          <w:tcPr>
            <w:tcW w:type="dxa" w:w="831"/>
          </w:tcPr>
          <w:p>
            <w:pPr>
              <w:pStyle w:val="null3"/>
              <w:jc w:val="right"/>
            </w:pPr>
            <w:r>
              <w:rPr/>
              <w:t>9,190.00</w:t>
            </w:r>
          </w:p>
        </w:tc>
        <w:tc>
          <w:tcPr>
            <w:tcW w:type="dxa" w:w="831"/>
          </w:tcPr>
          <w:p>
            <w:pPr>
              <w:pStyle w:val="null3"/>
              <w:jc w:val="right"/>
            </w:pPr>
            <w:r>
              <w:rPr/>
              <w:t>919,000.00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基础软件</w:t>
            </w:r>
          </w:p>
        </w:tc>
        <w:tc>
          <w:tcPr>
            <w:tcW w:type="dxa" w:w="831"/>
          </w:tcPr>
          <w:p>
            <w:pPr>
              <w:pStyle w:val="null3"/>
              <w:jc w:val="left"/>
            </w:pPr>
            <w:r>
              <w:rPr/>
              <w:t>操作系统</w:t>
            </w:r>
          </w:p>
        </w:tc>
        <w:tc>
          <w:tcPr>
            <w:tcW w:type="dxa" w:w="831"/>
          </w:tcPr>
          <w:p>
            <w:pPr>
              <w:pStyle w:val="null3"/>
              <w:jc w:val="left"/>
            </w:pPr>
            <w:r>
              <w:rPr/>
              <w:t>套</w:t>
            </w:r>
          </w:p>
        </w:tc>
        <w:tc>
          <w:tcPr>
            <w:tcW w:type="dxa" w:w="831"/>
          </w:tcPr>
          <w:p>
            <w:pPr>
              <w:pStyle w:val="null3"/>
              <w:jc w:val="right"/>
            </w:pPr>
            <w:r>
              <w:rPr/>
              <w:t>130.00</w:t>
            </w:r>
          </w:p>
        </w:tc>
        <w:tc>
          <w:tcPr>
            <w:tcW w:type="dxa" w:w="831"/>
          </w:tcPr>
          <w:p>
            <w:pPr>
              <w:pStyle w:val="null3"/>
              <w:jc w:val="right"/>
            </w:pPr>
            <w:r>
              <w:rPr/>
              <w:t>700.00</w:t>
            </w:r>
          </w:p>
        </w:tc>
        <w:tc>
          <w:tcPr>
            <w:tcW w:type="dxa" w:w="831"/>
          </w:tcPr>
          <w:p>
            <w:pPr>
              <w:pStyle w:val="null3"/>
              <w:jc w:val="right"/>
            </w:pPr>
            <w:r>
              <w:rPr/>
              <w:t>91,000.00</w:t>
            </w:r>
          </w:p>
        </w:tc>
        <w:tc>
          <w:tcPr>
            <w:tcW w:type="dxa" w:w="831"/>
          </w:tcPr>
          <w:p>
            <w:pPr>
              <w:pStyle w:val="null3"/>
            </w:pPr>
            <w:r>
              <w:rPr/>
              <w:t>软件和信息技术服务业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交换设备</w:t>
            </w:r>
          </w:p>
        </w:tc>
        <w:tc>
          <w:tcPr>
            <w:tcW w:type="dxa" w:w="831"/>
          </w:tcPr>
          <w:p>
            <w:pPr>
              <w:pStyle w:val="null3"/>
              <w:jc w:val="left"/>
            </w:pPr>
            <w:r>
              <w:rPr/>
              <w:t>核心交换机</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120,000.00</w:t>
            </w:r>
          </w:p>
        </w:tc>
        <w:tc>
          <w:tcPr>
            <w:tcW w:type="dxa" w:w="831"/>
          </w:tcPr>
          <w:p>
            <w:pPr>
              <w:pStyle w:val="null3"/>
              <w:jc w:val="right"/>
            </w:pPr>
            <w:r>
              <w:rPr/>
              <w:t>480,000.00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交换设备</w:t>
            </w:r>
          </w:p>
        </w:tc>
        <w:tc>
          <w:tcPr>
            <w:tcW w:type="dxa" w:w="831"/>
          </w:tcPr>
          <w:p>
            <w:pPr>
              <w:pStyle w:val="null3"/>
              <w:jc w:val="left"/>
            </w:pPr>
            <w:r>
              <w:rPr/>
              <w:t>网络交换机</w:t>
            </w:r>
          </w:p>
        </w:tc>
        <w:tc>
          <w:tcPr>
            <w:tcW w:type="dxa" w:w="831"/>
          </w:tcPr>
          <w:p>
            <w:pPr>
              <w:pStyle w:val="null3"/>
              <w:jc w:val="left"/>
            </w:pPr>
            <w:r>
              <w:rPr/>
              <w:t>台</w:t>
            </w:r>
          </w:p>
        </w:tc>
        <w:tc>
          <w:tcPr>
            <w:tcW w:type="dxa" w:w="831"/>
          </w:tcPr>
          <w:p>
            <w:pPr>
              <w:pStyle w:val="null3"/>
              <w:jc w:val="right"/>
            </w:pPr>
            <w:r>
              <w:rPr/>
              <w:t>12.00</w:t>
            </w:r>
          </w:p>
        </w:tc>
        <w:tc>
          <w:tcPr>
            <w:tcW w:type="dxa" w:w="831"/>
          </w:tcPr>
          <w:p>
            <w:pPr>
              <w:pStyle w:val="null3"/>
              <w:jc w:val="right"/>
            </w:pPr>
            <w:r>
              <w:rPr/>
              <w:t>10,000.00</w:t>
            </w:r>
          </w:p>
        </w:tc>
        <w:tc>
          <w:tcPr>
            <w:tcW w:type="dxa" w:w="831"/>
          </w:tcPr>
          <w:p>
            <w:pPr>
              <w:pStyle w:val="null3"/>
              <w:jc w:val="right"/>
            </w:pPr>
            <w:r>
              <w:rPr/>
              <w:t>120,000.00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网上行为管理设备</w:t>
            </w:r>
          </w:p>
        </w:tc>
        <w:tc>
          <w:tcPr>
            <w:tcW w:type="dxa" w:w="831"/>
          </w:tcPr>
          <w:p>
            <w:pPr>
              <w:pStyle w:val="null3"/>
              <w:jc w:val="left"/>
            </w:pPr>
            <w:r>
              <w:rPr/>
              <w:t>上网行为管理设备</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其他计算机软件</w:t>
            </w:r>
          </w:p>
        </w:tc>
        <w:tc>
          <w:tcPr>
            <w:tcW w:type="dxa" w:w="831"/>
          </w:tcPr>
          <w:p>
            <w:pPr>
              <w:pStyle w:val="null3"/>
              <w:jc w:val="left"/>
            </w:pPr>
            <w:r>
              <w:rPr/>
              <w:t>网络流量监控软件</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jc w:val="right"/>
            </w:pPr>
            <w:r>
              <w:rPr/>
              <w:t>100,000.00</w:t>
            </w:r>
          </w:p>
        </w:tc>
        <w:tc>
          <w:tcPr>
            <w:tcW w:type="dxa" w:w="831"/>
          </w:tcPr>
          <w:p>
            <w:pPr>
              <w:pStyle w:val="null3"/>
            </w:pPr>
            <w:r>
              <w:rPr/>
              <w:t>软件和信息技术服务业</w:t>
            </w:r>
          </w:p>
        </w:tc>
        <w:tc>
          <w:tcPr>
            <w:tcW w:type="dxa" w:w="831"/>
          </w:tcPr>
          <w:p>
            <w:pPr>
              <w:pStyle w:val="null3"/>
            </w:pPr>
            <w:r>
              <w:rPr/>
              <w:t>详见附表八</w:t>
            </w:r>
          </w:p>
        </w:tc>
      </w:tr>
    </w:tbl>
    <w:p>
      <w:pPr>
        <w:pStyle w:val="null3"/>
      </w:pPr>
      <w:r>
        <w:rPr>
          <w:b/>
        </w:rPr>
        <w:t>附表</w:t>
      </w:r>
      <w:r>
        <w:rPr>
          <w:b/>
        </w:rPr>
        <w:t>一</w:t>
      </w:r>
      <w:r>
        <w:rPr>
          <w:b/>
        </w:rPr>
        <w:t>：</w:t>
      </w:r>
      <w:r>
        <w:rPr>
          <w:b/>
        </w:rPr>
        <w:t>桌面云集群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桌面云软件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桌面云终端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操作系统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核心交换机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网络交换机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上网行为管理设备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网络流量监控软件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广东省国土资源测绘院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采购机构代理服务收费标准：详见《广东省政府采购中心收费标准》http://gpcgd.gd.gov.cn/ywdt/tzgg/content/post_3049076.html（以本项目预算金额为基数按照上述标准计算）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采购包1：面向中小企业，以联合体形式预留，预留比例：30%。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基础地理信息数据及耕地动态监测监管等项目桌面云集群建设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采购包1（2025年基础地理信息数据及耕地动态监测监管等项目桌面云集群建设采购项目）：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采购包1（2025年基础地理信息数据及耕地动态监测监管等项目桌面云集群建设采购项目）：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或2024年度财务状况报告；②同时提供a.基本开户行出具的资信证明，b.《基本存款账号信息》或《开户许可证》。） 。（如投标人为联合体，联合体各方均须满足）。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管理关系的不同投标人，不得同时参加本采购项目（或采购包） 投标（响应）。投标（报价） 函相关承诺要求内容。 （如投标人为联合体，联合体各方不得与本采购包其他投标人存在上述情形）。</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为本项目提供整体设计、 规范编制或者项目管理、 监理、 检测等服务的投标人，不得再参与本项目投标（响应）。 投标（报价） 函相关承诺要求内容。（如投标人为联合体，联合体各方均须满足）。</w:t>
            </w:r>
          </w:p>
        </w:tc>
      </w:tr>
      <w:tr>
        <w:tc>
          <w:tcPr>
            <w:tcW w:type="dxa" w:w="890"/>
          </w:tcPr>
          <w:p>
            <w:pPr>
              <w:pStyle w:val="null3"/>
            </w:pPr>
            <w:r>
              <w:rPr/>
              <w:t>9</w:t>
            </w:r>
          </w:p>
        </w:tc>
        <w:tc>
          <w:tcPr>
            <w:tcW w:type="dxa" w:w="3178"/>
          </w:tcPr>
          <w:p>
            <w:pPr>
              <w:pStyle w:val="null3"/>
            </w:pPr>
            <w:r>
              <w:rPr/>
              <w:t>本项目接受联合体投标</w:t>
            </w:r>
          </w:p>
        </w:tc>
        <w:tc>
          <w:tcPr>
            <w:tcW w:type="dxa" w:w="4238"/>
          </w:tcPr>
          <w:p>
            <w:pPr>
              <w:pStyle w:val="null3"/>
            </w:pPr>
            <w:r>
              <w:rPr/>
              <w:t>本项目接受联合体投标，联合体组成单位不超过2家单位。联合体各方须提交《联合体共同投标协议书》，明确联合体牵头单位及各方责任，联合体牵头方对联合体成员完成招标任务负有责任且联合体任何一方不能再单独或与其他投标人组成另一联合体申请本项目的投标。（以联合体形式投标时，提交《联合体共同投标协议书》，联合体共同投标协议书必须加盖所有联合体成员法人公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本项目以联合体形式预留不少于合同金额30%给中小企业。供应商须符合以下情形之一： （1）若以非联合体形式投标，供应商所投产品（不适宜面向中小的产品除外，不适宜面向中小的产品详见采购需求）均须由中小企业生产且使用该中小企业商号或者注册商标。投标时需提交《中小企业声明函（货物）》。 （2）若以联合体形式投标，联合体任一方提供的产品（不适宜面向中小的产品除外，不适宜面向中小的产品详见采购需求）须全部由中小企业生产且使用该中小企业商号或者注册商标，且该部分须达到合同金额的30%。投标时需同时提交以下证明材料： ①提交《中小企业声明函（货物）》。 ②提供《产品报价统计表》（详见“第二章采购需求 八、产品报价统计表”）。 注：中小企业应符合本项目主要采购标的对应的行业（具体行业详见采购需求）的政策划分标准，以投标人填写的《中小企业声明函（货物）》（见投标格式）为判定标准，残疾人福利性单位以投标人填写的《残疾人福利性单位声明函》（见投标格式）为判定标准，监狱企业投标人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采购包1（2025年基础地理信息数据及耕地动态监测监管等项目桌面云集群建设采购项目）：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投标（报价）总金额是固定价且是唯一的，总报价未超过本项目总采购预算。分项单价报价未超分项预算单价限价。</w:t>
            </w:r>
          </w:p>
        </w:tc>
        <w:tc>
          <w:tcPr>
            <w:tcW w:type="dxa" w:w="4238"/>
          </w:tcPr>
          <w:p>
            <w:pPr>
              <w:pStyle w:val="null3"/>
            </w:pPr>
            <w:r>
              <w:rPr/>
              <w:t>投标（报价）总金额是固定价且是唯一的，总报价未超过本项目总采购预算。分项单价报价未超分项预算单价限价。</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未以进口产品投标。</w:t>
            </w:r>
          </w:p>
        </w:tc>
        <w:tc>
          <w:tcPr>
            <w:tcW w:type="dxa" w:w="4238"/>
          </w:tcPr>
          <w:p>
            <w:pPr>
              <w:pStyle w:val="null3"/>
            </w:pPr>
            <w:r>
              <w:rPr/>
              <w:t>未以进口产品投标。</w:t>
            </w:r>
          </w:p>
        </w:tc>
      </w:tr>
      <w:tr>
        <w:tc>
          <w:tcPr>
            <w:tcW w:type="dxa" w:w="890"/>
          </w:tcPr>
          <w:p>
            <w:pPr>
              <w:pStyle w:val="null3"/>
            </w:pPr>
            <w:r>
              <w:rPr/>
              <w:t>4</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5</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6</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7</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8</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10</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11</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采购包1(2025年基础地理信息数据及耕地动态监测监管等项目桌面云集群建设采购项目):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重要参数响应情况 (30.0分)</w:t>
            </w:r>
          </w:p>
        </w:tc>
        <w:tc>
          <w:tcPr>
            <w:tcW w:type="dxa" w:w="5076"/>
          </w:tcPr>
          <w:p>
            <w:pPr>
              <w:pStyle w:val="null3"/>
              <w:jc w:val="left"/>
            </w:pPr>
            <w:r>
              <w:rPr/>
              <w:t>技术要求中标注“▲”条款（共15项）每满足一项要求得2分，最高30分。 【注：1、供应商需在“《技术和服务要求响应表》”中逐一说明，否则视为不满足。 2、如用户需求中有明确要求提供的证明资料，还须同时按用户需求中的要求提供证明材料，无提供或未按要求提供证明材料的不得分；如用户需求中无明确证明材料的，以供应商在《技术和服务要求响应表》中的投标人填写的“是否偏离”为准，未填写或未响应或负偏离的视为不满足。 3、如证明材料所证明的情况与供应商所填写“是否偏离”情况不一致的，以证明材料作为评审的依据。】</w:t>
            </w:r>
          </w:p>
        </w:tc>
      </w:tr>
      <w:tr>
        <w:tc>
          <w:tcPr>
            <w:tcW w:type="dxa" w:w="922"/>
            <w:gridSpan w:val="2"/>
            <w:vMerge/>
          </w:tcPr>
          <w:p/>
        </w:tc>
        <w:tc>
          <w:tcPr>
            <w:tcW w:type="dxa" w:w="2307"/>
          </w:tcPr>
          <w:p>
            <w:pPr>
              <w:pStyle w:val="null3"/>
              <w:jc w:val="left"/>
            </w:pPr>
            <w:r>
              <w:rPr/>
              <w:t>一般参数响应情况 (15.0分)</w:t>
            </w:r>
          </w:p>
        </w:tc>
        <w:tc>
          <w:tcPr>
            <w:tcW w:type="dxa" w:w="5076"/>
          </w:tcPr>
          <w:p>
            <w:pPr>
              <w:pStyle w:val="null3"/>
              <w:jc w:val="left"/>
            </w:pPr>
            <w:r>
              <w:rPr/>
              <w:t>根据需求书“桌面云软件”、“桌面云终端”、“核心交换机”、“网络交换机”、“网络流量监控软件”、“上网行为管理设备”的技术参数要求，依据供应商提供的响应情况进行评审（“★”及“▲”条款除外）： （1）桌面云软件： 完全满足用户需求，得3分。不能完全满足用户需求得1分。完全不满足用户需求不得分。 （2）桌面云终端： 完全满足用户需求，得2分。不能完全满足用户需求得1分。完全不满足用户需求不得分。 （3）核心交换机： 完全满足用户需求，得3分。不能完全满足用户需求得1分。完全不满足用户需求不得分。 （4）网络交换机： 完全满足用户需求，得2分。不能完全满足用户需求得1分。完全不满足用户需求不得分。 （5）网络流量监控软件： 完全满足用户需求，得2分。不能完全满足用户需求得1分。完全不满足用户需求不得分。 （6）上网行为管理设备： 完全满足用户需求，得3分。不能完全满足用户需求得1分。完全不满足用户需求不得分。 【注：1、如用户需求中有明确要求提供的证明资料，则以用户需求中要求的为准，无提供或未按要求提供证明材料的不得分；如用户需求中无明确证明材料的，以供应商自行响应为准，未填写或不满足或负偏离或未响应的视为不满足。 2、如证明材料所证明的情况与供应商响应情况不一致的，以证明材料作为评审的依据。】</w:t>
            </w:r>
          </w:p>
        </w:tc>
      </w:tr>
      <w:tr>
        <w:tc>
          <w:tcPr>
            <w:tcW w:type="dxa" w:w="922"/>
            <w:gridSpan w:val="2"/>
            <w:vMerge/>
          </w:tcPr>
          <w:p/>
        </w:tc>
        <w:tc>
          <w:tcPr>
            <w:tcW w:type="dxa" w:w="2307"/>
          </w:tcPr>
          <w:p>
            <w:pPr>
              <w:pStyle w:val="null3"/>
              <w:jc w:val="left"/>
            </w:pPr>
            <w:r>
              <w:rPr/>
              <w:t>实施方案 (5.0分)</w:t>
            </w:r>
          </w:p>
        </w:tc>
        <w:tc>
          <w:tcPr>
            <w:tcW w:type="dxa" w:w="5076"/>
          </w:tcPr>
          <w:p>
            <w:pPr>
              <w:pStyle w:val="null3"/>
              <w:jc w:val="left"/>
            </w:pPr>
            <w:r>
              <w:rPr/>
              <w:t>根据需求书“一、项目概况、（二）标准要求、（三）供货要求、（五）进度要求、（八）培训要求、（九）交付要求、（十）售后要求”提供实施方案，针对供应商提供的项目实施具体方案进行综合评审（包括项目组织计划、过程管理、质量保证措施、风险管理及控制措施、实施进度计划、各实施阶段的成果、以及包装运输和安装调试的具体安排）（“★”、“▲”条款除外）： 1、实施方案完全满足且优于采购需求，得5分； 2、实施方案完全满足采购需求，得3分； 3、实施方案不能完全满足采购需求，得1分； 4、未提供或其他情况，不得分。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供应商具有有效的质量管理体系认证证书（认证范围与计算机应用软件开发相关、或与信息系统集成及技术服务相关）得2分，本项最高2分。 【注：提供认证证书复印件并须同时提供全国认证认可信息公共服务平台（网址：http://cx.cnca.cn/CertECloud/index/index/page）对体系证书的信息查询截图作为评审依据，已失效、暂停、撤销或不提供的不得分。如因供应商成立时间不足三个月的，对应得分。】</w:t>
            </w:r>
          </w:p>
        </w:tc>
      </w:tr>
      <w:tr>
        <w:tc>
          <w:tcPr>
            <w:tcW w:type="dxa" w:w="922"/>
            <w:gridSpan w:val="2"/>
            <w:vMerge/>
          </w:tcPr>
          <w:p/>
        </w:tc>
        <w:tc>
          <w:tcPr>
            <w:tcW w:type="dxa" w:w="2307"/>
          </w:tcPr>
          <w:p>
            <w:pPr>
              <w:pStyle w:val="null3"/>
              <w:jc w:val="left"/>
            </w:pPr>
            <w:r>
              <w:rPr/>
              <w:t>企业业绩 (4.0分)</w:t>
            </w:r>
          </w:p>
        </w:tc>
        <w:tc>
          <w:tcPr>
            <w:tcW w:type="dxa" w:w="5076"/>
          </w:tcPr>
          <w:p>
            <w:pPr>
              <w:pStyle w:val="null3"/>
              <w:jc w:val="left"/>
            </w:pPr>
            <w:r>
              <w:rPr/>
              <w:t>2022年（以验收合格报告时间为准）至今，供应商完成过的同类项目（同类项目指：与桌面云建设、或超融合平台建设、或虚拟化平台建设、或数据中心建设任意一类相关的项目），每提供1个项目得1分，此项最高得4分。 【注：同时提供项目合同关键页复印件（关键页至少包括合同内容、签约日期、双方盖章页）和验收合格报告复印件，未提供则相应项不得分。同一项目续签不重复计分。同一项目不重复计分】</w:t>
            </w:r>
          </w:p>
        </w:tc>
      </w:tr>
      <w:tr>
        <w:tc>
          <w:tcPr>
            <w:tcW w:type="dxa" w:w="922"/>
            <w:gridSpan w:val="2"/>
            <w:vMerge/>
          </w:tcPr>
          <w:p/>
        </w:tc>
        <w:tc>
          <w:tcPr>
            <w:tcW w:type="dxa" w:w="2307"/>
          </w:tcPr>
          <w:p>
            <w:pPr>
              <w:pStyle w:val="null3"/>
              <w:jc w:val="left"/>
            </w:pPr>
            <w:r>
              <w:rPr/>
              <w:t>项目经理 (6.0分)</w:t>
            </w:r>
          </w:p>
        </w:tc>
        <w:tc>
          <w:tcPr>
            <w:tcW w:type="dxa" w:w="5076"/>
          </w:tcPr>
          <w:p>
            <w:pPr>
              <w:pStyle w:val="null3"/>
              <w:jc w:val="left"/>
            </w:pPr>
            <w:r>
              <w:rPr/>
              <w:t>拟派项目经理（1人，最高6分）： 1、具备计算机科学与技术相关专业本科或以上学历证书得1.5分； 2、具备计算机技术与软件专业技术资格（水平）考试颁发的：①信息系统项目管理师、②系统分析师、③系统架构设计师，每具备一项证书得1.5分，最高得4.5分。 【注1：同一人具备多份学历证书，按最高级别计取一次分值，不重复计分。同一证书只计取一次分值，不重复计分。项目经理、技术负责人、拟派其他实施人员不得兼任，若兼任则本项不得分。 注2：供应商需提供相关人员证书复印件、及身份证复印件及2025年1月以来任意一个月供应商单位为其交纳社保（至少包含养老保险）的证明复印件作为评分依据，若无则不得分。投标人如提供国（境）外学历证书的，须同时提供中文翻译及教育部留学服务中心出具的“国外学历学位认证书”，否则不得分。】</w:t>
            </w:r>
          </w:p>
        </w:tc>
      </w:tr>
      <w:tr>
        <w:tc>
          <w:tcPr>
            <w:tcW w:type="dxa" w:w="922"/>
            <w:gridSpan w:val="2"/>
            <w:vMerge/>
          </w:tcPr>
          <w:p/>
        </w:tc>
        <w:tc>
          <w:tcPr>
            <w:tcW w:type="dxa" w:w="2307"/>
          </w:tcPr>
          <w:p>
            <w:pPr>
              <w:pStyle w:val="null3"/>
              <w:jc w:val="left"/>
            </w:pPr>
            <w:r>
              <w:rPr/>
              <w:t>技术负责人 (4.0分)</w:t>
            </w:r>
          </w:p>
        </w:tc>
        <w:tc>
          <w:tcPr>
            <w:tcW w:type="dxa" w:w="5076"/>
          </w:tcPr>
          <w:p>
            <w:pPr>
              <w:pStyle w:val="null3"/>
              <w:jc w:val="left"/>
            </w:pPr>
            <w:r>
              <w:rPr/>
              <w:t>拟派技术负责人（1人，最高4分）： 1、具备计算机科学与技术相关专业本科或以上学历证书得1分； 2、具备计算机技术与软件专业技术资格（水平）考试颁发的：①网络工程师、②信息系统项目管理师、③系统规划与管理师，每具备一项证书得1分，最高得3分。 【注1：同一人具备多份学历证书，按最高级别计取一次分值，不重复计分。同一证书只计取一次分值。项目经理、技术负责人、拟派其他实施人员不得兼任，若兼任则本项不得分。 注2：供应商需提供相关人员证书复印件、及身份证复印件及2025年1月以来任意一个月供应商单位为其交纳社保（至少包含养老保险）的证明复印件作为评分依据，若无则不得分。投标人如提供国（境）外学历证书的，须同时提供中文翻译及教育部留学服务中心出具的“国外学历学位认证书”，否则不得分。】</w:t>
            </w:r>
          </w:p>
        </w:tc>
      </w:tr>
      <w:tr>
        <w:tc>
          <w:tcPr>
            <w:tcW w:type="dxa" w:w="922"/>
            <w:gridSpan w:val="2"/>
            <w:vMerge/>
          </w:tcPr>
          <w:p/>
        </w:tc>
        <w:tc>
          <w:tcPr>
            <w:tcW w:type="dxa" w:w="2307"/>
          </w:tcPr>
          <w:p>
            <w:pPr>
              <w:pStyle w:val="null3"/>
              <w:jc w:val="left"/>
            </w:pPr>
            <w:r>
              <w:rPr/>
              <w:t>项目团队 (4.0分)</w:t>
            </w:r>
          </w:p>
        </w:tc>
        <w:tc>
          <w:tcPr>
            <w:tcW w:type="dxa" w:w="5076"/>
          </w:tcPr>
          <w:p>
            <w:pPr>
              <w:pStyle w:val="null3"/>
              <w:jc w:val="left"/>
            </w:pPr>
            <w:r>
              <w:rPr/>
              <w:t>拟派实施人员（至少2人，最高4分）： 具备计算机技术与软件专业技术资格（水平）考试颁发的：①系统规划与管理师、②网络工程师、③软件评测师、④软件设计师，每具备一项证书得1分，最高得4分。 【注1：同一人具有多份证书最高得2分，同一证书不重复计分。项目经理、技术负责人与本项拟派实施人员不得兼任，若兼任则本项不得分。 注2：供应商需提供相关人员证书复印件、及身份证复印件及2025年1月以来任意一个月供应商单位为其交纳社保（至少包含养老保险）的证明复印件作为评分依据，若无则不得分。】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合同编号：</w:t>
      </w:r>
    </w:p>
    <w:p>
      <w:pPr>
        <w:pStyle w:val="null3"/>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52"/>
        </w:rPr>
        <w:t>广东省国土资源测绘院</w:t>
      </w:r>
    </w:p>
    <w:p>
      <w:pPr>
        <w:pStyle w:val="null3"/>
        <w:jc w:val="center"/>
      </w:pPr>
      <w:r>
        <w:rPr>
          <w:sz w:val="52"/>
        </w:rPr>
        <w:t>政府采购合同</w:t>
      </w:r>
    </w:p>
    <w:p>
      <w:pPr>
        <w:pStyle w:val="null3"/>
        <w:jc w:val="center"/>
      </w:pPr>
      <w:r>
        <w:rPr>
          <w:sz w:val="21"/>
        </w:rPr>
        <w:t>（</w:t>
      </w:r>
      <w:r>
        <w:rPr>
          <w:sz w:val="21"/>
        </w:rPr>
        <w:t>本合同为中小企业预留合同）</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19"/>
              </w:rPr>
              <w:t xml:space="preserve"> </w:t>
            </w:r>
          </w:p>
          <w:p>
            <w:pPr>
              <w:pStyle w:val="null3"/>
              <w:ind w:left="1395"/>
              <w:jc w:val="both"/>
            </w:pPr>
            <w:r>
              <w:rPr>
                <w:sz w:val="28"/>
              </w:rPr>
              <w:t>项目名称：</w:t>
            </w:r>
            <w:r>
              <w:rPr>
                <w:sz w:val="28"/>
              </w:rPr>
              <w:t>2025 年基础地理信息数据及耕地动态监测监管等项目桌面云集群建设采购项目</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甲</w:t>
            </w:r>
            <w:r>
              <w:rPr>
                <w:sz w:val="28"/>
              </w:rPr>
              <w:t xml:space="preserve">    </w:t>
            </w:r>
            <w:r>
              <w:rPr>
                <w:sz w:val="28"/>
              </w:rPr>
              <w:t>方：广东省国土资源测绘院</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乙</w:t>
            </w:r>
            <w:r>
              <w:rPr>
                <w:sz w:val="28"/>
              </w:rPr>
              <w:t xml:space="preserve">    </w:t>
            </w:r>
            <w:r>
              <w:rPr>
                <w:sz w:val="28"/>
              </w:rPr>
              <w:t>方：</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签订日期：</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签订地点：广州市</w:t>
            </w:r>
            <w:r>
              <w:rPr>
                <w:sz w:val="28"/>
              </w:rPr>
              <w:t>黄埔区</w:t>
            </w:r>
          </w:p>
        </w:tc>
      </w:tr>
      <w:tr>
        <w:tc>
          <w:tcPr>
            <w:tcW w:type="dxa" w:w="83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履约期限：合同签订之日起至质保结束</w:t>
            </w:r>
          </w:p>
        </w:tc>
      </w:tr>
    </w:tbl>
    <w:p>
      <w:pPr>
        <w:pStyle w:val="null3"/>
        <w:jc w:val="both"/>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28"/>
        </w:rPr>
        <w:t>货物</w:t>
      </w:r>
      <w:r>
        <w:rPr>
          <w:sz w:val="28"/>
        </w:rPr>
        <w:t>采购合同</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1"/>
        </w:rPr>
        <w:t>委托</w:t>
      </w:r>
      <w:r>
        <w:rPr>
          <w:sz w:val="21"/>
        </w:rPr>
        <w:t>方</w:t>
      </w:r>
      <w:r>
        <w:rPr>
          <w:sz w:val="21"/>
        </w:rPr>
        <w:t>（甲方）：</w:t>
      </w:r>
      <w:r>
        <w:rPr>
          <w:sz w:val="21"/>
        </w:rPr>
        <w:t>广东省国土资源测绘院</w:t>
      </w:r>
      <w:r>
        <w:rPr>
          <w:sz w:val="21"/>
        </w:rPr>
        <w:t xml:space="preserve"> </w:t>
      </w:r>
      <w:r>
        <w:rPr>
          <w:sz w:val="21"/>
        </w:rPr>
        <w:t xml:space="preserve">    </w:t>
      </w:r>
      <w:r>
        <w:rPr>
          <w:sz w:val="21"/>
        </w:rPr>
        <w:t>法定代表人：</w:t>
      </w:r>
    </w:p>
    <w:p>
      <w:pPr>
        <w:pStyle w:val="null3"/>
        <w:jc w:val="both"/>
      </w:pPr>
      <w:r>
        <w:rPr>
          <w:sz w:val="21"/>
        </w:rPr>
        <w:t>地址：</w:t>
      </w:r>
      <w:r>
        <w:rPr>
          <w:sz w:val="21"/>
        </w:rPr>
        <w:t>广州市黄埔区光谱中路</w:t>
      </w:r>
      <w:r>
        <w:rPr>
          <w:sz w:val="21"/>
        </w:rPr>
        <w:t>13号</w:t>
      </w:r>
      <w:r>
        <w:rPr>
          <w:sz w:val="21"/>
        </w:rPr>
        <w:t xml:space="preserve">                </w:t>
      </w:r>
      <w:r>
        <w:rPr>
          <w:sz w:val="21"/>
        </w:rPr>
        <w:t>电话：</w:t>
      </w:r>
    </w:p>
    <w:p>
      <w:pPr>
        <w:pStyle w:val="null3"/>
        <w:jc w:val="both"/>
      </w:pPr>
      <w:r>
        <w:rPr>
          <w:sz w:val="21"/>
        </w:rPr>
        <w:t>联系人：</w:t>
      </w:r>
      <w:r>
        <w:rPr>
          <w:sz w:val="21"/>
        </w:rPr>
        <w:t xml:space="preserve">                                                     </w:t>
      </w:r>
      <w:r>
        <w:rPr>
          <w:sz w:val="21"/>
        </w:rPr>
        <w:t>联系人</w:t>
      </w:r>
      <w:r>
        <w:rPr>
          <w:sz w:val="21"/>
        </w:rPr>
        <w:t>电话：</w:t>
      </w:r>
    </w:p>
    <w:p>
      <w:pPr>
        <w:pStyle w:val="null3"/>
        <w:jc w:val="both"/>
      </w:pPr>
      <w:r>
        <w:rPr>
          <w:sz w:val="21"/>
        </w:rPr>
        <w:t>受托方</w:t>
      </w:r>
      <w:r>
        <w:rPr>
          <w:sz w:val="21"/>
        </w:rPr>
        <w:t>（乙方）</w:t>
      </w:r>
      <w:r>
        <w:rPr>
          <w:sz w:val="21"/>
        </w:rPr>
        <w:t>:</w:t>
      </w:r>
      <w:r>
        <w:rPr>
          <w:sz w:val="21"/>
        </w:rPr>
        <w:t xml:space="preserve">                                         </w:t>
      </w:r>
      <w:r>
        <w:rPr>
          <w:sz w:val="21"/>
        </w:rPr>
        <w:t>法定代表人：</w:t>
      </w:r>
    </w:p>
    <w:p>
      <w:pPr>
        <w:pStyle w:val="null3"/>
        <w:jc w:val="both"/>
      </w:pPr>
      <w:r>
        <w:rPr>
          <w:sz w:val="21"/>
        </w:rPr>
        <w:t>统一社会信用代码：</w:t>
      </w:r>
      <w:r>
        <w:rPr>
          <w:sz w:val="21"/>
        </w:rPr>
        <w:t xml:space="preserve">                                    </w:t>
      </w:r>
      <w:r>
        <w:rPr>
          <w:sz w:val="21"/>
        </w:rPr>
        <w:t>乙方规模：（大型、中型、小型企业）</w:t>
      </w:r>
    </w:p>
    <w:p>
      <w:pPr>
        <w:pStyle w:val="null3"/>
        <w:jc w:val="both"/>
      </w:pPr>
      <w:r>
        <w:rPr>
          <w:sz w:val="21"/>
        </w:rPr>
        <w:t>地址：</w:t>
      </w:r>
      <w:r>
        <w:rPr>
          <w:sz w:val="21"/>
        </w:rPr>
        <w:t xml:space="preserve">                                                        </w:t>
      </w:r>
      <w:r>
        <w:rPr>
          <w:sz w:val="21"/>
        </w:rPr>
        <w:t>电话：</w:t>
      </w:r>
    </w:p>
    <w:p>
      <w:pPr>
        <w:pStyle w:val="null3"/>
        <w:jc w:val="both"/>
      </w:pPr>
      <w:r>
        <w:rPr>
          <w:sz w:val="21"/>
        </w:rPr>
        <w:t>联系人：</w:t>
      </w:r>
      <w:r>
        <w:rPr>
          <w:sz w:val="21"/>
        </w:rPr>
        <w:t xml:space="preserve">                                                     </w:t>
      </w:r>
      <w:r>
        <w:rPr>
          <w:sz w:val="21"/>
        </w:rPr>
        <w:t>联系人</w:t>
      </w:r>
      <w:r>
        <w:rPr>
          <w:sz w:val="21"/>
        </w:rPr>
        <w:t>电话</w:t>
      </w:r>
      <w:r>
        <w:rPr>
          <w:sz w:val="21"/>
        </w:rPr>
        <w:t>：</w:t>
      </w:r>
    </w:p>
    <w:p>
      <w:pPr>
        <w:pStyle w:val="null3"/>
        <w:ind w:firstLine="480"/>
        <w:jc w:val="both"/>
      </w:pPr>
      <w:r>
        <w:rPr>
          <w:sz w:val="21"/>
        </w:rPr>
        <w:t>根据</w:t>
      </w:r>
      <w:r>
        <w:rPr>
          <w:sz w:val="21"/>
          <w:color w:val="000000"/>
          <w:u w:val="single"/>
        </w:rPr>
        <w:t>2025 年基础地理信息数据及耕地动态监测监管等项目桌面云集群建设采购项目</w:t>
      </w:r>
      <w:r>
        <w:rPr>
          <w:sz w:val="21"/>
          <w:color w:val="000000"/>
        </w:rPr>
        <w:t>（项目编号：</w:t>
      </w:r>
      <w:r>
        <w:rPr>
          <w:sz w:val="21"/>
          <w:u w:val="single"/>
        </w:rPr>
        <w:t xml:space="preserve">               </w:t>
      </w:r>
      <w:r>
        <w:rPr>
          <w:sz w:val="21"/>
          <w:color w:val="000000"/>
        </w:rPr>
        <w:t>）</w:t>
      </w:r>
      <w:r>
        <w:rPr>
          <w:sz w:val="21"/>
        </w:rPr>
        <w:t>的采购结果</w:t>
      </w:r>
      <w:r>
        <w:rPr>
          <w:sz w:val="21"/>
        </w:rPr>
        <w:t>，</w:t>
      </w:r>
      <w:r>
        <w:rPr>
          <w:sz w:val="21"/>
        </w:rPr>
        <w:t>按照《中华人民共和国政府采购法》《中华人民共和国民法典》的规定，经双方协商，本着平等互利和诚实信用的原则，一致同意签订本合同。</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62"/>
        <w:gridCol w:w="1263"/>
        <w:gridCol w:w="1925"/>
        <w:gridCol w:w="1521"/>
        <w:gridCol w:w="710"/>
        <w:gridCol w:w="1087"/>
        <w:gridCol w:w="1139"/>
      </w:tblGrid>
      <w:tr>
        <w:tc>
          <w:tcPr>
            <w:tcW w:type="dxa" w:w="662"/>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序号</w:t>
            </w:r>
          </w:p>
        </w:tc>
        <w:tc>
          <w:tcPr>
            <w:tcW w:type="dxa" w:w="1263"/>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标的名称</w:t>
            </w:r>
          </w:p>
        </w:tc>
        <w:tc>
          <w:tcPr>
            <w:tcW w:type="dxa" w:w="1925"/>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品牌、规格型号、配置（性能参数）</w:t>
            </w:r>
          </w:p>
        </w:tc>
        <w:tc>
          <w:tcPr>
            <w:tcW w:type="dxa" w:w="1521"/>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制造商</w:t>
            </w:r>
          </w:p>
        </w:tc>
        <w:tc>
          <w:tcPr>
            <w:tcW w:type="dxa" w:w="710"/>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数量</w:t>
            </w:r>
            <w:r>
              <w:rPr>
                <w:sz w:val="18"/>
              </w:rPr>
              <w:t>单位</w:t>
            </w:r>
          </w:p>
        </w:tc>
        <w:tc>
          <w:tcPr>
            <w:tcW w:type="dxa" w:w="1087"/>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单价</w:t>
            </w:r>
            <w:r>
              <w:rPr>
                <w:sz w:val="18"/>
              </w:rPr>
              <w:t>(元)</w:t>
            </w:r>
          </w:p>
        </w:tc>
        <w:tc>
          <w:tcPr>
            <w:tcW w:type="dxa" w:w="1139"/>
            <w:tcBorders>
              <w:top w:val="singl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rPr>
              <w:t>金额</w:t>
            </w:r>
            <w:r>
              <w:rPr>
                <w:sz w:val="18"/>
              </w:rPr>
              <w:t>(元)</w:t>
            </w: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1.</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桌面云集群</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3套</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2.</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桌面云软件</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3套</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3.</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桌面云终端</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100套</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4.</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操作系统</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130套</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5.</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核心交换机</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4台</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6.</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网络交换机</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12台</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7.</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上网行为管理设备</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1台</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662"/>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9"/>
              </w:rPr>
              <w:t>8.</w:t>
            </w:r>
          </w:p>
        </w:tc>
        <w:tc>
          <w:tcPr>
            <w:tcW w:type="dxa" w:w="1263"/>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网络流量监控软件</w:t>
            </w:r>
          </w:p>
        </w:tc>
        <w:tc>
          <w:tcPr>
            <w:tcW w:type="dxa" w:w="1925"/>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521"/>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c>
          <w:tcPr>
            <w:tcW w:type="dxa" w:w="710"/>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r>
              <w:rPr>
                <w:sz w:val="18"/>
                <w:color w:val="000000"/>
              </w:rPr>
              <w:t>1套</w:t>
            </w:r>
          </w:p>
        </w:tc>
        <w:tc>
          <w:tcPr>
            <w:tcW w:type="dxa" w:w="108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center"/>
            </w:pPr>
          </w:p>
        </w:tc>
        <w:tc>
          <w:tcPr>
            <w:tcW w:type="dxa" w:w="1139"/>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tc>
      </w:tr>
      <w:tr>
        <w:tc>
          <w:tcPr>
            <w:tcW w:type="dxa" w:w="8307"/>
            <w:gridSpan w:val="7"/>
            <w:tcBorders>
              <w:top w:val="none" w:color="000000" w:sz="4"/>
              <w:left w:val="single" w:color="000000" w:sz="4"/>
              <w:bottom w:val="single" w:color="000000" w:sz="4"/>
              <w:right w:val="single" w:color="000000" w:sz="4"/>
            </w:tcBorders>
            <w:tcMar>
              <w:top w:type="dxa" w:w="60"/>
              <w:left w:type="dxa" w:w="105"/>
              <w:bottom w:type="dxa" w:w="60"/>
              <w:right w:type="dxa" w:w="105"/>
            </w:tcMar>
            <w:vAlign w:val="top"/>
          </w:tcPr>
          <w:p>
            <w:pPr>
              <w:pStyle w:val="null3"/>
              <w:jc w:val="both"/>
            </w:pPr>
            <w:r>
              <w:rPr>
                <w:sz w:val="21"/>
              </w:rPr>
              <w:t>合计总额：</w:t>
            </w:r>
            <w:r>
              <w:rPr>
                <w:sz w:val="21"/>
                <w:u w:val="single"/>
              </w:rPr>
              <w:t>¥</w:t>
            </w:r>
            <w:r>
              <w:rPr>
                <w:sz w:val="21"/>
                <w:u w:val="single"/>
              </w:rPr>
              <w:t xml:space="preserve">         </w:t>
            </w:r>
            <w:r>
              <w:rPr>
                <w:sz w:val="21"/>
                <w:u w:val="single"/>
              </w:rPr>
              <w:t>0.00</w:t>
            </w:r>
            <w:r>
              <w:rPr>
                <w:sz w:val="21"/>
              </w:rPr>
              <w:t>；（大写）人民币</w:t>
            </w:r>
            <w:r>
              <w:rPr>
                <w:sz w:val="21"/>
                <w:u w:val="single"/>
              </w:rPr>
              <w:t xml:space="preserve">                    </w:t>
            </w:r>
            <w:r>
              <w:rPr>
                <w:sz w:val="21"/>
                <w:u w:val="single"/>
              </w:rPr>
              <w:t>元整</w:t>
            </w:r>
          </w:p>
        </w:tc>
      </w:tr>
    </w:tbl>
    <w:p>
      <w:pPr>
        <w:pStyle w:val="null3"/>
        <w:ind w:firstLine="420"/>
        <w:jc w:val="both"/>
      </w:pPr>
      <w:r>
        <w:rPr>
          <w:sz w:val="21"/>
        </w:rPr>
        <w:t>注：货物名称内容必须与投标文件中货物名称内容一致</w:t>
      </w:r>
      <w:r>
        <w:rPr>
          <w:sz w:val="21"/>
        </w:rPr>
        <w:t>，</w:t>
      </w:r>
      <w:r>
        <w:rPr>
          <w:sz w:val="21"/>
        </w:rPr>
        <w:t>详见附件</w:t>
      </w:r>
      <w:r>
        <w:rPr>
          <w:sz w:val="21"/>
        </w:rPr>
        <w:t>1.项目产品配置清单、附件2.产品参数指标</w:t>
      </w:r>
      <w:r>
        <w:rPr>
          <w:sz w:val="21"/>
        </w:rPr>
        <w:t>。</w:t>
      </w:r>
    </w:p>
    <w:p>
      <w:pPr>
        <w:pStyle w:val="null3"/>
        <w:ind w:firstLine="422"/>
        <w:jc w:val="both"/>
      </w:pPr>
      <w:r>
        <w:rPr>
          <w:sz w:val="21"/>
          <w:b/>
        </w:rPr>
        <w:t>二、合同金额</w:t>
      </w:r>
    </w:p>
    <w:p>
      <w:pPr>
        <w:pStyle w:val="null3"/>
        <w:ind w:firstLine="420"/>
        <w:jc w:val="both"/>
      </w:pPr>
      <w:r>
        <w:rPr>
          <w:sz w:val="21"/>
        </w:rPr>
        <w:t>1.合同金额为:</w:t>
      </w:r>
      <w:r>
        <w:rPr>
          <w:sz w:val="21"/>
          <w:b/>
          <w:u w:val="single"/>
        </w:rPr>
        <w:t>¥</w:t>
      </w:r>
      <w:r>
        <w:rPr>
          <w:sz w:val="21"/>
          <w:b/>
          <w:u w:val="single"/>
        </w:rPr>
        <w:t xml:space="preserve">       </w:t>
      </w:r>
      <w:r>
        <w:rPr>
          <w:sz w:val="21"/>
          <w:b/>
          <w:u w:val="single"/>
        </w:rPr>
        <w:t>0.00</w:t>
      </w:r>
      <w:r>
        <w:rPr>
          <w:sz w:val="21"/>
        </w:rPr>
        <w:t>，（大写）人民币</w:t>
      </w:r>
      <w:r>
        <w:rPr>
          <w:sz w:val="21"/>
          <w:u w:val="single"/>
        </w:rPr>
        <w:t xml:space="preserve">                     </w:t>
      </w:r>
      <w:r>
        <w:rPr>
          <w:sz w:val="21"/>
          <w:u w:val="single"/>
        </w:rPr>
        <w:t>元整</w:t>
      </w:r>
      <w:r>
        <w:rPr>
          <w:sz w:val="21"/>
        </w:rPr>
        <w:t>，总价包干。</w:t>
      </w:r>
    </w:p>
    <w:p>
      <w:pPr>
        <w:pStyle w:val="null3"/>
        <w:ind w:firstLine="420"/>
        <w:jc w:val="both"/>
      </w:pPr>
      <w:r>
        <w:rPr>
          <w:sz w:val="21"/>
        </w:rPr>
        <w:t>2.合同金额包括但不限于税金、技术服务经费及报酬、知识产权申请、科技成果查新（鉴定）、专利申报、设计书评审、技术培训、第三方服务（鉴定、测试测评检测、系统软件授权、技术支持等）、项目验收、质保期服务和</w:t>
      </w:r>
      <w:r>
        <w:rPr>
          <w:sz w:val="21"/>
        </w:rPr>
        <w:t>代理</w:t>
      </w:r>
      <w:r>
        <w:rPr>
          <w:sz w:val="21"/>
        </w:rPr>
        <w:t>服务费等可以预见的费用和一切不可预见的费用，</w:t>
      </w:r>
      <w:r>
        <w:rPr>
          <w:sz w:val="21"/>
        </w:rPr>
        <w:t>乙方</w:t>
      </w:r>
      <w:r>
        <w:rPr>
          <w:sz w:val="21"/>
        </w:rPr>
        <w:t>不得以任何理由要求</w:t>
      </w:r>
      <w:r>
        <w:rPr>
          <w:sz w:val="21"/>
        </w:rPr>
        <w:t>甲方</w:t>
      </w:r>
      <w:r>
        <w:rPr>
          <w:sz w:val="21"/>
        </w:rPr>
        <w:t>追加经费。</w:t>
      </w:r>
    </w:p>
    <w:p>
      <w:pPr>
        <w:pStyle w:val="null3"/>
        <w:ind w:firstLine="422"/>
        <w:jc w:val="both"/>
      </w:pPr>
      <w:r>
        <w:rPr>
          <w:sz w:val="21"/>
          <w:b/>
        </w:rPr>
        <w:t>三</w:t>
      </w:r>
      <w:r>
        <w:rPr>
          <w:sz w:val="21"/>
          <w:b/>
        </w:rPr>
        <w:t>、付款方式</w:t>
      </w:r>
    </w:p>
    <w:p>
      <w:pPr>
        <w:pStyle w:val="null3"/>
        <w:ind w:firstLine="420"/>
        <w:jc w:val="both"/>
      </w:pPr>
      <w:r>
        <w:rPr>
          <w:sz w:val="21"/>
        </w:rPr>
        <w:t>1.</w:t>
      </w:r>
      <w:r>
        <w:rPr>
          <w:sz w:val="21"/>
        </w:rPr>
        <w:t>本项目费具体支付方式和时间如下：</w:t>
      </w:r>
    </w:p>
    <w:p>
      <w:pPr>
        <w:pStyle w:val="null3"/>
        <w:ind w:firstLine="420"/>
        <w:jc w:val="both"/>
      </w:pPr>
      <w:r>
        <w:rPr>
          <w:sz w:val="21"/>
        </w:rPr>
        <w:t>（</w:t>
      </w:r>
      <w:r>
        <w:rPr>
          <w:sz w:val="21"/>
        </w:rPr>
        <w:t>1）</w:t>
      </w:r>
      <w:r>
        <w:rPr>
          <w:sz w:val="21"/>
        </w:rPr>
        <w:t>首期款：合同签订后，</w:t>
      </w:r>
      <w:r>
        <w:rPr>
          <w:sz w:val="21"/>
        </w:rPr>
        <w:t>甲方在收到乙方提供的税务部门认可的有效发票之日起</w:t>
      </w:r>
      <w:r>
        <w:rPr>
          <w:sz w:val="21"/>
        </w:rPr>
        <w:t>1</w:t>
      </w:r>
      <w:r>
        <w:rPr>
          <w:sz w:val="21"/>
        </w:rPr>
        <w:t>0</w:t>
      </w:r>
      <w:r>
        <w:rPr>
          <w:sz w:val="21"/>
        </w:rPr>
        <w:t>个工作日内支付，支付合同总价的</w:t>
      </w:r>
      <w:r>
        <w:rPr>
          <w:sz w:val="21"/>
          <w:u w:val="single"/>
        </w:rPr>
        <w:t>50</w:t>
      </w:r>
      <w:r>
        <w:rPr>
          <w:sz w:val="21"/>
          <w:u w:val="single"/>
        </w:rPr>
        <w:t>%</w:t>
      </w:r>
      <w:r>
        <w:rPr>
          <w:sz w:val="21"/>
        </w:rPr>
        <w:t>(</w:t>
      </w:r>
      <w:r>
        <w:rPr>
          <w:sz w:val="21"/>
          <w:u w:val="single"/>
        </w:rPr>
        <w:t>¥</w:t>
      </w:r>
      <w:r>
        <w:rPr>
          <w:sz w:val="21"/>
          <w:u w:val="single"/>
        </w:rPr>
        <w:t xml:space="preserve">  </w:t>
      </w:r>
      <w:r>
        <w:rPr>
          <w:sz w:val="21"/>
          <w:u w:val="single"/>
        </w:rPr>
        <w:t>0.00</w:t>
      </w:r>
      <w:r>
        <w:rPr>
          <w:sz w:val="21"/>
        </w:rPr>
        <w:t>，大写人民币</w:t>
      </w:r>
      <w:r>
        <w:rPr>
          <w:sz w:val="21"/>
          <w:u w:val="single"/>
        </w:rPr>
        <w:t xml:space="preserve">             </w:t>
      </w:r>
      <w:r>
        <w:rPr>
          <w:sz w:val="21"/>
          <w:u w:val="single"/>
        </w:rPr>
        <w:t>元整</w:t>
      </w:r>
      <w:r>
        <w:rPr>
          <w:sz w:val="21"/>
        </w:rPr>
        <w:t>)。</w:t>
      </w:r>
    </w:p>
    <w:p>
      <w:pPr>
        <w:pStyle w:val="null3"/>
        <w:ind w:firstLine="420"/>
        <w:jc w:val="both"/>
      </w:pPr>
      <w:r>
        <w:rPr>
          <w:sz w:val="21"/>
        </w:rPr>
        <w:t>（</w:t>
      </w:r>
      <w:r>
        <w:rPr>
          <w:sz w:val="21"/>
        </w:rPr>
        <w:t>2</w:t>
      </w:r>
      <w:r>
        <w:rPr>
          <w:sz w:val="21"/>
        </w:rPr>
        <w:t>）</w:t>
      </w:r>
      <w:r>
        <w:rPr>
          <w:sz w:val="21"/>
        </w:rPr>
        <w:t>二期款：验收通过后，</w:t>
      </w:r>
      <w:r>
        <w:rPr>
          <w:sz w:val="21"/>
        </w:rPr>
        <w:t>甲方在收到乙方提供的税务部门认可的有效发票之日起</w:t>
      </w:r>
      <w:r>
        <w:rPr>
          <w:sz w:val="21"/>
        </w:rPr>
        <w:t>1</w:t>
      </w:r>
      <w:r>
        <w:rPr>
          <w:sz w:val="21"/>
        </w:rPr>
        <w:t>0</w:t>
      </w:r>
      <w:r>
        <w:rPr>
          <w:sz w:val="21"/>
        </w:rPr>
        <w:t>个工作日内支付，支付合同总价的</w:t>
      </w:r>
      <w:r>
        <w:rPr>
          <w:sz w:val="21"/>
          <w:u w:val="single"/>
        </w:rPr>
        <w:t>5</w:t>
      </w:r>
      <w:r>
        <w:rPr>
          <w:sz w:val="21"/>
          <w:u w:val="single"/>
        </w:rPr>
        <w:t>0%</w:t>
      </w:r>
      <w:r>
        <w:rPr>
          <w:sz w:val="21"/>
        </w:rPr>
        <w:t>(</w:t>
      </w:r>
      <w:r>
        <w:rPr>
          <w:sz w:val="21"/>
          <w:u w:val="single"/>
        </w:rPr>
        <w:t>¥</w:t>
      </w:r>
      <w:r>
        <w:rPr>
          <w:sz w:val="21"/>
          <w:u w:val="single"/>
        </w:rPr>
        <w:t xml:space="preserve">  </w:t>
      </w:r>
      <w:r>
        <w:rPr>
          <w:sz w:val="21"/>
          <w:u w:val="single"/>
        </w:rPr>
        <w:t>0.00</w:t>
      </w:r>
      <w:r>
        <w:rPr>
          <w:sz w:val="21"/>
        </w:rPr>
        <w:t>，大写人民币</w:t>
      </w:r>
      <w:r>
        <w:rPr>
          <w:sz w:val="21"/>
          <w:u w:val="single"/>
        </w:rPr>
        <w:t xml:space="preserve">           </w:t>
      </w:r>
      <w:r>
        <w:rPr>
          <w:sz w:val="21"/>
          <w:u w:val="single"/>
        </w:rPr>
        <w:t>元整</w:t>
      </w:r>
      <w:r>
        <w:rPr>
          <w:sz w:val="21"/>
        </w:rPr>
        <w:t>)。</w:t>
      </w:r>
    </w:p>
    <w:p>
      <w:pPr>
        <w:pStyle w:val="null3"/>
        <w:ind w:firstLine="420"/>
        <w:jc w:val="both"/>
      </w:pPr>
      <w:r>
        <w:rPr>
          <w:sz w:val="21"/>
        </w:rPr>
        <w:t>2</w:t>
      </w:r>
      <w:r>
        <w:rPr>
          <w:sz w:val="21"/>
        </w:rPr>
        <w:t>.</w:t>
      </w:r>
      <w:r>
        <w:rPr>
          <w:sz w:val="21"/>
        </w:rPr>
        <w:t>其他</w:t>
      </w:r>
    </w:p>
    <w:p>
      <w:pPr>
        <w:pStyle w:val="null3"/>
        <w:ind w:firstLine="420"/>
        <w:jc w:val="both"/>
      </w:pPr>
      <w:r>
        <w:rPr>
          <w:sz w:val="21"/>
        </w:rPr>
        <w:t>（</w:t>
      </w:r>
      <w:r>
        <w:rPr>
          <w:sz w:val="21"/>
        </w:rPr>
        <w:t>1）</w:t>
      </w:r>
      <w:r>
        <w:rPr>
          <w:sz w:val="21"/>
        </w:rPr>
        <w:t>因本项目资金来源为财政资金，</w:t>
      </w:r>
      <w:r>
        <w:rPr>
          <w:sz w:val="21"/>
        </w:rPr>
        <w:t>乙方</w:t>
      </w:r>
      <w:r>
        <w:rPr>
          <w:sz w:val="21"/>
        </w:rPr>
        <w:t>出具的发票需满足</w:t>
      </w:r>
      <w:r>
        <w:rPr>
          <w:sz w:val="21"/>
        </w:rPr>
        <w:t>甲方</w:t>
      </w:r>
      <w:r>
        <w:rPr>
          <w:sz w:val="21"/>
        </w:rPr>
        <w:t>资金来源管理要求，如因财政经费未到达无法支付款项，</w:t>
      </w:r>
      <w:r>
        <w:rPr>
          <w:sz w:val="21"/>
        </w:rPr>
        <w:t>乙方</w:t>
      </w:r>
      <w:r>
        <w:rPr>
          <w:sz w:val="21"/>
        </w:rPr>
        <w:t>不得以迟延支付为由要求</w:t>
      </w:r>
      <w:r>
        <w:rPr>
          <w:sz w:val="21"/>
        </w:rPr>
        <w:t>甲方</w:t>
      </w:r>
      <w:r>
        <w:rPr>
          <w:sz w:val="21"/>
        </w:rPr>
        <w:t>承担违约责任或解除合同。</w:t>
      </w:r>
      <w:r>
        <w:rPr>
          <w:sz w:val="21"/>
        </w:rPr>
        <w:t>乙方</w:t>
      </w:r>
      <w:r>
        <w:rPr>
          <w:sz w:val="21"/>
        </w:rPr>
        <w:t>应在</w:t>
      </w:r>
      <w:r>
        <w:rPr>
          <w:sz w:val="21"/>
        </w:rPr>
        <w:t>甲方</w:t>
      </w:r>
      <w:r>
        <w:rPr>
          <w:sz w:val="21"/>
        </w:rPr>
        <w:t>支付前提供合法等额发票，否则</w:t>
      </w:r>
      <w:r>
        <w:rPr>
          <w:sz w:val="21"/>
        </w:rPr>
        <w:t>甲方</w:t>
      </w:r>
      <w:r>
        <w:rPr>
          <w:sz w:val="21"/>
        </w:rPr>
        <w:t>有权拒绝支付相应费用，并不承担违约责任。</w:t>
      </w:r>
    </w:p>
    <w:p>
      <w:pPr>
        <w:pStyle w:val="null3"/>
        <w:ind w:firstLine="420"/>
        <w:jc w:val="both"/>
      </w:pPr>
      <w:r>
        <w:rPr>
          <w:sz w:val="21"/>
        </w:rPr>
        <w:t>（</w:t>
      </w:r>
      <w:r>
        <w:rPr>
          <w:sz w:val="21"/>
        </w:rPr>
        <w:t>2</w:t>
      </w:r>
      <w:r>
        <w:rPr>
          <w:sz w:val="21"/>
        </w:rPr>
        <w:t>）</w:t>
      </w:r>
      <w:r>
        <w:rPr>
          <w:sz w:val="21"/>
        </w:rPr>
        <w:t>乙方交付的货物未能按期完成或验收不合格，致使本项目资金回收而无法支付本项目款项时，所造成的直接经济损失和预期损失由乙方承担。</w:t>
      </w:r>
    </w:p>
    <w:p>
      <w:pPr>
        <w:pStyle w:val="null3"/>
        <w:ind w:firstLine="420"/>
        <w:jc w:val="both"/>
      </w:pPr>
      <w:r>
        <w:rPr>
          <w:sz w:val="21"/>
        </w:rPr>
        <w:t>3</w:t>
      </w:r>
      <w:r>
        <w:rPr>
          <w:sz w:val="21"/>
        </w:rPr>
        <w:t>.</w:t>
      </w:r>
      <w:r>
        <w:rPr>
          <w:sz w:val="21"/>
        </w:rPr>
        <w:t>账户信息</w:t>
      </w:r>
    </w:p>
    <w:p>
      <w:pPr>
        <w:pStyle w:val="null3"/>
        <w:ind w:firstLine="420"/>
        <w:jc w:val="both"/>
      </w:pPr>
      <w:r>
        <w:rPr>
          <w:sz w:val="21"/>
        </w:rPr>
        <w:t>（</w:t>
      </w:r>
      <w:r>
        <w:rPr>
          <w:sz w:val="21"/>
        </w:rPr>
        <w:t>1）</w:t>
      </w:r>
      <w:r>
        <w:rPr>
          <w:sz w:val="21"/>
          <w:color w:val="000000"/>
        </w:rPr>
        <w:t>乙方</w:t>
      </w:r>
      <w:r>
        <w:rPr>
          <w:sz w:val="21"/>
          <w:color w:val="000000"/>
        </w:rPr>
        <w:t>信息</w:t>
      </w:r>
      <w:r>
        <w:rPr>
          <w:sz w:val="21"/>
          <w:color w:val="000000"/>
        </w:rPr>
        <w:t>：</w:t>
      </w:r>
    </w:p>
    <w:p>
      <w:pPr>
        <w:pStyle w:val="null3"/>
        <w:ind w:firstLine="420"/>
        <w:jc w:val="left"/>
      </w:pPr>
      <w:r>
        <w:rPr>
          <w:sz w:val="21"/>
          <w:color w:val="000000"/>
        </w:rPr>
        <w:t>单位名称</w:t>
      </w:r>
      <w:r>
        <w:rPr>
          <w:sz w:val="21"/>
          <w:color w:val="000000"/>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left"/>
      </w:pPr>
      <w:r>
        <w:rPr>
          <w:sz w:val="21"/>
          <w:color w:val="000000"/>
        </w:rPr>
        <w:t>开户银行：</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left"/>
      </w:pPr>
      <w:r>
        <w:rPr>
          <w:sz w:val="21"/>
          <w:color w:val="000000"/>
        </w:rPr>
        <w:t>银行账号</w:t>
      </w:r>
      <w:r>
        <w:rPr>
          <w:sz w:val="21"/>
          <w:color w:val="000000"/>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left"/>
      </w:pPr>
      <w:r>
        <w:rPr>
          <w:sz w:val="21"/>
          <w:color w:val="000000"/>
        </w:rPr>
        <w:t>统一社会信用代码</w:t>
      </w:r>
      <w:r>
        <w:rPr>
          <w:sz w:val="21"/>
          <w:color w:val="000000"/>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2</w:t>
      </w:r>
      <w:r>
        <w:rPr>
          <w:sz w:val="21"/>
        </w:rPr>
        <w:t>）</w:t>
      </w:r>
      <w:r>
        <w:rPr>
          <w:sz w:val="21"/>
          <w:color w:val="000000"/>
        </w:rPr>
        <w:t>甲方信息</w:t>
      </w:r>
      <w:r>
        <w:rPr>
          <w:sz w:val="21"/>
          <w:color w:val="000000"/>
        </w:rPr>
        <w:t>：</w:t>
      </w:r>
    </w:p>
    <w:p>
      <w:pPr>
        <w:pStyle w:val="null3"/>
        <w:ind w:firstLine="420"/>
        <w:jc w:val="left"/>
      </w:pPr>
      <w:r>
        <w:rPr>
          <w:sz w:val="21"/>
          <w:color w:val="000000"/>
        </w:rPr>
        <w:t>单位名称</w:t>
      </w:r>
      <w:r>
        <w:rPr>
          <w:sz w:val="21"/>
          <w:color w:val="000000"/>
        </w:rPr>
        <w:t>：</w:t>
      </w:r>
      <w:r>
        <w:rPr>
          <w:sz w:val="21"/>
          <w:u w:val="single"/>
        </w:rPr>
        <w:t>广东省国土资源测绘院</w:t>
      </w:r>
    </w:p>
    <w:p>
      <w:pPr>
        <w:pStyle w:val="null3"/>
        <w:ind w:firstLine="420"/>
        <w:jc w:val="left"/>
      </w:pPr>
      <w:r>
        <w:rPr>
          <w:sz w:val="21"/>
          <w:color w:val="000000"/>
        </w:rPr>
        <w:t>开户银行：</w:t>
      </w:r>
      <w:r>
        <w:rPr>
          <w:sz w:val="21"/>
          <w:u w:val="single"/>
        </w:rPr>
        <w:t>工商银行广州沙河支行</w:t>
      </w:r>
    </w:p>
    <w:p>
      <w:pPr>
        <w:pStyle w:val="null3"/>
        <w:ind w:firstLine="420"/>
        <w:jc w:val="left"/>
      </w:pPr>
      <w:r>
        <w:rPr>
          <w:sz w:val="21"/>
          <w:color w:val="000000"/>
        </w:rPr>
        <w:t>银行账号</w:t>
      </w:r>
      <w:r>
        <w:rPr>
          <w:sz w:val="21"/>
          <w:color w:val="000000"/>
        </w:rPr>
        <w:t>：</w:t>
      </w:r>
      <w:r>
        <w:rPr>
          <w:sz w:val="21"/>
          <w:u w:val="single"/>
        </w:rPr>
        <w:t>3602 0027 0900 2961 838</w:t>
      </w:r>
    </w:p>
    <w:p>
      <w:pPr>
        <w:pStyle w:val="null3"/>
        <w:ind w:firstLine="420"/>
        <w:jc w:val="left"/>
      </w:pPr>
      <w:r>
        <w:rPr>
          <w:sz w:val="21"/>
          <w:color w:val="000000"/>
        </w:rPr>
        <w:t>统一社会信用代码</w:t>
      </w:r>
      <w:r>
        <w:rPr>
          <w:sz w:val="21"/>
          <w:color w:val="000000"/>
        </w:rPr>
        <w:t>：</w:t>
      </w:r>
      <w:r>
        <w:rPr>
          <w:sz w:val="21"/>
          <w:u w:val="single"/>
        </w:rPr>
        <w:t>12440000455860779Q</w:t>
      </w:r>
    </w:p>
    <w:p>
      <w:pPr>
        <w:pStyle w:val="null3"/>
        <w:ind w:firstLine="420"/>
        <w:jc w:val="both"/>
      </w:pPr>
      <w:r>
        <w:rPr>
          <w:sz w:val="21"/>
          <w:b/>
          <w:color w:val="000000"/>
        </w:rPr>
        <w:t>四、</w:t>
      </w:r>
      <w:r>
        <w:rPr>
          <w:sz w:val="21"/>
          <w:b/>
          <w:color w:val="000000"/>
        </w:rPr>
        <w:t>标准要求</w:t>
      </w:r>
    </w:p>
    <w:p>
      <w:pPr>
        <w:pStyle w:val="null3"/>
        <w:ind w:firstLine="420"/>
        <w:jc w:val="both"/>
      </w:pPr>
      <w:r>
        <w:rPr>
          <w:sz w:val="21"/>
          <w:color w:val="000000"/>
        </w:rPr>
        <w:t>乙方</w:t>
      </w:r>
      <w:r>
        <w:rPr>
          <w:sz w:val="21"/>
          <w:color w:val="000000"/>
        </w:rPr>
        <w:t>提供的所有产品和服务应符合国家、行业和地方的现行有效标准和规范，包括但不限于：</w:t>
      </w:r>
    </w:p>
    <w:p>
      <w:pPr>
        <w:pStyle w:val="null3"/>
        <w:ind w:firstLine="420"/>
        <w:jc w:val="both"/>
      </w:pPr>
      <w:r>
        <w:rPr>
          <w:sz w:val="21"/>
          <w:color w:val="000000"/>
        </w:rPr>
        <w:t>1、信息安全等级保护相关标准（GB/T22239-2019《信息安全技术网络安全等级保护基本要求》、GB/T25070-2019《信息安全技术 网络安全等级保护安全设计技术要求》等）。</w:t>
      </w:r>
    </w:p>
    <w:p>
      <w:pPr>
        <w:pStyle w:val="null3"/>
        <w:ind w:firstLine="420"/>
        <w:jc w:val="both"/>
      </w:pPr>
      <w:r>
        <w:rPr>
          <w:sz w:val="21"/>
          <w:color w:val="000000"/>
        </w:rPr>
        <w:t>2、云计算相关标准（GB/T 32399-2024《信息技术云计算参考架构》、GB/T 31168-2023《信息安全技术 云计算服务安全能力要求》等）。</w:t>
      </w:r>
    </w:p>
    <w:p>
      <w:pPr>
        <w:pStyle w:val="null3"/>
        <w:ind w:firstLine="420"/>
        <w:jc w:val="both"/>
      </w:pPr>
      <w:r>
        <w:rPr>
          <w:sz w:val="21"/>
          <w:color w:val="000000"/>
        </w:rPr>
        <w:t>3、涉及国产密码算法的相关标准和规范（如GM/T系列标准）。</w:t>
      </w:r>
    </w:p>
    <w:p>
      <w:pPr>
        <w:pStyle w:val="null3"/>
        <w:ind w:firstLine="420"/>
        <w:jc w:val="both"/>
      </w:pPr>
      <w:r>
        <w:rPr>
          <w:sz w:val="21"/>
          <w:color w:val="000000"/>
        </w:rPr>
        <w:t>4、其他相关的国家标准、行业标准和地方标准。</w:t>
      </w:r>
    </w:p>
    <w:p>
      <w:pPr>
        <w:pStyle w:val="null3"/>
        <w:ind w:firstLine="422"/>
        <w:jc w:val="both"/>
      </w:pPr>
      <w:r>
        <w:rPr>
          <w:sz w:val="21"/>
          <w:b/>
          <w:color w:val="000000"/>
        </w:rPr>
        <w:t>五、</w:t>
      </w:r>
      <w:r>
        <w:rPr>
          <w:sz w:val="21"/>
          <w:b/>
          <w:color w:val="000000"/>
        </w:rPr>
        <w:t>供货要求</w:t>
      </w:r>
    </w:p>
    <w:p>
      <w:pPr>
        <w:pStyle w:val="null3"/>
        <w:ind w:firstLine="420"/>
        <w:jc w:val="both"/>
      </w:pPr>
      <w:r>
        <w:rPr>
          <w:sz w:val="21"/>
          <w:color w:val="000000"/>
        </w:rPr>
        <w:t>1、运输及费用承担：</w:t>
      </w:r>
      <w:r>
        <w:rPr>
          <w:sz w:val="21"/>
          <w:color w:val="000000"/>
        </w:rPr>
        <w:t>乙方</w:t>
      </w:r>
      <w:r>
        <w:rPr>
          <w:sz w:val="21"/>
          <w:color w:val="000000"/>
        </w:rPr>
        <w:t>负责本项目所有设备的运输、装卸以及相关运输许可的申请（若有）。</w:t>
      </w:r>
      <w:r>
        <w:rPr>
          <w:sz w:val="21"/>
          <w:color w:val="000000"/>
        </w:rPr>
        <w:t>乙方</w:t>
      </w:r>
      <w:r>
        <w:rPr>
          <w:sz w:val="21"/>
          <w:color w:val="000000"/>
        </w:rPr>
        <w:t>承担运输过程中产生的所有费用，涵盖运输费、保险费、装卸费等，同时承担运输全程的所有风险，直至设备安全送达并经</w:t>
      </w:r>
      <w:r>
        <w:rPr>
          <w:sz w:val="21"/>
          <w:color w:val="000000"/>
        </w:rPr>
        <w:t>甲方</w:t>
      </w:r>
      <w:r>
        <w:rPr>
          <w:sz w:val="21"/>
          <w:color w:val="000000"/>
        </w:rPr>
        <w:t>初步检验合格。</w:t>
      </w:r>
    </w:p>
    <w:p>
      <w:pPr>
        <w:pStyle w:val="null3"/>
        <w:ind w:firstLine="420"/>
        <w:jc w:val="both"/>
      </w:pPr>
      <w:r>
        <w:rPr>
          <w:sz w:val="21"/>
          <w:color w:val="000000"/>
        </w:rPr>
        <w:t>设备交付地点为广东省广州市黄埔区光谱中路</w:t>
      </w:r>
      <w:r>
        <w:rPr>
          <w:sz w:val="21"/>
          <w:color w:val="000000"/>
        </w:rPr>
        <w:t>13号。</w:t>
      </w:r>
    </w:p>
    <w:p>
      <w:pPr>
        <w:pStyle w:val="null3"/>
        <w:ind w:firstLine="420"/>
        <w:jc w:val="both"/>
      </w:pPr>
      <w:r>
        <w:rPr>
          <w:sz w:val="21"/>
          <w:color w:val="000000"/>
        </w:rPr>
        <w:t>2、原厂证明材料提供：中标</w:t>
      </w:r>
      <w:r>
        <w:rPr>
          <w:sz w:val="21"/>
          <w:color w:val="000000"/>
        </w:rPr>
        <w:t>乙方</w:t>
      </w:r>
      <w:r>
        <w:rPr>
          <w:sz w:val="21"/>
          <w:color w:val="000000"/>
        </w:rPr>
        <w:t>需按照投标文件中的承诺，在中标后与</w:t>
      </w:r>
      <w:r>
        <w:rPr>
          <w:sz w:val="21"/>
          <w:color w:val="000000"/>
        </w:rPr>
        <w:t>甲方</w:t>
      </w:r>
      <w:r>
        <w:rPr>
          <w:sz w:val="21"/>
          <w:color w:val="000000"/>
        </w:rPr>
        <w:t>签订合同后</w:t>
      </w:r>
      <w:r>
        <w:rPr>
          <w:sz w:val="21"/>
          <w:color w:val="000000"/>
        </w:rPr>
        <w:t>供货时</w:t>
      </w:r>
      <w:r>
        <w:rPr>
          <w:sz w:val="21"/>
          <w:color w:val="000000"/>
        </w:rPr>
        <w:t>提供本项目招标文件要求的所有原厂盖章证明材料。</w:t>
      </w:r>
    </w:p>
    <w:p>
      <w:pPr>
        <w:pStyle w:val="null3"/>
        <w:ind w:firstLine="420"/>
        <w:jc w:val="both"/>
      </w:pPr>
      <w:r>
        <w:rPr>
          <w:sz w:val="21"/>
          <w:color w:val="000000"/>
        </w:rPr>
        <w:t>3、货物包装及标识：货物包装应符合国家相关标准和运输要求，确保货物在运输过程中不受损坏。每个包装箱外应有清晰、牢固的标识。</w:t>
      </w:r>
    </w:p>
    <w:p>
      <w:pPr>
        <w:pStyle w:val="null3"/>
        <w:ind w:firstLine="422"/>
        <w:jc w:val="both"/>
      </w:pPr>
      <w:r>
        <w:rPr>
          <w:sz w:val="21"/>
          <w:b/>
          <w:color w:val="000000"/>
        </w:rPr>
        <w:t>六、</w:t>
      </w:r>
      <w:r>
        <w:rPr>
          <w:sz w:val="21"/>
          <w:b/>
          <w:color w:val="000000"/>
        </w:rPr>
        <w:t>集成要求</w:t>
      </w:r>
    </w:p>
    <w:p>
      <w:pPr>
        <w:pStyle w:val="null3"/>
        <w:ind w:firstLine="420"/>
        <w:jc w:val="both"/>
      </w:pPr>
      <w:r>
        <w:rPr>
          <w:sz w:val="21"/>
          <w:color w:val="000000"/>
        </w:rPr>
        <w:t>1、服务器集成（项目经理、技术负责、技术人员）：此部分集成是在将新采购的</w:t>
      </w:r>
      <w:r>
        <w:rPr>
          <w:sz w:val="21"/>
          <w:color w:val="000000"/>
        </w:rPr>
        <w:t>桌面云集群</w:t>
      </w:r>
      <w:r>
        <w:rPr>
          <w:sz w:val="21"/>
          <w:color w:val="000000"/>
        </w:rPr>
        <w:t>无缝融入我院现有的超融合架构平台，并利用现有的分布式存储资源。具体工作内容包括：</w:t>
      </w:r>
    </w:p>
    <w:p>
      <w:pPr>
        <w:pStyle w:val="null3"/>
        <w:ind w:firstLine="420"/>
        <w:jc w:val="both"/>
      </w:pPr>
      <w:r>
        <w:rPr>
          <w:sz w:val="21"/>
          <w:color w:val="000000"/>
        </w:rPr>
        <w:t>（</w:t>
      </w:r>
      <w:r>
        <w:rPr>
          <w:sz w:val="21"/>
          <w:color w:val="000000"/>
        </w:rPr>
        <w:t>1）硬件兼容性测试：技术人员需对新服务器硬件与现有超融合平台硬件进行严格的兼容性测试，确保硬件的稳定运行。</w:t>
      </w:r>
    </w:p>
    <w:p>
      <w:pPr>
        <w:pStyle w:val="null3"/>
        <w:ind w:firstLine="420"/>
        <w:jc w:val="both"/>
      </w:pPr>
      <w:r>
        <w:rPr>
          <w:sz w:val="21"/>
          <w:color w:val="000000"/>
        </w:rPr>
        <w:t>（</w:t>
      </w:r>
      <w:r>
        <w:rPr>
          <w:sz w:val="21"/>
          <w:color w:val="000000"/>
        </w:rPr>
        <w:t>2）操作系统适配与配置：技术人员负责在新服务器上安装和配置国产操作系统，并进行必要的优化，以适应虚拟化平台的需求。</w:t>
      </w:r>
    </w:p>
    <w:p>
      <w:pPr>
        <w:pStyle w:val="null3"/>
        <w:ind w:firstLine="420"/>
        <w:jc w:val="both"/>
      </w:pPr>
      <w:r>
        <w:rPr>
          <w:sz w:val="21"/>
          <w:color w:val="000000"/>
        </w:rPr>
        <w:t>（</w:t>
      </w:r>
      <w:r>
        <w:rPr>
          <w:sz w:val="21"/>
          <w:color w:val="000000"/>
        </w:rPr>
        <w:t>3）虚拟化平台配置与集成：技术负责指导技术人员将新服务器添加到现有超融合集群中，配置虚拟化环境，并与现有分布式存储系统进行集成。</w:t>
      </w:r>
    </w:p>
    <w:p>
      <w:pPr>
        <w:pStyle w:val="null3"/>
        <w:ind w:firstLine="420"/>
        <w:jc w:val="both"/>
      </w:pPr>
      <w:r>
        <w:rPr>
          <w:sz w:val="21"/>
          <w:color w:val="000000"/>
        </w:rPr>
        <w:t>（</w:t>
      </w:r>
      <w:r>
        <w:rPr>
          <w:sz w:val="21"/>
          <w:color w:val="000000"/>
        </w:rPr>
        <w:t>4）资源调配与优化：项目经理协调技术团队，根据数据生产的实际需求，合理调配计算、内存和存储资源，并进行必要的性能优化。</w:t>
      </w:r>
    </w:p>
    <w:p>
      <w:pPr>
        <w:pStyle w:val="null3"/>
        <w:ind w:firstLine="420"/>
        <w:jc w:val="both"/>
      </w:pPr>
      <w:r>
        <w:rPr>
          <w:sz w:val="21"/>
          <w:color w:val="000000"/>
        </w:rPr>
        <w:t>2、网络集成（项目经理、技术负责、技术人员）：此部分集成是在将新采购的核心交换机替换我院现有核心交换机，并与现有网络设备进行高效互联，构建高速稳定的桌面云网络环境，并集成网络流量监控和上网行为管理功能。具体工作内容包括：</w:t>
      </w:r>
    </w:p>
    <w:p>
      <w:pPr>
        <w:pStyle w:val="null3"/>
        <w:ind w:firstLine="420"/>
        <w:jc w:val="both"/>
      </w:pPr>
      <w:r>
        <w:rPr>
          <w:sz w:val="21"/>
          <w:color w:val="000000"/>
        </w:rPr>
        <w:t>（</w:t>
      </w:r>
      <w:r>
        <w:rPr>
          <w:sz w:val="21"/>
          <w:color w:val="000000"/>
        </w:rPr>
        <w:t>1）网络拓扑规划与设计：技术负责根据桌面云的流量特点和安全需求，规划和设计合理的网络拓扑结构，并与现有网络进行有效衔接。</w:t>
      </w:r>
    </w:p>
    <w:p>
      <w:pPr>
        <w:pStyle w:val="null3"/>
        <w:ind w:firstLine="420"/>
        <w:jc w:val="both"/>
      </w:pPr>
      <w:r>
        <w:rPr>
          <w:sz w:val="21"/>
          <w:color w:val="000000"/>
        </w:rPr>
        <w:t>（</w:t>
      </w:r>
      <w:r>
        <w:rPr>
          <w:sz w:val="21"/>
          <w:color w:val="000000"/>
        </w:rPr>
        <w:t>2）核心交换机更换与配置：技术人员负责更换核心交换机，并进行VLAN划分、路由配置、QoS策略配置等工作，确保桌面云流量的优先传输，以及与现有网络的互联互通。此项工作技术难度较高，需要技术负责进行重点把控。</w:t>
      </w:r>
    </w:p>
    <w:p>
      <w:pPr>
        <w:pStyle w:val="null3"/>
        <w:ind w:firstLine="420"/>
        <w:jc w:val="both"/>
      </w:pPr>
      <w:r>
        <w:rPr>
          <w:sz w:val="21"/>
          <w:color w:val="000000"/>
        </w:rPr>
        <w:t>（</w:t>
      </w:r>
      <w:r>
        <w:rPr>
          <w:sz w:val="21"/>
          <w:color w:val="000000"/>
        </w:rPr>
        <w:t>3）网络流量监控与集成：技术人员负责部署和配置网络流量监控软件，并与现有网络设备进行集成，实现对网络流量的实时监控和分析。</w:t>
      </w:r>
    </w:p>
    <w:p>
      <w:pPr>
        <w:pStyle w:val="null3"/>
        <w:ind w:firstLine="420"/>
        <w:jc w:val="both"/>
      </w:pPr>
      <w:r>
        <w:rPr>
          <w:sz w:val="21"/>
          <w:color w:val="000000"/>
        </w:rPr>
        <w:t>（</w:t>
      </w:r>
      <w:r>
        <w:rPr>
          <w:sz w:val="21"/>
          <w:color w:val="000000"/>
        </w:rPr>
        <w:t>4）上网行为管理集成：技术人员负责将上网行为管理设备集成到网络环境中，并配置相应的策略，以规范用户上网行为，保障网络安全。</w:t>
      </w:r>
    </w:p>
    <w:p>
      <w:pPr>
        <w:pStyle w:val="null3"/>
        <w:ind w:firstLine="420"/>
        <w:jc w:val="both"/>
      </w:pPr>
      <w:r>
        <w:rPr>
          <w:sz w:val="21"/>
          <w:color w:val="000000"/>
        </w:rPr>
        <w:t>（</w:t>
      </w:r>
      <w:r>
        <w:rPr>
          <w:sz w:val="21"/>
          <w:color w:val="000000"/>
        </w:rPr>
        <w:t>5）网络性能测试与优化：技术负责指导技术人员进行网络性能测试，并根据测试结果进行必要的优化，确保网络的高效稳定运行。</w:t>
      </w:r>
    </w:p>
    <w:p>
      <w:pPr>
        <w:pStyle w:val="null3"/>
        <w:ind w:firstLine="420"/>
        <w:jc w:val="both"/>
      </w:pPr>
      <w:r>
        <w:rPr>
          <w:sz w:val="21"/>
          <w:color w:val="000000"/>
        </w:rPr>
        <w:t>3、平台集成（项目经理、技术负责、技术人员）：此部分集成是在将新采购的桌面云软件与我院现有桌面云应用进行整合，实现统一的管理和监控。具体工作内容包括：</w:t>
      </w:r>
    </w:p>
    <w:p>
      <w:pPr>
        <w:pStyle w:val="null3"/>
        <w:ind w:firstLine="420"/>
        <w:jc w:val="both"/>
      </w:pPr>
      <w:r>
        <w:rPr>
          <w:sz w:val="21"/>
          <w:color w:val="000000"/>
        </w:rPr>
        <w:t>（</w:t>
      </w:r>
      <w:r>
        <w:rPr>
          <w:sz w:val="21"/>
          <w:color w:val="000000"/>
        </w:rPr>
        <w:t>1）软件兼容性测试：技术人员需对新采购的桌面云软件与现有桌面云应用以及其他相关软件进行兼容性测试，确保各软件之间能够良好协作。</w:t>
      </w:r>
    </w:p>
    <w:p>
      <w:pPr>
        <w:pStyle w:val="null3"/>
        <w:ind w:firstLine="420"/>
        <w:jc w:val="both"/>
      </w:pPr>
      <w:r>
        <w:rPr>
          <w:sz w:val="21"/>
          <w:color w:val="000000"/>
        </w:rPr>
        <w:t>（</w:t>
      </w:r>
      <w:r>
        <w:rPr>
          <w:sz w:val="21"/>
          <w:color w:val="000000"/>
        </w:rPr>
        <w:t>2）用户数据迁移与整合：技术人员负责将现有桌面云用户数据迁移到新平台，并进行必要的整合和转换。</w:t>
      </w:r>
    </w:p>
    <w:p>
      <w:pPr>
        <w:pStyle w:val="null3"/>
        <w:ind w:firstLine="420"/>
        <w:jc w:val="both"/>
      </w:pPr>
      <w:r>
        <w:rPr>
          <w:sz w:val="21"/>
          <w:color w:val="000000"/>
        </w:rPr>
        <w:t>（</w:t>
      </w:r>
      <w:r>
        <w:rPr>
          <w:sz w:val="21"/>
          <w:color w:val="000000"/>
        </w:rPr>
        <w:t>3）应用发布与配置：技术人员负责在新平台上发布和配置平台所需的各种应用程序，并进行必要的测试和优化。</w:t>
      </w:r>
    </w:p>
    <w:p>
      <w:pPr>
        <w:pStyle w:val="null3"/>
        <w:ind w:firstLine="420"/>
        <w:jc w:val="both"/>
      </w:pPr>
      <w:r>
        <w:rPr>
          <w:sz w:val="21"/>
          <w:color w:val="000000"/>
        </w:rPr>
        <w:t>（</w:t>
      </w:r>
      <w:r>
        <w:rPr>
          <w:sz w:val="21"/>
          <w:color w:val="000000"/>
        </w:rPr>
        <w:t>4）管理平台集成与配置：技术负责指导技术人员将新平台集成到统一的管理平台中，实现对所有桌面云资源的集中管理和监控。</w:t>
      </w:r>
    </w:p>
    <w:p>
      <w:pPr>
        <w:pStyle w:val="null3"/>
        <w:ind w:firstLine="420"/>
        <w:jc w:val="both"/>
      </w:pPr>
      <w:r>
        <w:rPr>
          <w:sz w:val="21"/>
          <w:color w:val="000000"/>
        </w:rPr>
        <w:t>4、桌面云集成（项目经理、技术负责、技术人员）：此部分集成旨在将新建的虚拟桌面与现有应用系统进行集成，确保用户能够在虚拟桌面环境中正常使用各种业务应用程序，尤其是数据生产相关的专业软件。具体工作内容包括：</w:t>
      </w:r>
    </w:p>
    <w:p>
      <w:pPr>
        <w:pStyle w:val="null3"/>
        <w:ind w:firstLine="420"/>
        <w:jc w:val="both"/>
      </w:pPr>
      <w:r>
        <w:rPr>
          <w:sz w:val="21"/>
          <w:color w:val="000000"/>
        </w:rPr>
        <w:t>（</w:t>
      </w:r>
      <w:r>
        <w:rPr>
          <w:sz w:val="21"/>
          <w:color w:val="000000"/>
        </w:rPr>
        <w:t>1）应用兼容性测试：技术人员需要对数据生产相关的各种专业软件在虚拟桌面环境中进行充分的兼容性测试，确保软件能够稳定运行，并满足数据生产的性能要求。</w:t>
      </w:r>
    </w:p>
    <w:p>
      <w:pPr>
        <w:pStyle w:val="null3"/>
        <w:ind w:firstLine="420"/>
        <w:jc w:val="both"/>
      </w:pPr>
      <w:r>
        <w:rPr>
          <w:sz w:val="21"/>
          <w:color w:val="000000"/>
        </w:rPr>
        <w:t>（</w:t>
      </w:r>
      <w:r>
        <w:rPr>
          <w:sz w:val="21"/>
          <w:color w:val="000000"/>
        </w:rPr>
        <w:t>2）用户环境配置与迁移：技术人员负责配置用户虚拟桌面环境，包括桌面设置、应用程序快捷方式、外设驱动等，并迁移用户原有的个人配置。</w:t>
      </w:r>
    </w:p>
    <w:p>
      <w:pPr>
        <w:pStyle w:val="null3"/>
        <w:ind w:firstLine="420"/>
        <w:jc w:val="both"/>
      </w:pPr>
      <w:r>
        <w:rPr>
          <w:sz w:val="21"/>
          <w:color w:val="000000"/>
        </w:rPr>
        <w:t>（</w:t>
      </w:r>
      <w:r>
        <w:rPr>
          <w:sz w:val="21"/>
          <w:color w:val="000000"/>
        </w:rPr>
        <w:t>3）外设兼容性测试：技术人员需要对外设（如绘图仪、扫描仪等）在虚拟桌面环境中的兼容性进行测试，确保外设能够正常工作。</w:t>
      </w:r>
    </w:p>
    <w:p>
      <w:pPr>
        <w:pStyle w:val="null3"/>
        <w:ind w:firstLine="422"/>
        <w:jc w:val="both"/>
      </w:pPr>
      <w:r>
        <w:rPr>
          <w:sz w:val="21"/>
          <w:b/>
          <w:color w:val="000000"/>
        </w:rPr>
        <w:t>七、</w:t>
      </w:r>
      <w:r>
        <w:rPr>
          <w:sz w:val="21"/>
          <w:b/>
          <w:color w:val="000000"/>
        </w:rPr>
        <w:t>进度要求</w:t>
      </w:r>
    </w:p>
    <w:p>
      <w:pPr>
        <w:pStyle w:val="null3"/>
        <w:ind w:firstLine="420"/>
        <w:jc w:val="both"/>
      </w:pPr>
      <w:r>
        <w:rPr>
          <w:sz w:val="21"/>
          <w:color w:val="000000"/>
        </w:rPr>
        <w:t>1、项目启动阶段</w:t>
      </w:r>
    </w:p>
    <w:p>
      <w:pPr>
        <w:pStyle w:val="null3"/>
        <w:ind w:firstLine="420"/>
        <w:jc w:val="both"/>
      </w:pPr>
      <w:r>
        <w:rPr>
          <w:sz w:val="21"/>
          <w:color w:val="000000"/>
        </w:rPr>
        <w:t>自合同签订之日起，</w:t>
      </w:r>
      <w:r>
        <w:rPr>
          <w:sz w:val="21"/>
          <w:color w:val="000000"/>
        </w:rPr>
        <w:t>乙方</w:t>
      </w:r>
      <w:r>
        <w:rPr>
          <w:sz w:val="21"/>
          <w:color w:val="000000"/>
        </w:rPr>
        <w:t>应立即组建项目团队，并与我院相关部门进行对接，明确项目联系人和沟通机制，启动项目实施工作。</w:t>
      </w:r>
    </w:p>
    <w:p>
      <w:pPr>
        <w:pStyle w:val="null3"/>
        <w:ind w:firstLine="420"/>
        <w:jc w:val="both"/>
      </w:pPr>
      <w:r>
        <w:rPr>
          <w:sz w:val="21"/>
          <w:color w:val="000000"/>
        </w:rPr>
        <w:t>2、详细设计与方案确认阶段：合同签订后2周内，</w:t>
      </w:r>
      <w:r>
        <w:rPr>
          <w:sz w:val="21"/>
          <w:color w:val="000000"/>
        </w:rPr>
        <w:t>乙方</w:t>
      </w:r>
      <w:r>
        <w:rPr>
          <w:sz w:val="21"/>
          <w:color w:val="000000"/>
        </w:rPr>
        <w:t>应完成详细的集成设计方案，包括服务器、网络、平台和桌面云等各方面的详细配置和集成方案，并提交我院审核确认。方案确认后，方可进入后续实施阶段。</w:t>
      </w:r>
    </w:p>
    <w:p>
      <w:pPr>
        <w:pStyle w:val="null3"/>
        <w:ind w:firstLine="420"/>
        <w:jc w:val="both"/>
      </w:pPr>
      <w:r>
        <w:rPr>
          <w:sz w:val="21"/>
          <w:color w:val="000000"/>
        </w:rPr>
        <w:t>3、设备采购与到货阶段：自方案确认后4周内，</w:t>
      </w:r>
      <w:r>
        <w:rPr>
          <w:sz w:val="21"/>
          <w:color w:val="000000"/>
        </w:rPr>
        <w:t>乙方</w:t>
      </w:r>
      <w:r>
        <w:rPr>
          <w:sz w:val="21"/>
          <w:color w:val="000000"/>
        </w:rPr>
        <w:t>应完成所有设备的采购、生产（如有）和运输工作，确保设备按时到达我院指定地点。</w:t>
      </w:r>
    </w:p>
    <w:p>
      <w:pPr>
        <w:pStyle w:val="null3"/>
        <w:ind w:firstLine="420"/>
        <w:jc w:val="both"/>
      </w:pPr>
      <w:r>
        <w:rPr>
          <w:sz w:val="21"/>
          <w:color w:val="000000"/>
        </w:rPr>
        <w:t>4、系统集成与调试阶段：自设备到货后6周内，</w:t>
      </w:r>
      <w:r>
        <w:rPr>
          <w:sz w:val="21"/>
          <w:color w:val="000000"/>
        </w:rPr>
        <w:t>乙方</w:t>
      </w:r>
      <w:r>
        <w:rPr>
          <w:sz w:val="21"/>
          <w:color w:val="000000"/>
        </w:rPr>
        <w:t>应完成所有设备的安装、配置、集成、调试和测试工作，确保各系统之间能够协调稳定运行。此阶段包含与现有超融合平台、网络环境、现有桌面云应用的集成工作，以及网络流量监控和上网行为管理设备的集成。</w:t>
      </w:r>
    </w:p>
    <w:p>
      <w:pPr>
        <w:pStyle w:val="null3"/>
        <w:ind w:firstLine="420"/>
        <w:jc w:val="both"/>
      </w:pPr>
      <w:r>
        <w:rPr>
          <w:sz w:val="21"/>
          <w:color w:val="000000"/>
        </w:rPr>
        <w:t>5、系统试运行阶段：自系统集成调试完成后2周内，</w:t>
      </w:r>
      <w:r>
        <w:rPr>
          <w:sz w:val="21"/>
          <w:color w:val="000000"/>
        </w:rPr>
        <w:t>乙方</w:t>
      </w:r>
      <w:r>
        <w:rPr>
          <w:sz w:val="21"/>
          <w:color w:val="000000"/>
        </w:rPr>
        <w:t>应配合我院进行系统试运行，时间为</w:t>
      </w:r>
      <w:r>
        <w:rPr>
          <w:sz w:val="21"/>
          <w:color w:val="000000"/>
        </w:rPr>
        <w:t>7个自然日。试运行期间，系统应保持稳定运行，无重大故障或异常。</w:t>
      </w:r>
    </w:p>
    <w:p>
      <w:pPr>
        <w:pStyle w:val="null3"/>
        <w:ind w:firstLine="420"/>
        <w:jc w:val="both"/>
      </w:pPr>
      <w:r>
        <w:rPr>
          <w:sz w:val="21"/>
          <w:color w:val="000000"/>
        </w:rPr>
        <w:t>6、项目验收阶段：试运行结束后，如系统运行稳定，符合验收标准，</w:t>
      </w:r>
      <w:r>
        <w:rPr>
          <w:sz w:val="21"/>
          <w:color w:val="000000"/>
        </w:rPr>
        <w:t>乙方</w:t>
      </w:r>
      <w:r>
        <w:rPr>
          <w:sz w:val="21"/>
          <w:color w:val="000000"/>
        </w:rPr>
        <w:t>向我院提出验收申请，我院将组织项目验收。验收合格后，双方签署验收报告，项目进入运维阶段。</w:t>
      </w:r>
    </w:p>
    <w:p>
      <w:pPr>
        <w:pStyle w:val="null3"/>
        <w:ind w:firstLine="420"/>
        <w:jc w:val="both"/>
      </w:pPr>
      <w:r>
        <w:rPr>
          <w:sz w:val="21"/>
          <w:color w:val="000000"/>
        </w:rPr>
        <w:t>7、项目交付与培训阶段：在项目验收完成后，</w:t>
      </w:r>
      <w:r>
        <w:rPr>
          <w:sz w:val="21"/>
          <w:color w:val="000000"/>
        </w:rPr>
        <w:t>乙方</w:t>
      </w:r>
      <w:r>
        <w:rPr>
          <w:sz w:val="21"/>
          <w:color w:val="000000"/>
        </w:rPr>
        <w:t>应及时交付所有相关文档和资料，并为我院相关人员提供全面的技术培训。</w:t>
      </w:r>
    </w:p>
    <w:p>
      <w:pPr>
        <w:pStyle w:val="null3"/>
        <w:ind w:firstLine="420"/>
        <w:jc w:val="both"/>
      </w:pPr>
      <w:r>
        <w:rPr>
          <w:sz w:val="21"/>
          <w:color w:val="000000"/>
        </w:rPr>
        <w:t>8、整体项目工期：从合同签订之日起至提交验收申请之日止，整体项目工期不超过3个月。</w:t>
      </w:r>
    </w:p>
    <w:p>
      <w:pPr>
        <w:pStyle w:val="null3"/>
        <w:ind w:firstLine="422"/>
        <w:jc w:val="both"/>
      </w:pPr>
      <w:r>
        <w:rPr>
          <w:sz w:val="21"/>
          <w:b/>
          <w:color w:val="000000"/>
        </w:rPr>
        <w:t>八、</w:t>
      </w:r>
      <w:r>
        <w:rPr>
          <w:sz w:val="21"/>
          <w:b/>
          <w:color w:val="000000"/>
        </w:rPr>
        <w:t>人员要求</w:t>
      </w:r>
    </w:p>
    <w:p>
      <w:pPr>
        <w:pStyle w:val="null3"/>
        <w:ind w:firstLine="420"/>
        <w:jc w:val="both"/>
      </w:pPr>
      <w:r>
        <w:rPr>
          <w:sz w:val="21"/>
          <w:color w:val="000000"/>
        </w:rPr>
        <w:t>乙方</w:t>
      </w:r>
      <w:r>
        <w:rPr>
          <w:sz w:val="21"/>
          <w:color w:val="000000"/>
        </w:rPr>
        <w:t>需指派固定的团队为本项目提供专业服务（详见附件</w:t>
      </w:r>
      <w:r>
        <w:rPr>
          <w:sz w:val="21"/>
          <w:color w:val="000000"/>
        </w:rPr>
        <w:t>3.项目经理和拟派本项目主要人员情况表），指派专人担任项目技术负责人，负责本项目的技术管理工作，且服务团队成员的技术能力及人数应充分满足本项目开展的需要。</w:t>
      </w:r>
    </w:p>
    <w:p>
      <w:pPr>
        <w:pStyle w:val="null3"/>
        <w:ind w:firstLine="420"/>
        <w:jc w:val="both"/>
      </w:pPr>
      <w:r>
        <w:rPr>
          <w:sz w:val="21"/>
          <w:color w:val="000000"/>
        </w:rPr>
        <w:t>如需调整服务团队成员，需书面向</w:t>
      </w:r>
      <w:r>
        <w:rPr>
          <w:sz w:val="21"/>
          <w:color w:val="000000"/>
        </w:rPr>
        <w:t>甲方</w:t>
      </w:r>
      <w:r>
        <w:rPr>
          <w:sz w:val="21"/>
          <w:color w:val="000000"/>
        </w:rPr>
        <w:t>提出申请，说明申请理由，经</w:t>
      </w:r>
      <w:r>
        <w:rPr>
          <w:sz w:val="21"/>
          <w:color w:val="000000"/>
        </w:rPr>
        <w:t>甲方</w:t>
      </w:r>
      <w:r>
        <w:rPr>
          <w:sz w:val="21"/>
          <w:color w:val="000000"/>
        </w:rPr>
        <w:t>书面同意方可调整，调入人员的资历和从业经验不低于调出人员，否则视为违约行为，</w:t>
      </w:r>
      <w:r>
        <w:rPr>
          <w:sz w:val="21"/>
          <w:color w:val="000000"/>
        </w:rPr>
        <w:t>甲方</w:t>
      </w:r>
      <w:r>
        <w:rPr>
          <w:sz w:val="21"/>
          <w:color w:val="000000"/>
        </w:rPr>
        <w:t>有权终止服务合同。</w:t>
      </w:r>
    </w:p>
    <w:p>
      <w:pPr>
        <w:pStyle w:val="null3"/>
        <w:ind w:firstLine="422"/>
        <w:jc w:val="both"/>
      </w:pPr>
      <w:r>
        <w:rPr>
          <w:sz w:val="21"/>
          <w:b/>
          <w:color w:val="000000"/>
        </w:rPr>
        <w:t>九、</w:t>
      </w:r>
      <w:r>
        <w:rPr>
          <w:sz w:val="21"/>
          <w:b/>
          <w:color w:val="000000"/>
        </w:rPr>
        <w:t>验收要求</w:t>
      </w:r>
    </w:p>
    <w:p>
      <w:pPr>
        <w:pStyle w:val="null3"/>
        <w:ind w:firstLine="420"/>
        <w:jc w:val="both"/>
      </w:pPr>
      <w:r>
        <w:rPr>
          <w:sz w:val="21"/>
          <w:color w:val="000000"/>
        </w:rPr>
        <w:t>1、验收标准</w:t>
      </w:r>
    </w:p>
    <w:p>
      <w:pPr>
        <w:pStyle w:val="null3"/>
        <w:ind w:firstLine="420"/>
        <w:jc w:val="both"/>
      </w:pPr>
      <w:r>
        <w:rPr>
          <w:sz w:val="21"/>
          <w:color w:val="000000"/>
        </w:rPr>
        <w:t>本项目验收应遵循以下标准，所有内容均为必要条件，需全部满足：</w:t>
      </w:r>
    </w:p>
    <w:p>
      <w:pPr>
        <w:pStyle w:val="null3"/>
        <w:ind w:firstLine="420"/>
        <w:jc w:val="both"/>
      </w:pPr>
      <w:r>
        <w:rPr>
          <w:sz w:val="21"/>
          <w:color w:val="000000"/>
        </w:rPr>
        <w:t>（</w:t>
      </w:r>
      <w:r>
        <w:rPr>
          <w:sz w:val="21"/>
          <w:color w:val="000000"/>
        </w:rPr>
        <w:t>1）合规性：符合中华人民共和国国家和履约地相关安全、质量标准、行业技术规范标准，包括但不限于信息安全等级保护相关标准、云计算相关标准、涉及国产密码算法的相关标准和规范等。</w:t>
      </w:r>
    </w:p>
    <w:p>
      <w:pPr>
        <w:pStyle w:val="null3"/>
        <w:ind w:firstLine="420"/>
        <w:jc w:val="both"/>
      </w:pPr>
      <w:r>
        <w:rPr>
          <w:sz w:val="21"/>
          <w:color w:val="000000"/>
        </w:rPr>
        <w:t>（</w:t>
      </w:r>
      <w:r>
        <w:rPr>
          <w:sz w:val="21"/>
          <w:color w:val="000000"/>
        </w:rPr>
        <w:t>2）一致性：符合招标文件和响应承诺（投标文件）中各方共同认可的合理配置、参数规格及各项要求，包括服务器配置、软件功能、网络性能、终端规格等。</w:t>
      </w:r>
    </w:p>
    <w:p>
      <w:pPr>
        <w:pStyle w:val="null3"/>
        <w:ind w:firstLine="420"/>
        <w:jc w:val="both"/>
      </w:pPr>
      <w:r>
        <w:rPr>
          <w:sz w:val="21"/>
          <w:color w:val="000000"/>
        </w:rPr>
        <w:t>（</w:t>
      </w:r>
      <w:r>
        <w:rPr>
          <w:sz w:val="21"/>
          <w:color w:val="000000"/>
        </w:rPr>
        <w:t>3）技术要求符合性：符合项目实施过程中双方约定的其他相关技术要求，包括接口协议、数据格式、系统兼容性等。</w:t>
      </w:r>
    </w:p>
    <w:p>
      <w:pPr>
        <w:pStyle w:val="null3"/>
        <w:ind w:firstLine="420"/>
        <w:jc w:val="both"/>
      </w:pPr>
      <w:r>
        <w:rPr>
          <w:sz w:val="21"/>
          <w:color w:val="000000"/>
        </w:rPr>
        <w:t>（</w:t>
      </w:r>
      <w:r>
        <w:rPr>
          <w:sz w:val="21"/>
          <w:color w:val="000000"/>
        </w:rPr>
        <w:t>4）试运行合格：系统通过为期7个自然日的连续稳定试运行，期间运行稳定，无重大故障或异常，能够满足数据生产业务的实际需求。试运行期间，</w:t>
      </w:r>
      <w:r>
        <w:rPr>
          <w:sz w:val="21"/>
          <w:color w:val="000000"/>
        </w:rPr>
        <w:t>乙方</w:t>
      </w:r>
      <w:r>
        <w:rPr>
          <w:sz w:val="21"/>
          <w:color w:val="000000"/>
        </w:rPr>
        <w:t>需提供详细的试运行报告，包括系统运行日志、性能监控数据等。</w:t>
      </w:r>
    </w:p>
    <w:p>
      <w:pPr>
        <w:pStyle w:val="null3"/>
        <w:ind w:firstLine="420"/>
        <w:jc w:val="both"/>
      </w:pPr>
      <w:r>
        <w:rPr>
          <w:sz w:val="21"/>
          <w:color w:val="000000"/>
        </w:rPr>
        <w:t>（</w:t>
      </w:r>
      <w:r>
        <w:rPr>
          <w:sz w:val="21"/>
          <w:color w:val="000000"/>
        </w:rPr>
        <w:t>5）产品全新性与完整性：货物应当均为近10个月内（以出产日期为准，交付日期截止）原制造商制造的全新合格产品，整机无污染，无侵权行为、表面无划损、无任何缺陷隐患，在中国境内可依常规安全合法使用。货物为原厂商（制造商）全新包装，具出厂合格证，序列号、包装箱号与出厂批号一致，可追溯查阅；所有附带设备的附件需齐全。</w:t>
      </w:r>
    </w:p>
    <w:p>
      <w:pPr>
        <w:pStyle w:val="null3"/>
        <w:ind w:firstLine="420"/>
        <w:jc w:val="both"/>
      </w:pPr>
      <w:r>
        <w:rPr>
          <w:sz w:val="21"/>
          <w:color w:val="000000"/>
        </w:rPr>
        <w:t>（</w:t>
      </w:r>
      <w:r>
        <w:rPr>
          <w:sz w:val="21"/>
          <w:color w:val="000000"/>
        </w:rPr>
        <w:t>6）强制性认证与许可/认证符合性：</w:t>
      </w:r>
    </w:p>
    <w:p>
      <w:pPr>
        <w:pStyle w:val="null3"/>
        <w:ind w:firstLine="420"/>
        <w:jc w:val="both"/>
      </w:pPr>
      <w:r>
        <w:rPr>
          <w:sz w:val="21"/>
          <w:color w:val="000000"/>
        </w:rPr>
        <w:t>凡属于中国强制性产品认证目录（</w:t>
      </w:r>
      <w:r>
        <w:rPr>
          <w:sz w:val="21"/>
          <w:color w:val="000000"/>
        </w:rPr>
        <w:t>CCC目录）的产品，供货时必须提供相关证书复印件或自我声明的有效材料（提供在[http://cx.cnca.cn/查询的产品的证书编号及查询结果截图](http://cx.cnca.cn/查询的产品的证书编号及查询结果截图)）。</w:t>
      </w:r>
    </w:p>
    <w:p>
      <w:pPr>
        <w:pStyle w:val="null3"/>
        <w:ind w:firstLine="420"/>
        <w:jc w:val="both"/>
      </w:pPr>
      <w:r>
        <w:rPr>
          <w:sz w:val="21"/>
          <w:color w:val="000000"/>
        </w:rPr>
        <w:t>凡所投产品列入国家互联网信息办公室会同工业和信息化部、公安部、国家认证认可监督管理委员会颁布的《网络关键设备和网络安全专用产品目录》的，所投产品在验收时须出具以下之一：</w:t>
      </w:r>
    </w:p>
    <w:p>
      <w:pPr>
        <w:pStyle w:val="null3"/>
        <w:ind w:firstLine="420"/>
        <w:jc w:val="both"/>
      </w:pPr>
      <w:r>
        <w:rPr>
          <w:sz w:val="21"/>
          <w:color w:val="000000"/>
        </w:rPr>
        <w:t>① 有效期内的公安部监制的《计算机信息系统安全专用产品销售许可证》；</w:t>
      </w:r>
    </w:p>
    <w:p>
      <w:pPr>
        <w:pStyle w:val="null3"/>
        <w:ind w:firstLine="420"/>
        <w:jc w:val="both"/>
      </w:pPr>
      <w:r>
        <w:rPr>
          <w:sz w:val="21"/>
          <w:color w:val="000000"/>
        </w:rPr>
        <w:t>② 提供产品符合《信息安全技术网络安全专用产品安全技术要求》等相关国家标准的强制性要求的机构安全认证合格或者安全检测符合要求的证明材料。</w:t>
      </w:r>
    </w:p>
    <w:p>
      <w:pPr>
        <w:pStyle w:val="null3"/>
        <w:ind w:firstLine="420"/>
        <w:jc w:val="both"/>
      </w:pPr>
      <w:r>
        <w:rPr>
          <w:sz w:val="21"/>
          <w:color w:val="000000"/>
        </w:rPr>
        <w:t>2、验收条件</w:t>
      </w:r>
    </w:p>
    <w:p>
      <w:pPr>
        <w:pStyle w:val="null3"/>
        <w:ind w:firstLine="420"/>
        <w:jc w:val="both"/>
      </w:pPr>
      <w:r>
        <w:rPr>
          <w:sz w:val="21"/>
          <w:color w:val="000000"/>
        </w:rPr>
        <w:t>乙方</w:t>
      </w:r>
      <w:r>
        <w:rPr>
          <w:sz w:val="21"/>
          <w:color w:val="000000"/>
        </w:rPr>
        <w:t>需完成以下工作并提交相关成果，方可提出验收申请：</w:t>
      </w:r>
    </w:p>
    <w:p>
      <w:pPr>
        <w:pStyle w:val="null3"/>
        <w:ind w:firstLine="420"/>
        <w:jc w:val="both"/>
      </w:pPr>
      <w:r>
        <w:rPr>
          <w:sz w:val="21"/>
          <w:color w:val="000000"/>
        </w:rPr>
        <w:t>（</w:t>
      </w:r>
      <w:r>
        <w:rPr>
          <w:sz w:val="21"/>
          <w:color w:val="000000"/>
        </w:rPr>
        <w:t>1）完成合同约定的所有工作内容，包括设备安装、配置、集成、调试、测试等。</w:t>
      </w:r>
    </w:p>
    <w:p>
      <w:pPr>
        <w:pStyle w:val="null3"/>
        <w:ind w:firstLine="420"/>
        <w:jc w:val="both"/>
      </w:pPr>
      <w:r>
        <w:rPr>
          <w:sz w:val="21"/>
          <w:color w:val="000000"/>
        </w:rPr>
        <w:t>（</w:t>
      </w:r>
      <w:r>
        <w:rPr>
          <w:sz w:val="21"/>
          <w:color w:val="000000"/>
        </w:rPr>
        <w:t>2）交付所有工作成果，包括系统集成方案、配置文档、操作手册、测试报告、培训资料、试运行报告等。</w:t>
      </w:r>
    </w:p>
    <w:p>
      <w:pPr>
        <w:pStyle w:val="null3"/>
        <w:ind w:firstLine="420"/>
        <w:jc w:val="both"/>
      </w:pPr>
      <w:r>
        <w:rPr>
          <w:sz w:val="21"/>
          <w:color w:val="000000"/>
        </w:rPr>
        <w:t>3、验收方式</w:t>
      </w:r>
    </w:p>
    <w:p>
      <w:pPr>
        <w:pStyle w:val="null3"/>
        <w:ind w:firstLine="420"/>
        <w:jc w:val="both"/>
      </w:pPr>
      <w:r>
        <w:rPr>
          <w:sz w:val="21"/>
          <w:color w:val="000000"/>
        </w:rPr>
        <w:t>本项目采用现场验收方式，具体流程如下：</w:t>
      </w:r>
    </w:p>
    <w:p>
      <w:pPr>
        <w:pStyle w:val="null3"/>
        <w:ind w:firstLine="420"/>
        <w:jc w:val="both"/>
      </w:pPr>
      <w:r>
        <w:rPr>
          <w:sz w:val="21"/>
          <w:color w:val="000000"/>
        </w:rPr>
        <w:t>（</w:t>
      </w:r>
      <w:r>
        <w:rPr>
          <w:sz w:val="21"/>
          <w:color w:val="000000"/>
        </w:rPr>
        <w:t>1）到货检验：货物运抵现场后，</w:t>
      </w:r>
      <w:r>
        <w:rPr>
          <w:sz w:val="21"/>
          <w:color w:val="000000"/>
        </w:rPr>
        <w:t>甲方</w:t>
      </w:r>
      <w:r>
        <w:rPr>
          <w:sz w:val="21"/>
          <w:color w:val="000000"/>
        </w:rPr>
        <w:t>将组织相关人员对货物数量、质量、规格等进行初步检验。如发现货物与招标文件、投标文件或合同不符，</w:t>
      </w:r>
      <w:r>
        <w:rPr>
          <w:sz w:val="21"/>
          <w:color w:val="000000"/>
        </w:rPr>
        <w:t>甲方</w:t>
      </w:r>
      <w:r>
        <w:rPr>
          <w:sz w:val="21"/>
          <w:color w:val="000000"/>
        </w:rPr>
        <w:t>有权要求</w:t>
      </w:r>
      <w:r>
        <w:rPr>
          <w:sz w:val="21"/>
          <w:color w:val="000000"/>
        </w:rPr>
        <w:t>乙方</w:t>
      </w:r>
      <w:r>
        <w:rPr>
          <w:sz w:val="21"/>
          <w:color w:val="000000"/>
        </w:rPr>
        <w:t>立即更换或提出索赔。</w:t>
      </w:r>
    </w:p>
    <w:p>
      <w:pPr>
        <w:pStyle w:val="null3"/>
        <w:ind w:firstLine="420"/>
        <w:jc w:val="both"/>
      </w:pPr>
      <w:r>
        <w:rPr>
          <w:sz w:val="21"/>
          <w:color w:val="000000"/>
        </w:rPr>
        <w:t>（</w:t>
      </w:r>
      <w:r>
        <w:rPr>
          <w:sz w:val="21"/>
          <w:color w:val="000000"/>
        </w:rPr>
        <w:t>2）安装后检验与验收申请：货物由</w:t>
      </w:r>
      <w:r>
        <w:rPr>
          <w:sz w:val="21"/>
          <w:color w:val="000000"/>
        </w:rPr>
        <w:t>乙方</w:t>
      </w:r>
      <w:r>
        <w:rPr>
          <w:sz w:val="21"/>
          <w:color w:val="000000"/>
        </w:rPr>
        <w:t>负责安装，安装完毕后，我院将对货物的数量、质量、规格、性能等进行详细而全面的检验。如软件需要安装、调试，则由</w:t>
      </w:r>
      <w:r>
        <w:rPr>
          <w:sz w:val="21"/>
          <w:color w:val="000000"/>
        </w:rPr>
        <w:t>乙方</w:t>
      </w:r>
      <w:r>
        <w:rPr>
          <w:sz w:val="21"/>
          <w:color w:val="000000"/>
        </w:rPr>
        <w:t>负责并承担相应的费用。安装完毕，并证明货物以及安装质量无任何问题，通过试运行后，</w:t>
      </w:r>
      <w:r>
        <w:rPr>
          <w:sz w:val="21"/>
          <w:color w:val="000000"/>
        </w:rPr>
        <w:t>乙方</w:t>
      </w:r>
      <w:r>
        <w:rPr>
          <w:sz w:val="21"/>
          <w:color w:val="000000"/>
        </w:rPr>
        <w:t>向我院正式提出验收申请。</w:t>
      </w:r>
    </w:p>
    <w:p>
      <w:pPr>
        <w:pStyle w:val="null3"/>
        <w:ind w:firstLine="420"/>
        <w:jc w:val="both"/>
      </w:pPr>
      <w:r>
        <w:rPr>
          <w:sz w:val="21"/>
          <w:color w:val="000000"/>
        </w:rPr>
        <w:t>（</w:t>
      </w:r>
      <w:r>
        <w:rPr>
          <w:sz w:val="21"/>
          <w:color w:val="000000"/>
        </w:rPr>
        <w:t>3）正式验收与验收报告：</w:t>
      </w:r>
      <w:r>
        <w:rPr>
          <w:sz w:val="21"/>
          <w:color w:val="000000"/>
        </w:rPr>
        <w:t>我院将在收到验收申请后组织相关人员进行验收，必要时可邀请第三方机构参与验收（费用包含在合同款中）。验收合格后，验收小组将签署验收报告，作为付款凭据之一</w:t>
      </w:r>
      <w:r>
        <w:rPr>
          <w:sz w:val="21"/>
          <w:color w:val="000000"/>
        </w:rPr>
        <w:t>。</w:t>
      </w:r>
    </w:p>
    <w:p>
      <w:pPr>
        <w:pStyle w:val="null3"/>
        <w:ind w:firstLine="420"/>
        <w:jc w:val="both"/>
      </w:pPr>
      <w:r>
        <w:rPr>
          <w:sz w:val="21"/>
          <w:color w:val="000000"/>
        </w:rPr>
        <w:t>4、验收期限</w:t>
      </w:r>
    </w:p>
    <w:p>
      <w:pPr>
        <w:pStyle w:val="null3"/>
        <w:ind w:firstLine="420"/>
        <w:jc w:val="both"/>
      </w:pPr>
      <w:r>
        <w:rPr>
          <w:sz w:val="21"/>
          <w:color w:val="000000"/>
        </w:rPr>
        <w:t>本项目应在合同签订之日起</w:t>
      </w:r>
      <w:r>
        <w:rPr>
          <w:sz w:val="21"/>
          <w:color w:val="000000"/>
        </w:rPr>
        <w:t>3个月内提交验收申请。</w:t>
      </w:r>
    </w:p>
    <w:p>
      <w:pPr>
        <w:pStyle w:val="null3"/>
        <w:ind w:firstLine="420"/>
        <w:jc w:val="both"/>
      </w:pPr>
      <w:r>
        <w:rPr>
          <w:sz w:val="21"/>
          <w:color w:val="000000"/>
        </w:rPr>
        <w:t>5、验收前置审核</w:t>
      </w:r>
    </w:p>
    <w:p>
      <w:pPr>
        <w:pStyle w:val="null3"/>
        <w:ind w:firstLine="420"/>
        <w:jc w:val="both"/>
      </w:pPr>
      <w:r>
        <w:rPr>
          <w:sz w:val="21"/>
          <w:color w:val="000000"/>
        </w:rPr>
        <w:t>乙方</w:t>
      </w:r>
      <w:r>
        <w:rPr>
          <w:sz w:val="21"/>
          <w:color w:val="000000"/>
        </w:rPr>
        <w:t>在完成本项目系统测试工作并交付所有工作成果后，应正式提交该项目的验收申请。在通过验收前置审核后，</w:t>
      </w:r>
      <w:r>
        <w:rPr>
          <w:sz w:val="21"/>
          <w:color w:val="000000"/>
        </w:rPr>
        <w:t>甲方</w:t>
      </w:r>
      <w:r>
        <w:rPr>
          <w:sz w:val="21"/>
          <w:color w:val="000000"/>
        </w:rPr>
        <w:t>将组织相关验收工作。在此期间，</w:t>
      </w:r>
      <w:r>
        <w:rPr>
          <w:sz w:val="21"/>
          <w:color w:val="000000"/>
        </w:rPr>
        <w:t>乙方</w:t>
      </w:r>
      <w:r>
        <w:rPr>
          <w:sz w:val="21"/>
          <w:color w:val="000000"/>
        </w:rPr>
        <w:t>必须依据</w:t>
      </w:r>
      <w:r>
        <w:rPr>
          <w:sz w:val="21"/>
          <w:color w:val="000000"/>
        </w:rPr>
        <w:t>甲方</w:t>
      </w:r>
      <w:r>
        <w:rPr>
          <w:sz w:val="21"/>
          <w:color w:val="000000"/>
        </w:rPr>
        <w:t>的具体要求，完整提交与本项目验收前置审核相关的全部成果资料，从而有力保障验收流程得以顺利推进。</w:t>
      </w:r>
    </w:p>
    <w:p>
      <w:pPr>
        <w:pStyle w:val="null3"/>
        <w:ind w:firstLine="422"/>
        <w:jc w:val="both"/>
      </w:pPr>
      <w:r>
        <w:rPr>
          <w:sz w:val="21"/>
          <w:b/>
          <w:color w:val="000000"/>
        </w:rPr>
        <w:t>十、</w:t>
      </w:r>
      <w:r>
        <w:rPr>
          <w:sz w:val="21"/>
          <w:b/>
          <w:color w:val="000000"/>
        </w:rPr>
        <w:t>培训要求</w:t>
      </w:r>
    </w:p>
    <w:p>
      <w:pPr>
        <w:pStyle w:val="null3"/>
        <w:ind w:firstLine="420"/>
        <w:jc w:val="both"/>
      </w:pPr>
      <w:r>
        <w:rPr>
          <w:sz w:val="21"/>
          <w:color w:val="000000"/>
        </w:rPr>
        <w:t>1.培训内容：本次采购设备的安装、维护、系统管理专业培训。</w:t>
      </w:r>
    </w:p>
    <w:p>
      <w:pPr>
        <w:pStyle w:val="null3"/>
        <w:ind w:firstLine="420"/>
        <w:jc w:val="both"/>
      </w:pPr>
      <w:r>
        <w:rPr>
          <w:sz w:val="21"/>
          <w:color w:val="000000"/>
        </w:rPr>
        <w:t>2.培训地点和方式：广东省国土资源测绘院，现场培训。</w:t>
      </w:r>
    </w:p>
    <w:p>
      <w:pPr>
        <w:pStyle w:val="null3"/>
        <w:ind w:firstLine="420"/>
        <w:jc w:val="both"/>
      </w:pPr>
      <w:r>
        <w:rPr>
          <w:sz w:val="21"/>
          <w:color w:val="000000"/>
        </w:rPr>
        <w:t>3.培训要求：需有厂家提供的原厂培训，有原厂资格认证培训的需提供原厂认证培训以保证培训质量。</w:t>
      </w:r>
    </w:p>
    <w:p>
      <w:pPr>
        <w:pStyle w:val="null3"/>
        <w:ind w:firstLine="420"/>
        <w:jc w:val="both"/>
      </w:pPr>
      <w:r>
        <w:rPr>
          <w:sz w:val="21"/>
          <w:color w:val="000000"/>
        </w:rPr>
        <w:t>4.培训时长：培训人数≥6人，时间≥1个工作日，次数≥1次。</w:t>
      </w:r>
    </w:p>
    <w:p>
      <w:pPr>
        <w:pStyle w:val="null3"/>
        <w:ind w:firstLine="422"/>
        <w:jc w:val="both"/>
      </w:pPr>
      <w:r>
        <w:rPr>
          <w:sz w:val="21"/>
          <w:b/>
          <w:color w:val="000000"/>
        </w:rPr>
        <w:t>十一、</w:t>
      </w:r>
      <w:r>
        <w:rPr>
          <w:sz w:val="21"/>
          <w:b/>
          <w:color w:val="000000"/>
        </w:rPr>
        <w:t>交付要求</w:t>
      </w:r>
    </w:p>
    <w:p>
      <w:pPr>
        <w:pStyle w:val="null3"/>
        <w:ind w:firstLine="420"/>
        <w:jc w:val="both"/>
      </w:pPr>
      <w:r>
        <w:rPr>
          <w:sz w:val="21"/>
          <w:color w:val="000000"/>
        </w:rPr>
        <w:t>为确保本项目采购的桌面云平台及相关设备能够及时、完整地交付，并顺利投入使用，特制定以下交付要求：</w:t>
      </w:r>
    </w:p>
    <w:p>
      <w:pPr>
        <w:pStyle w:val="null3"/>
        <w:ind w:firstLine="420"/>
        <w:jc w:val="both"/>
      </w:pPr>
      <w:r>
        <w:rPr>
          <w:sz w:val="21"/>
          <w:color w:val="000000"/>
        </w:rPr>
        <w:t>1、交付时间：</w:t>
      </w:r>
      <w:r>
        <w:rPr>
          <w:sz w:val="21"/>
          <w:color w:val="000000"/>
        </w:rPr>
        <w:t>乙方</w:t>
      </w:r>
      <w:r>
        <w:rPr>
          <w:sz w:val="21"/>
          <w:color w:val="000000"/>
        </w:rPr>
        <w:t>应按照合同约定的时间完成所有设备和软件的交付。如因特殊原因需要延期交付，应提前与</w:t>
      </w:r>
      <w:r>
        <w:rPr>
          <w:sz w:val="21"/>
          <w:color w:val="000000"/>
        </w:rPr>
        <w:t>甲方</w:t>
      </w:r>
      <w:r>
        <w:rPr>
          <w:sz w:val="21"/>
          <w:color w:val="000000"/>
        </w:rPr>
        <w:t>协商并达成一致，并以书面形式确认。</w:t>
      </w:r>
    </w:p>
    <w:p>
      <w:pPr>
        <w:pStyle w:val="null3"/>
        <w:ind w:firstLine="420"/>
        <w:jc w:val="both"/>
      </w:pPr>
      <w:r>
        <w:rPr>
          <w:sz w:val="21"/>
          <w:color w:val="000000"/>
        </w:rPr>
        <w:t>2、交付地点：广东省广州市黄埔区光谱中路13号。</w:t>
      </w:r>
    </w:p>
    <w:p>
      <w:pPr>
        <w:pStyle w:val="null3"/>
        <w:ind w:firstLine="420"/>
        <w:jc w:val="both"/>
      </w:pPr>
      <w:r>
        <w:rPr>
          <w:sz w:val="21"/>
          <w:color w:val="000000"/>
        </w:rPr>
        <w:t>3、交付内容：</w:t>
      </w:r>
      <w:r>
        <w:rPr>
          <w:sz w:val="21"/>
          <w:color w:val="000000"/>
        </w:rPr>
        <w:t>乙方</w:t>
      </w:r>
      <w:r>
        <w:rPr>
          <w:sz w:val="21"/>
          <w:color w:val="000000"/>
        </w:rPr>
        <w:t>应交付以下内容：</w:t>
      </w:r>
    </w:p>
    <w:p>
      <w:pPr>
        <w:pStyle w:val="null3"/>
        <w:ind w:firstLine="420"/>
        <w:jc w:val="both"/>
      </w:pPr>
      <w:r>
        <w:rPr>
          <w:sz w:val="21"/>
          <w:color w:val="000000"/>
        </w:rPr>
        <w:t>（</w:t>
      </w:r>
      <w:r>
        <w:rPr>
          <w:sz w:val="21"/>
          <w:color w:val="000000"/>
        </w:rPr>
        <w:t>1）所有硬件设备：包括服务器、瘦客户机/零客户机、核心交换机、接入交换机、上网行为管理设备等，并提供原厂包装、装箱清单、合格证等相关资料。</w:t>
      </w:r>
    </w:p>
    <w:p>
      <w:pPr>
        <w:pStyle w:val="null3"/>
        <w:ind w:firstLine="420"/>
        <w:jc w:val="both"/>
      </w:pPr>
      <w:r>
        <w:rPr>
          <w:sz w:val="21"/>
          <w:color w:val="000000"/>
        </w:rPr>
        <w:t>（</w:t>
      </w:r>
      <w:r>
        <w:rPr>
          <w:sz w:val="21"/>
          <w:color w:val="000000"/>
        </w:rPr>
        <w:t>2）所有软件：包括桌面云软件、操作系统、网络流量监控软件等，并提供软件许可证书、安装介质、用户手册等相关资料。</w:t>
      </w:r>
    </w:p>
    <w:p>
      <w:pPr>
        <w:pStyle w:val="null3"/>
        <w:ind w:firstLine="420"/>
        <w:jc w:val="both"/>
      </w:pPr>
      <w:r>
        <w:rPr>
          <w:sz w:val="21"/>
          <w:color w:val="000000"/>
        </w:rPr>
        <w:t>（</w:t>
      </w:r>
      <w:r>
        <w:rPr>
          <w:sz w:val="21"/>
          <w:color w:val="000000"/>
        </w:rPr>
        <w:t>3）所有文档资料：包括系统集成方案、配置文档、操作手册、测试报告、培训资料等，并提供电子版和纸质版。</w:t>
      </w:r>
    </w:p>
    <w:p>
      <w:pPr>
        <w:pStyle w:val="null3"/>
        <w:ind w:firstLine="420"/>
        <w:jc w:val="both"/>
      </w:pPr>
      <w:r>
        <w:rPr>
          <w:sz w:val="21"/>
          <w:color w:val="000000"/>
        </w:rPr>
        <w:t>4、交付方式：</w:t>
      </w:r>
      <w:r>
        <w:rPr>
          <w:sz w:val="21"/>
          <w:color w:val="000000"/>
        </w:rPr>
        <w:t>乙方</w:t>
      </w:r>
      <w:r>
        <w:rPr>
          <w:sz w:val="21"/>
          <w:color w:val="000000"/>
        </w:rPr>
        <w:t>应负责将设备安全、完整地运送至指定地点，并承担相关的运输、保险等费用。卸货和搬运工作由</w:t>
      </w:r>
      <w:r>
        <w:rPr>
          <w:sz w:val="21"/>
          <w:color w:val="000000"/>
        </w:rPr>
        <w:t>乙方</w:t>
      </w:r>
      <w:r>
        <w:rPr>
          <w:sz w:val="21"/>
          <w:color w:val="000000"/>
        </w:rPr>
        <w:t>负责，</w:t>
      </w:r>
      <w:r>
        <w:rPr>
          <w:sz w:val="21"/>
          <w:color w:val="000000"/>
        </w:rPr>
        <w:t>甲方</w:t>
      </w:r>
      <w:r>
        <w:rPr>
          <w:sz w:val="21"/>
          <w:color w:val="000000"/>
        </w:rPr>
        <w:t>予以配合。</w:t>
      </w:r>
    </w:p>
    <w:p>
      <w:pPr>
        <w:pStyle w:val="null3"/>
        <w:ind w:firstLine="420"/>
        <w:jc w:val="both"/>
      </w:pPr>
      <w:r>
        <w:rPr>
          <w:sz w:val="21"/>
          <w:color w:val="000000"/>
        </w:rPr>
        <w:t>5、到货检验：货物到达指定地点后，</w:t>
      </w:r>
      <w:r>
        <w:rPr>
          <w:sz w:val="21"/>
          <w:color w:val="000000"/>
        </w:rPr>
        <w:t>甲方</w:t>
      </w:r>
      <w:r>
        <w:rPr>
          <w:sz w:val="21"/>
          <w:color w:val="000000"/>
        </w:rPr>
        <w:t>将组织相关人员进行初步检验，核对货物的数量、型号、规格等是否与合同约定一致。如发现货物存在短缺、损坏或与合同不符等情况，</w:t>
      </w:r>
      <w:r>
        <w:rPr>
          <w:sz w:val="21"/>
          <w:color w:val="000000"/>
        </w:rPr>
        <w:t>甲方</w:t>
      </w:r>
      <w:r>
        <w:rPr>
          <w:sz w:val="21"/>
          <w:color w:val="000000"/>
        </w:rPr>
        <w:t>有权拒绝接收，并要求</w:t>
      </w:r>
      <w:r>
        <w:rPr>
          <w:sz w:val="21"/>
          <w:color w:val="000000"/>
        </w:rPr>
        <w:t>乙方</w:t>
      </w:r>
      <w:r>
        <w:rPr>
          <w:sz w:val="21"/>
          <w:color w:val="000000"/>
        </w:rPr>
        <w:t>及时更换或补发。</w:t>
      </w:r>
    </w:p>
    <w:p>
      <w:pPr>
        <w:pStyle w:val="null3"/>
        <w:ind w:firstLine="420"/>
        <w:jc w:val="both"/>
      </w:pPr>
      <w:r>
        <w:rPr>
          <w:sz w:val="21"/>
          <w:color w:val="000000"/>
        </w:rPr>
        <w:t>6、交付清单：</w:t>
      </w:r>
      <w:r>
        <w:rPr>
          <w:sz w:val="21"/>
          <w:color w:val="000000"/>
        </w:rPr>
        <w:t>乙方</w:t>
      </w:r>
      <w:r>
        <w:rPr>
          <w:sz w:val="21"/>
          <w:color w:val="000000"/>
        </w:rPr>
        <w:t>在交付时应提供详细的交付清单，包括货物名称、型号、数量、序列号、生产日期等信息，并由双方代表签字确认。</w:t>
      </w:r>
    </w:p>
    <w:p>
      <w:pPr>
        <w:pStyle w:val="null3"/>
        <w:ind w:firstLine="422"/>
        <w:jc w:val="both"/>
      </w:pPr>
      <w:r>
        <w:rPr>
          <w:sz w:val="21"/>
          <w:b/>
          <w:color w:val="000000"/>
        </w:rPr>
        <w:t>十二、</w:t>
      </w:r>
      <w:r>
        <w:rPr>
          <w:sz w:val="21"/>
          <w:b/>
          <w:color w:val="000000"/>
        </w:rPr>
        <w:t>售后要求</w:t>
      </w:r>
    </w:p>
    <w:p>
      <w:pPr>
        <w:pStyle w:val="null3"/>
        <w:ind w:firstLine="420"/>
        <w:jc w:val="both"/>
      </w:pPr>
      <w:r>
        <w:rPr>
          <w:sz w:val="21"/>
          <w:color w:val="000000"/>
        </w:rPr>
        <w:t>为保障本项目采购的桌面云平台及相关设备在投入使用后能够长期稳定运行，并及时解决可能出现的各种问题，特制定以下售后要求</w:t>
      </w:r>
      <w:r>
        <w:rPr>
          <w:sz w:val="21"/>
          <w:color w:val="000000"/>
        </w:rPr>
        <w:t>（</w:t>
      </w:r>
      <w:r>
        <w:rPr>
          <w:sz w:val="21"/>
          <w:color w:val="000000"/>
        </w:rPr>
        <w:t>所有费用均已包含在合同金额内）</w:t>
      </w:r>
      <w:r>
        <w:rPr>
          <w:sz w:val="21"/>
          <w:color w:val="000000"/>
        </w:rPr>
        <w:t>：</w:t>
      </w:r>
    </w:p>
    <w:p>
      <w:pPr>
        <w:pStyle w:val="null3"/>
        <w:ind w:firstLine="420"/>
        <w:jc w:val="both"/>
      </w:pPr>
      <w:r>
        <w:rPr>
          <w:sz w:val="21"/>
          <w:color w:val="000000"/>
        </w:rPr>
        <w:t>1、售后服务期限：自项目终验合格之日起，</w:t>
      </w:r>
      <w:r>
        <w:rPr>
          <w:sz w:val="21"/>
          <w:color w:val="000000"/>
        </w:rPr>
        <w:t>乙方</w:t>
      </w:r>
      <w:r>
        <w:rPr>
          <w:sz w:val="21"/>
          <w:color w:val="000000"/>
        </w:rPr>
        <w:t>应提供至少一年的售后服务。若本项目其他指标要求中对货物的售后服务时间有更长要求的，则以指标要求为准。</w:t>
      </w:r>
    </w:p>
    <w:p>
      <w:pPr>
        <w:pStyle w:val="null3"/>
        <w:ind w:firstLine="420"/>
        <w:jc w:val="both"/>
      </w:pPr>
      <w:r>
        <w:rPr>
          <w:sz w:val="21"/>
          <w:color w:val="000000"/>
        </w:rPr>
        <w:t>2、服务内容：售后服务内容包括但不限于：</w:t>
      </w:r>
    </w:p>
    <w:p>
      <w:pPr>
        <w:pStyle w:val="null3"/>
        <w:ind w:firstLine="420"/>
        <w:jc w:val="both"/>
      </w:pPr>
      <w:r>
        <w:rPr>
          <w:sz w:val="21"/>
          <w:color w:val="000000"/>
        </w:rPr>
        <w:t>（</w:t>
      </w:r>
      <w:r>
        <w:rPr>
          <w:sz w:val="21"/>
          <w:color w:val="000000"/>
        </w:rPr>
        <w:t>1）技术支持：提供7×24小时技术支持服务，包括电话、邮件、远程协助等多种方式，及时响应并解决用户在使用过程中遇到的问题。</w:t>
      </w:r>
    </w:p>
    <w:p>
      <w:pPr>
        <w:pStyle w:val="null3"/>
        <w:ind w:firstLine="420"/>
        <w:jc w:val="both"/>
      </w:pPr>
      <w:r>
        <w:rPr>
          <w:sz w:val="21"/>
          <w:color w:val="000000"/>
        </w:rPr>
        <w:t>（</w:t>
      </w:r>
      <w:r>
        <w:rPr>
          <w:sz w:val="21"/>
          <w:color w:val="000000"/>
        </w:rPr>
        <w:t>2）故障排除：负责对系统和设备出现的故障进行诊断和排除，并提供必要的维修或更换服务。</w:t>
      </w:r>
    </w:p>
    <w:p>
      <w:pPr>
        <w:pStyle w:val="null3"/>
        <w:ind w:firstLine="420"/>
        <w:jc w:val="both"/>
      </w:pPr>
      <w:r>
        <w:rPr>
          <w:sz w:val="21"/>
          <w:color w:val="000000"/>
        </w:rPr>
        <w:t>（</w:t>
      </w:r>
      <w:r>
        <w:rPr>
          <w:sz w:val="21"/>
          <w:color w:val="000000"/>
        </w:rPr>
        <w:t>3）软件升级和补丁：及时提供软件的升级版本和安全补丁，以修复已知漏洞，提高系统安全性。</w:t>
      </w:r>
    </w:p>
    <w:p>
      <w:pPr>
        <w:pStyle w:val="null3"/>
        <w:ind w:firstLine="420"/>
        <w:jc w:val="both"/>
      </w:pPr>
      <w:r>
        <w:rPr>
          <w:sz w:val="21"/>
          <w:color w:val="000000"/>
        </w:rPr>
        <w:t>（</w:t>
      </w:r>
      <w:r>
        <w:rPr>
          <w:sz w:val="21"/>
          <w:color w:val="000000"/>
        </w:rPr>
        <w:t>4）系统巡检：定期对系统进行巡检，检查系统运行状态，及时发现并解决潜在问题，防患于未然。</w:t>
      </w:r>
    </w:p>
    <w:p>
      <w:pPr>
        <w:pStyle w:val="null3"/>
        <w:ind w:firstLine="420"/>
        <w:jc w:val="both"/>
      </w:pPr>
      <w:r>
        <w:rPr>
          <w:sz w:val="21"/>
          <w:color w:val="000000"/>
        </w:rPr>
        <w:t>（</w:t>
      </w:r>
      <w:r>
        <w:rPr>
          <w:sz w:val="21"/>
          <w:color w:val="000000"/>
        </w:rPr>
        <w:t>5）备品备件：</w:t>
      </w:r>
      <w:r>
        <w:rPr>
          <w:sz w:val="21"/>
          <w:color w:val="000000"/>
        </w:rPr>
        <w:t>乙方</w:t>
      </w:r>
      <w:r>
        <w:rPr>
          <w:sz w:val="21"/>
          <w:color w:val="000000"/>
        </w:rPr>
        <w:t>应提供必要的备品备件，以保证在设备发生故障时能够及时更换，最大程度地减少对业务的影响。</w:t>
      </w:r>
    </w:p>
    <w:p>
      <w:pPr>
        <w:pStyle w:val="null3"/>
        <w:ind w:firstLine="420"/>
        <w:jc w:val="both"/>
      </w:pPr>
      <w:r>
        <w:rPr>
          <w:sz w:val="21"/>
          <w:color w:val="000000"/>
        </w:rPr>
        <w:t>3、服务响应时间：</w:t>
      </w:r>
      <w:r>
        <w:rPr>
          <w:sz w:val="21"/>
          <w:color w:val="000000"/>
        </w:rPr>
        <w:t>乙方</w:t>
      </w:r>
      <w:r>
        <w:rPr>
          <w:sz w:val="21"/>
          <w:color w:val="000000"/>
        </w:rPr>
        <w:t>应在接到</w:t>
      </w:r>
      <w:r>
        <w:rPr>
          <w:sz w:val="21"/>
          <w:color w:val="000000"/>
        </w:rPr>
        <w:t>甲方</w:t>
      </w:r>
      <w:r>
        <w:rPr>
          <w:sz w:val="21"/>
          <w:color w:val="000000"/>
        </w:rPr>
        <w:t>的故障报修后，在规定的时间内做出响应并采取相应的措施。具体响应时间要求如下：</w:t>
      </w:r>
    </w:p>
    <w:p>
      <w:pPr>
        <w:pStyle w:val="null3"/>
        <w:ind w:firstLine="420"/>
        <w:jc w:val="both"/>
      </w:pPr>
      <w:r>
        <w:rPr>
          <w:sz w:val="21"/>
          <w:color w:val="000000"/>
        </w:rPr>
        <w:t>（</w:t>
      </w:r>
      <w:r>
        <w:rPr>
          <w:sz w:val="21"/>
          <w:color w:val="000000"/>
        </w:rPr>
        <w:t>1）重大故障：2小时内响应，4小时内到达现场（如需要），并尽快解决问题。</w:t>
      </w:r>
    </w:p>
    <w:p>
      <w:pPr>
        <w:pStyle w:val="null3"/>
        <w:ind w:firstLine="420"/>
        <w:jc w:val="both"/>
      </w:pPr>
      <w:r>
        <w:rPr>
          <w:sz w:val="21"/>
          <w:color w:val="000000"/>
        </w:rPr>
        <w:t>（</w:t>
      </w:r>
      <w:r>
        <w:rPr>
          <w:sz w:val="21"/>
          <w:color w:val="000000"/>
        </w:rPr>
        <w:t>2）一般故障：4小时内响应，8小时内到达现场（如需要），并在24小时内解决问题。</w:t>
      </w:r>
    </w:p>
    <w:p>
      <w:pPr>
        <w:pStyle w:val="null3"/>
        <w:ind w:firstLine="420"/>
        <w:jc w:val="both"/>
      </w:pPr>
      <w:r>
        <w:rPr>
          <w:sz w:val="21"/>
          <w:color w:val="000000"/>
        </w:rPr>
        <w:t>4、服务报告：</w:t>
      </w:r>
      <w:r>
        <w:rPr>
          <w:sz w:val="21"/>
          <w:color w:val="000000"/>
        </w:rPr>
        <w:t>乙方</w:t>
      </w:r>
      <w:r>
        <w:rPr>
          <w:sz w:val="21"/>
          <w:color w:val="000000"/>
        </w:rPr>
        <w:t>应定期向</w:t>
      </w:r>
      <w:r>
        <w:rPr>
          <w:sz w:val="21"/>
          <w:color w:val="000000"/>
        </w:rPr>
        <w:t>甲方</w:t>
      </w:r>
      <w:r>
        <w:rPr>
          <w:sz w:val="21"/>
          <w:color w:val="000000"/>
        </w:rPr>
        <w:t>提供服务报告，包括故障记录、处理情况、系统运行状态等信息，以便</w:t>
      </w:r>
      <w:r>
        <w:rPr>
          <w:sz w:val="21"/>
          <w:color w:val="000000"/>
        </w:rPr>
        <w:t>甲方</w:t>
      </w:r>
      <w:r>
        <w:rPr>
          <w:sz w:val="21"/>
          <w:color w:val="000000"/>
        </w:rPr>
        <w:t>了解系统的运行情况。</w:t>
      </w:r>
    </w:p>
    <w:p>
      <w:pPr>
        <w:pStyle w:val="null3"/>
        <w:ind w:firstLine="420"/>
        <w:jc w:val="both"/>
      </w:pPr>
      <w:r>
        <w:rPr>
          <w:sz w:val="21"/>
          <w:color w:val="000000"/>
        </w:rPr>
        <w:t>联系方式：</w:t>
      </w:r>
      <w:r>
        <w:rPr>
          <w:sz w:val="21"/>
          <w:color w:val="000000"/>
        </w:rPr>
        <w:t>乙方</w:t>
      </w:r>
      <w:r>
        <w:rPr>
          <w:sz w:val="21"/>
          <w:color w:val="000000"/>
        </w:rPr>
        <w:t>应提供负责售后服务的联系人（联系人：</w:t>
      </w:r>
      <w:r>
        <w:rPr>
          <w:sz w:val="21"/>
        </w:rPr>
        <w:t xml:space="preserve">   </w:t>
      </w:r>
      <w:r>
        <w:rPr>
          <w:sz w:val="21"/>
          <w:color w:val="000000"/>
        </w:rPr>
        <w:t>电话：</w:t>
      </w:r>
      <w:r>
        <w:rPr>
          <w:sz w:val="21"/>
        </w:rPr>
        <w:t xml:space="preserve">   </w:t>
      </w:r>
      <w:r>
        <w:rPr>
          <w:sz w:val="21"/>
          <w:color w:val="000000"/>
        </w:rPr>
        <w:t>）</w:t>
      </w:r>
    </w:p>
    <w:p>
      <w:pPr>
        <w:pStyle w:val="null3"/>
        <w:ind w:firstLine="422"/>
        <w:jc w:val="both"/>
      </w:pPr>
      <w:r>
        <w:rPr>
          <w:sz w:val="21"/>
          <w:b/>
          <w:color w:val="000000"/>
        </w:rPr>
        <w:t>十三、</w:t>
      </w:r>
      <w:r>
        <w:rPr>
          <w:sz w:val="21"/>
          <w:b/>
          <w:color w:val="000000"/>
        </w:rPr>
        <w:t>权属要求</w:t>
      </w:r>
    </w:p>
    <w:p>
      <w:pPr>
        <w:pStyle w:val="null3"/>
        <w:ind w:firstLine="420"/>
        <w:jc w:val="both"/>
      </w:pPr>
      <w:r>
        <w:rPr>
          <w:sz w:val="21"/>
          <w:color w:val="000000"/>
        </w:rPr>
        <w:t>为明确本项目涉及的各项资产和知识产权的归属，保障</w:t>
      </w:r>
      <w:r>
        <w:rPr>
          <w:sz w:val="21"/>
          <w:color w:val="000000"/>
        </w:rPr>
        <w:t>甲方</w:t>
      </w:r>
      <w:r>
        <w:rPr>
          <w:sz w:val="21"/>
          <w:color w:val="000000"/>
        </w:rPr>
        <w:t>的合法权益，特制定以下权属要求：</w:t>
      </w:r>
    </w:p>
    <w:p>
      <w:pPr>
        <w:pStyle w:val="null3"/>
        <w:ind w:firstLine="420"/>
        <w:jc w:val="both"/>
      </w:pPr>
      <w:r>
        <w:rPr>
          <w:sz w:val="21"/>
          <w:color w:val="000000"/>
        </w:rPr>
        <w:t>1、硬件设备所有权：本项目采购的所有硬件设备（包括服务器、终端、核心交换机、接入交换机、上网行为管理设备等），其所有权自验收合格并完成付款后归</w:t>
      </w:r>
      <w:r>
        <w:rPr>
          <w:sz w:val="21"/>
          <w:color w:val="000000"/>
        </w:rPr>
        <w:t>甲方</w:t>
      </w:r>
      <w:r>
        <w:rPr>
          <w:sz w:val="21"/>
          <w:color w:val="000000"/>
        </w:rPr>
        <w:t>所有。</w:t>
      </w:r>
    </w:p>
    <w:p>
      <w:pPr>
        <w:pStyle w:val="null3"/>
        <w:ind w:firstLine="420"/>
        <w:jc w:val="both"/>
      </w:pPr>
      <w:r>
        <w:rPr>
          <w:sz w:val="21"/>
          <w:color w:val="000000"/>
        </w:rPr>
        <w:t>2、软件著作权和使用权：本项目采购的所有软件（包括桌面云软件、操作系统、网络流量监控软件等），其著作权归原软件厂商所有。</w:t>
      </w:r>
      <w:r>
        <w:rPr>
          <w:sz w:val="21"/>
          <w:color w:val="000000"/>
        </w:rPr>
        <w:t>甲方</w:t>
      </w:r>
      <w:r>
        <w:rPr>
          <w:sz w:val="21"/>
          <w:color w:val="000000"/>
        </w:rPr>
        <w:t>获得相应软件的合法使用权，使用范围应符合软件许可协议的约定。</w:t>
      </w:r>
      <w:r>
        <w:rPr>
          <w:sz w:val="21"/>
          <w:color w:val="000000"/>
        </w:rPr>
        <w:t>乙方</w:t>
      </w:r>
      <w:r>
        <w:rPr>
          <w:sz w:val="21"/>
          <w:color w:val="000000"/>
        </w:rPr>
        <w:t>应保证所提供的软件为正版软件，并提供合法的授权许可证明。</w:t>
      </w:r>
    </w:p>
    <w:p>
      <w:pPr>
        <w:pStyle w:val="null3"/>
        <w:ind w:firstLine="420"/>
        <w:jc w:val="both"/>
      </w:pPr>
      <w:r>
        <w:rPr>
          <w:sz w:val="21"/>
          <w:color w:val="000000"/>
        </w:rPr>
        <w:t>3、项目成果所有权：本项目实施过程中形成的所有文档、方案、报告等成果资料，其所有权归</w:t>
      </w:r>
      <w:r>
        <w:rPr>
          <w:sz w:val="21"/>
          <w:color w:val="000000"/>
        </w:rPr>
        <w:t>甲方</w:t>
      </w:r>
      <w:r>
        <w:rPr>
          <w:sz w:val="21"/>
          <w:color w:val="000000"/>
        </w:rPr>
        <w:t>所有。</w:t>
      </w:r>
      <w:r>
        <w:rPr>
          <w:sz w:val="21"/>
          <w:color w:val="000000"/>
        </w:rPr>
        <w:t>乙方</w:t>
      </w:r>
      <w:r>
        <w:rPr>
          <w:sz w:val="21"/>
          <w:color w:val="000000"/>
        </w:rPr>
        <w:t>不得擅自复制、传播或用于其他商业用途。</w:t>
      </w:r>
    </w:p>
    <w:p>
      <w:pPr>
        <w:pStyle w:val="null3"/>
        <w:ind w:firstLine="420"/>
        <w:jc w:val="both"/>
      </w:pPr>
      <w:r>
        <w:rPr>
          <w:sz w:val="21"/>
          <w:color w:val="000000"/>
        </w:rPr>
        <w:t>4、知识产权：</w:t>
      </w:r>
      <w:r>
        <w:rPr>
          <w:sz w:val="21"/>
          <w:color w:val="000000"/>
        </w:rPr>
        <w:t>乙方</w:t>
      </w:r>
      <w:r>
        <w:rPr>
          <w:sz w:val="21"/>
          <w:color w:val="000000"/>
        </w:rPr>
        <w:t>应保证其提供的产品和服务不侵犯任何第三方的知识产权。如因</w:t>
      </w:r>
      <w:r>
        <w:rPr>
          <w:sz w:val="21"/>
          <w:color w:val="000000"/>
        </w:rPr>
        <w:t>乙方</w:t>
      </w:r>
      <w:r>
        <w:rPr>
          <w:sz w:val="21"/>
          <w:color w:val="000000"/>
        </w:rPr>
        <w:t>提供的产品或服务引起知识产权纠纷，由</w:t>
      </w:r>
      <w:r>
        <w:rPr>
          <w:sz w:val="21"/>
          <w:color w:val="000000"/>
        </w:rPr>
        <w:t>乙方</w:t>
      </w:r>
      <w:r>
        <w:rPr>
          <w:sz w:val="21"/>
          <w:color w:val="000000"/>
        </w:rPr>
        <w:t>承担全部责任。</w:t>
      </w:r>
    </w:p>
    <w:p>
      <w:pPr>
        <w:pStyle w:val="null3"/>
        <w:ind w:firstLine="422"/>
        <w:jc w:val="both"/>
      </w:pPr>
      <w:r>
        <w:rPr>
          <w:sz w:val="21"/>
          <w:b/>
          <w:color w:val="000000"/>
        </w:rPr>
        <w:t>十四、</w:t>
      </w:r>
      <w:r>
        <w:rPr>
          <w:sz w:val="21"/>
          <w:b/>
          <w:color w:val="000000"/>
        </w:rPr>
        <w:t>保密要求</w:t>
      </w:r>
    </w:p>
    <w:p>
      <w:pPr>
        <w:pStyle w:val="null3"/>
        <w:ind w:firstLine="420"/>
        <w:jc w:val="both"/>
      </w:pPr>
      <w:r>
        <w:rPr>
          <w:sz w:val="21"/>
          <w:color w:val="000000"/>
        </w:rPr>
        <w:t>1、</w:t>
      </w:r>
      <w:r>
        <w:rPr>
          <w:sz w:val="21"/>
          <w:color w:val="000000"/>
        </w:rPr>
        <w:t>乙方</w:t>
      </w:r>
      <w:r>
        <w:rPr>
          <w:sz w:val="21"/>
          <w:color w:val="000000"/>
        </w:rPr>
        <w:t>需签订保密协议</w:t>
      </w:r>
      <w:r>
        <w:rPr>
          <w:sz w:val="21"/>
          <w:color w:val="000000"/>
        </w:rPr>
        <w:t>（</w:t>
      </w:r>
      <w:r>
        <w:rPr>
          <w:sz w:val="21"/>
          <w:color w:val="000000"/>
        </w:rPr>
        <w:t>详见附件</w:t>
      </w:r>
      <w:r>
        <w:rPr>
          <w:sz w:val="21"/>
          <w:color w:val="000000"/>
        </w:rPr>
        <w:t>4：保密协议书</w:t>
      </w:r>
      <w:r>
        <w:rPr>
          <w:sz w:val="21"/>
          <w:color w:val="000000"/>
        </w:rPr>
        <w:t>）</w:t>
      </w:r>
      <w:r>
        <w:rPr>
          <w:sz w:val="21"/>
          <w:color w:val="000000"/>
        </w:rPr>
        <w:t>，对其因身份、职务、职业或技术关系而知悉的采购人商业秘密和党政机关保密信息应严格保守，保证不被披露或使用，包括意外或过失。</w:t>
      </w:r>
    </w:p>
    <w:p>
      <w:pPr>
        <w:pStyle w:val="null3"/>
        <w:ind w:firstLine="420"/>
        <w:jc w:val="both"/>
      </w:pPr>
      <w:r>
        <w:rPr>
          <w:sz w:val="21"/>
          <w:color w:val="000000"/>
        </w:rPr>
        <w:t>2、</w:t>
      </w:r>
      <w:r>
        <w:rPr>
          <w:sz w:val="21"/>
          <w:color w:val="000000"/>
        </w:rPr>
        <w:t>乙方</w:t>
      </w:r>
      <w:r>
        <w:rPr>
          <w:sz w:val="21"/>
          <w:color w:val="000000"/>
        </w:rPr>
        <w:t>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w:t>
      </w:r>
      <w:r>
        <w:rPr>
          <w:sz w:val="21"/>
          <w:color w:val="000000"/>
        </w:rPr>
        <w:t>乙方</w:t>
      </w:r>
      <w:r>
        <w:rPr>
          <w:sz w:val="21"/>
          <w:color w:val="000000"/>
        </w:rPr>
        <w:t>在从事政府项目时，不得擅自记录、复制、拍摄、摘抄、收藏在工作中涉及的保密信息，严禁将涉及政府项目的任何资料、数据透露或以其他方式提供给项目以外的其他方或</w:t>
      </w:r>
      <w:r>
        <w:rPr>
          <w:sz w:val="21"/>
          <w:color w:val="000000"/>
        </w:rPr>
        <w:t>乙方</w:t>
      </w:r>
      <w:r>
        <w:rPr>
          <w:sz w:val="21"/>
          <w:color w:val="000000"/>
        </w:rPr>
        <w:t>内部与该项目无关的任何人员。</w:t>
      </w:r>
    </w:p>
    <w:p>
      <w:pPr>
        <w:pStyle w:val="null3"/>
        <w:ind w:firstLine="420"/>
        <w:jc w:val="both"/>
      </w:pPr>
      <w:r>
        <w:rPr>
          <w:sz w:val="21"/>
          <w:color w:val="000000"/>
        </w:rPr>
        <w:t>3、</w:t>
      </w:r>
      <w:r>
        <w:rPr>
          <w:sz w:val="21"/>
          <w:color w:val="000000"/>
        </w:rPr>
        <w:t>乙方</w:t>
      </w:r>
      <w:r>
        <w:rPr>
          <w:sz w:val="21"/>
          <w:color w:val="000000"/>
        </w:rPr>
        <w:t>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color w:val="000000"/>
        </w:rPr>
        <w:t>4、严禁泄露在工作中接触到的政府机关科技研究、发明、装备器材及其技术资料和政府工作信息。</w:t>
      </w:r>
    </w:p>
    <w:p>
      <w:pPr>
        <w:pStyle w:val="null3"/>
        <w:ind w:firstLine="422"/>
        <w:jc w:val="both"/>
      </w:pPr>
      <w:r>
        <w:rPr>
          <w:sz w:val="21"/>
          <w:b/>
          <w:color w:val="000000"/>
        </w:rPr>
        <w:t>十五、</w:t>
      </w:r>
      <w:r>
        <w:rPr>
          <w:sz w:val="21"/>
          <w:b/>
          <w:color w:val="000000"/>
        </w:rPr>
        <w:t>其他要求</w:t>
      </w:r>
    </w:p>
    <w:p>
      <w:pPr>
        <w:pStyle w:val="null3"/>
        <w:ind w:firstLine="420"/>
        <w:jc w:val="both"/>
      </w:pPr>
      <w:r>
        <w:rPr>
          <w:sz w:val="21"/>
          <w:color w:val="000000"/>
        </w:rPr>
        <w:t>1、</w:t>
      </w:r>
      <w:r>
        <w:rPr>
          <w:sz w:val="21"/>
          <w:color w:val="000000"/>
        </w:rPr>
        <w:t>乙方</w:t>
      </w:r>
      <w:r>
        <w:rPr>
          <w:sz w:val="21"/>
          <w:color w:val="000000"/>
        </w:rPr>
        <w:t>与</w:t>
      </w:r>
      <w:r>
        <w:rPr>
          <w:sz w:val="21"/>
          <w:color w:val="000000"/>
        </w:rPr>
        <w:t>甲方</w:t>
      </w:r>
      <w:r>
        <w:rPr>
          <w:sz w:val="21"/>
          <w:color w:val="000000"/>
        </w:rPr>
        <w:t>签订廉政责任书</w:t>
      </w:r>
      <w:r>
        <w:rPr>
          <w:sz w:val="21"/>
          <w:color w:val="000000"/>
        </w:rPr>
        <w:t>（</w:t>
      </w:r>
      <w:r>
        <w:rPr>
          <w:sz w:val="21"/>
          <w:color w:val="000000"/>
        </w:rPr>
        <w:t>详见</w:t>
      </w:r>
      <w:r>
        <w:rPr>
          <w:sz w:val="21"/>
          <w:color w:val="000000"/>
        </w:rPr>
        <w:t>附件</w:t>
      </w:r>
      <w:r>
        <w:rPr>
          <w:sz w:val="21"/>
          <w:color w:val="000000"/>
        </w:rPr>
        <w:t>5</w:t>
      </w:r>
      <w:r>
        <w:rPr>
          <w:sz w:val="21"/>
          <w:color w:val="000000"/>
        </w:rPr>
        <w:t>：廉政责任书</w:t>
      </w:r>
      <w:r>
        <w:rPr>
          <w:sz w:val="21"/>
          <w:color w:val="000000"/>
        </w:rPr>
        <w:t>）</w:t>
      </w:r>
      <w:r>
        <w:rPr>
          <w:sz w:val="21"/>
          <w:color w:val="000000"/>
        </w:rPr>
        <w:t>。</w:t>
      </w:r>
    </w:p>
    <w:p>
      <w:pPr>
        <w:pStyle w:val="null3"/>
        <w:ind w:firstLine="420"/>
        <w:jc w:val="both"/>
      </w:pPr>
      <w:r>
        <w:rPr>
          <w:sz w:val="21"/>
          <w:color w:val="000000"/>
        </w:rPr>
        <w:t>2、其他未涉及内容参照本项目招标文件中合同文本相应条款的约定执行。</w:t>
      </w:r>
    </w:p>
    <w:p>
      <w:pPr>
        <w:pStyle w:val="null3"/>
        <w:ind w:firstLine="420"/>
        <w:jc w:val="both"/>
      </w:pPr>
      <w:r>
        <w:rPr>
          <w:sz w:val="21"/>
          <w:color w:val="000000"/>
        </w:rPr>
        <w:t>3、乙方不得将项目（包组）转包，不得将中标（成交）项目（包组）肢解后分别向其他企业或个人转让，不得将项目主体和关键部分分包。</w:t>
      </w:r>
    </w:p>
    <w:p>
      <w:pPr>
        <w:pStyle w:val="null3"/>
        <w:ind w:firstLine="420"/>
        <w:jc w:val="both"/>
      </w:pPr>
      <w:r>
        <w:rPr>
          <w:sz w:val="21"/>
          <w:color w:val="000000"/>
        </w:rPr>
        <w:t>4、乙方须无条件接受甲方及甲方委托的第三方专业机构针对合同标的执行情况的审查，一经发现存在转包、违规分包等问题，甲方有权单方面解除合同，执行罚款、扣除未支付款项、上报政府采购监管部门等反制手段。</w:t>
      </w:r>
    </w:p>
    <w:p>
      <w:pPr>
        <w:pStyle w:val="null3"/>
        <w:ind w:firstLine="422"/>
        <w:jc w:val="both"/>
      </w:pPr>
      <w:r>
        <w:rPr>
          <w:sz w:val="21"/>
          <w:b/>
        </w:rPr>
        <w:t>十六</w:t>
      </w:r>
      <w:r>
        <w:rPr>
          <w:sz w:val="21"/>
          <w:b/>
        </w:rPr>
        <w:t>、违约责任与赔偿损失</w:t>
      </w:r>
    </w:p>
    <w:p>
      <w:pPr>
        <w:pStyle w:val="null3"/>
        <w:ind w:firstLine="420"/>
        <w:jc w:val="both"/>
      </w:pPr>
      <w:r>
        <w:rPr>
          <w:sz w:val="21"/>
        </w:rPr>
        <w:t>1.乙方交付的货物不符合招标文件、投标文件或本合同规定的，甲方有权要求乙方限期整改或更换，乙方拒不执行或整改更换后仍不符合甲方要求的，甲方有权拒收，要求乙方退回甲方已付的合同款项，并且乙方须向甲方支付本合同总价1%的违约金</w:t>
      </w:r>
      <w:r>
        <w:rPr>
          <w:sz w:val="21"/>
        </w:rPr>
        <w:t>，</w:t>
      </w:r>
      <w:r>
        <w:rPr>
          <w:sz w:val="21"/>
        </w:rPr>
        <w:t>违约金不足以弥补甲方损失的，甲方有权向乙方追偿</w:t>
      </w:r>
      <w:r>
        <w:rPr>
          <w:sz w:val="21"/>
        </w:rPr>
        <w:t>。</w:t>
      </w:r>
    </w:p>
    <w:p>
      <w:pPr>
        <w:pStyle w:val="null3"/>
        <w:ind w:firstLine="420"/>
        <w:jc w:val="left"/>
      </w:pPr>
      <w:r>
        <w:rPr>
          <w:sz w:val="21"/>
        </w:rPr>
        <w:t>2.乙方未能按本合同规定的交货时间交付货物并通过甲方验收的，从逾期之日起每日按本合同总价1‰的数额向甲方支付违约金；逾期15天以上（含15天）的，乙方应当从逾期之日起每日按本合同总价1‰的数额向甲方支付违约金，同时甲方有权终止合同，要求乙方退回甲方已付的合同款项，由此造成的甲方经济损失由乙方承担。</w:t>
      </w:r>
    </w:p>
    <w:p>
      <w:pPr>
        <w:pStyle w:val="null3"/>
        <w:ind w:firstLine="420"/>
        <w:jc w:val="left"/>
      </w:pPr>
      <w:r>
        <w:rPr>
          <w:sz w:val="21"/>
        </w:rPr>
        <w:t>3.甲方无正当理由拒收货物，到期拒付货物款项的，甲方向乙方偿付本合同总价的1%的违约金。甲方逾期付款，则每日按当期应付未付金额的1‰向乙方偿付违约金。</w:t>
      </w:r>
    </w:p>
    <w:p>
      <w:pPr>
        <w:pStyle w:val="null3"/>
        <w:ind w:firstLine="420"/>
        <w:jc w:val="left"/>
      </w:pPr>
      <w:r>
        <w:rPr>
          <w:sz w:val="21"/>
        </w:rPr>
        <w:t>4.其它违约责任按《中华人民共和国民法典》处理。</w:t>
      </w:r>
    </w:p>
    <w:p>
      <w:pPr>
        <w:pStyle w:val="null3"/>
        <w:ind w:firstLine="422"/>
        <w:jc w:val="both"/>
      </w:pPr>
      <w:r>
        <w:rPr>
          <w:sz w:val="21"/>
          <w:b/>
        </w:rPr>
        <w:t>十</w:t>
      </w:r>
      <w:r>
        <w:rPr>
          <w:sz w:val="21"/>
          <w:b/>
        </w:rPr>
        <w:t>七</w:t>
      </w:r>
      <w:r>
        <w:rPr>
          <w:sz w:val="21"/>
          <w:b/>
        </w:rPr>
        <w:t>、合同的变更、解除</w:t>
      </w:r>
    </w:p>
    <w:p>
      <w:pPr>
        <w:pStyle w:val="null3"/>
        <w:ind w:firstLine="420"/>
        <w:jc w:val="both"/>
      </w:pPr>
      <w:r>
        <w:rPr>
          <w:sz w:val="21"/>
        </w:rPr>
        <w:t>1</w:t>
      </w:r>
      <w:r>
        <w:rPr>
          <w:sz w:val="21"/>
        </w:rPr>
        <w:t>、</w:t>
      </w:r>
      <w:r>
        <w:rPr>
          <w:sz w:val="21"/>
        </w:rPr>
        <w:t>合同履行过程中，与合同订立和履行相关的客观情况发生重大变动，甲乙协商一致变更本合同部分条款，应签订书面补充协议，补充协议与本合同具有同等法律效力。</w:t>
      </w:r>
    </w:p>
    <w:p>
      <w:pPr>
        <w:pStyle w:val="null3"/>
        <w:ind w:firstLine="420"/>
        <w:jc w:val="both"/>
      </w:pPr>
      <w:r>
        <w:rPr>
          <w:sz w:val="21"/>
        </w:rPr>
        <w:t>2</w:t>
      </w:r>
      <w:r>
        <w:rPr>
          <w:sz w:val="21"/>
        </w:rPr>
        <w:t>、</w:t>
      </w:r>
      <w:r>
        <w:rPr>
          <w:sz w:val="21"/>
        </w:rPr>
        <w:t>符合《中华人民共和国政府采购法》第</w:t>
      </w:r>
      <w:r>
        <w:rPr>
          <w:sz w:val="21"/>
        </w:rPr>
        <w:t>49条、第50条规定情形的，按规定对本合同进行变更或者解除。</w:t>
      </w:r>
    </w:p>
    <w:p>
      <w:pPr>
        <w:pStyle w:val="null3"/>
        <w:ind w:firstLine="422"/>
        <w:jc w:val="both"/>
      </w:pPr>
      <w:r>
        <w:rPr>
          <w:sz w:val="21"/>
          <w:b/>
        </w:rPr>
        <w:t>十八</w:t>
      </w:r>
      <w:r>
        <w:rPr>
          <w:sz w:val="21"/>
          <w:b/>
        </w:rPr>
        <w:t>、争议的解决</w:t>
      </w:r>
    </w:p>
    <w:p>
      <w:pPr>
        <w:pStyle w:val="null3"/>
        <w:ind w:firstLine="420"/>
        <w:jc w:val="both"/>
      </w:pPr>
      <w:r>
        <w:rPr>
          <w:sz w:val="21"/>
        </w:rPr>
        <w:t>合同执行过程中发生的任何争议，如双方不能通过友好协商解决，任一方有权向甲方所在地有管辖权的人民法院提起诉讼。</w:t>
      </w:r>
    </w:p>
    <w:p>
      <w:pPr>
        <w:pStyle w:val="null3"/>
        <w:ind w:firstLine="422"/>
        <w:jc w:val="both"/>
      </w:pPr>
      <w:r>
        <w:rPr>
          <w:sz w:val="21"/>
          <w:b/>
        </w:rPr>
        <w:t>十九</w:t>
      </w:r>
      <w:r>
        <w:rPr>
          <w:sz w:val="21"/>
          <w:b/>
        </w:rPr>
        <w:t>、不可抗力</w:t>
      </w:r>
    </w:p>
    <w:p>
      <w:pPr>
        <w:pStyle w:val="null3"/>
        <w:ind w:firstLine="420"/>
        <w:jc w:val="both"/>
      </w:pPr>
      <w:r>
        <w:rPr>
          <w:sz w:val="21"/>
        </w:rPr>
        <w:t>任何一方由于不可抗力原因不能履行合同时，应在不可抗力事件发生之日起</w:t>
      </w:r>
      <w:r>
        <w:rPr>
          <w:sz w:val="21"/>
        </w:rPr>
        <w:t>1日内向对方书面通报，并采取相应措施减轻可能给对方造成的损失，在取得有关机构的不可抗力证明或双方谅解确认后，允许延期履行或修订合同，并根据情况可部分或全部免于承担违约责任。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二十</w:t>
      </w:r>
      <w:r>
        <w:rPr>
          <w:sz w:val="21"/>
          <w:b/>
        </w:rPr>
        <w:t>、税费</w:t>
      </w:r>
    </w:p>
    <w:p>
      <w:pPr>
        <w:pStyle w:val="null3"/>
        <w:ind w:firstLine="420"/>
        <w:jc w:val="both"/>
      </w:pPr>
      <w:r>
        <w:rPr>
          <w:sz w:val="21"/>
        </w:rPr>
        <w:t>在中国境内、外发生的与本合同执行有关的一切税费均由乙方负担。乙方根据合同约定向甲方提供与支付金额相符的有效增值税发票，且收款方、出具发票方和合同乙方名称必须一致。</w:t>
      </w:r>
    </w:p>
    <w:p>
      <w:pPr>
        <w:pStyle w:val="null3"/>
        <w:ind w:firstLine="422"/>
        <w:jc w:val="both"/>
      </w:pPr>
      <w:r>
        <w:rPr>
          <w:sz w:val="21"/>
          <w:b/>
        </w:rPr>
        <w:t>二十一</w:t>
      </w:r>
      <w:r>
        <w:rPr>
          <w:sz w:val="21"/>
          <w:b/>
        </w:rPr>
        <w:t>、其它</w:t>
      </w:r>
    </w:p>
    <w:p>
      <w:pPr>
        <w:pStyle w:val="null3"/>
        <w:ind w:firstLine="420"/>
        <w:jc w:val="left"/>
      </w:pPr>
      <w:r>
        <w:rPr>
          <w:sz w:val="21"/>
        </w:rPr>
        <w:t>1</w:t>
      </w:r>
      <w:r>
        <w:rPr>
          <w:sz w:val="21"/>
        </w:rPr>
        <w:t>、</w:t>
      </w:r>
      <w:r>
        <w:rPr>
          <w:sz w:val="21"/>
        </w:rPr>
        <w:t>本合同所有附件、招标文件、投标文件、中标通知书、保密承诺书、廉政责任书</w:t>
      </w:r>
      <w:r>
        <w:rPr>
          <w:sz w:val="21"/>
        </w:rPr>
        <w:t>等</w:t>
      </w:r>
      <w:r>
        <w:rPr>
          <w:sz w:val="21"/>
        </w:rPr>
        <w:t>均为合同的有效组成部分，与本合同具有同等法律效力。</w:t>
      </w:r>
    </w:p>
    <w:p>
      <w:pPr>
        <w:pStyle w:val="null3"/>
        <w:ind w:firstLine="420"/>
        <w:jc w:val="left"/>
      </w:pPr>
      <w:r>
        <w:rPr>
          <w:sz w:val="21"/>
        </w:rPr>
        <w:t>2</w:t>
      </w:r>
      <w:r>
        <w:rPr>
          <w:sz w:val="21"/>
        </w:rPr>
        <w:t>、</w:t>
      </w:r>
      <w:r>
        <w:rPr>
          <w:sz w:val="21"/>
        </w:rPr>
        <w:t>在执行本合同的过程中，所有经双方签署确认的文件（包括会议纪要、补充协议、往来信函）即成为本合同的有效组成部分。</w:t>
      </w:r>
    </w:p>
    <w:p>
      <w:pPr>
        <w:pStyle w:val="null3"/>
        <w:ind w:firstLine="420"/>
        <w:jc w:val="left"/>
      </w:pPr>
      <w:r>
        <w:rPr>
          <w:sz w:val="21"/>
        </w:rPr>
        <w:t>3</w:t>
      </w:r>
      <w:r>
        <w:rPr>
          <w:sz w:val="21"/>
        </w:rPr>
        <w:t>、</w:t>
      </w:r>
      <w:r>
        <w:rPr>
          <w:sz w:val="21"/>
        </w:rPr>
        <w:t>如一方地址、电话</w:t>
      </w:r>
      <w:r>
        <w:rPr>
          <w:sz w:val="21"/>
        </w:rPr>
        <w:t>、</w:t>
      </w:r>
      <w:r>
        <w:rPr>
          <w:sz w:val="21"/>
        </w:rPr>
        <w:t>银行账号</w:t>
      </w:r>
      <w:r>
        <w:rPr>
          <w:sz w:val="21"/>
        </w:rPr>
        <w:t>有变更，应在变更当日内书面通知对方，否则，应承担相应责任。</w:t>
      </w:r>
    </w:p>
    <w:p>
      <w:pPr>
        <w:pStyle w:val="null3"/>
        <w:ind w:firstLine="420"/>
        <w:jc w:val="left"/>
      </w:pPr>
      <w:r>
        <w:rPr>
          <w:sz w:val="21"/>
        </w:rPr>
        <w:t>4</w:t>
      </w:r>
      <w:r>
        <w:rPr>
          <w:sz w:val="21"/>
        </w:rPr>
        <w:t>、</w:t>
      </w:r>
      <w:r>
        <w:rPr>
          <w:sz w:val="21"/>
        </w:rPr>
        <w:t>除甲方事先书面同意外，乙方不得部分或全部转让其应履行的合同项下的义务。</w:t>
      </w:r>
    </w:p>
    <w:p>
      <w:pPr>
        <w:pStyle w:val="null3"/>
        <w:ind w:firstLine="420"/>
        <w:jc w:val="left"/>
      </w:pPr>
      <w:r>
        <w:rPr>
          <w:sz w:val="21"/>
        </w:rPr>
        <w:t>5</w:t>
      </w:r>
      <w:r>
        <w:rPr>
          <w:sz w:val="21"/>
        </w:rPr>
        <w:t>、</w:t>
      </w:r>
      <w:r>
        <w:rPr>
          <w:sz w:val="21"/>
        </w:rPr>
        <w:t>本合同自签订之日起</w:t>
      </w:r>
      <w:r>
        <w:rPr>
          <w:sz w:val="21"/>
        </w:rPr>
        <w:t>2个工作日内备案。</w:t>
      </w:r>
    </w:p>
    <w:p>
      <w:pPr>
        <w:pStyle w:val="null3"/>
        <w:ind w:firstLine="480"/>
        <w:jc w:val="both"/>
      </w:pPr>
      <w:r>
        <w:rPr>
          <w:sz w:val="21"/>
          <w:b/>
        </w:rPr>
        <w:t>二十二</w:t>
      </w:r>
      <w:r>
        <w:rPr>
          <w:sz w:val="21"/>
          <w:b/>
        </w:rPr>
        <w:t>、合同生效</w:t>
      </w:r>
    </w:p>
    <w:p>
      <w:pPr>
        <w:pStyle w:val="null3"/>
        <w:ind w:firstLine="420"/>
        <w:jc w:val="left"/>
      </w:pPr>
      <w:r>
        <w:rPr>
          <w:sz w:val="21"/>
        </w:rPr>
        <w:t>1</w:t>
      </w:r>
      <w:r>
        <w:rPr>
          <w:sz w:val="21"/>
        </w:rPr>
        <w:t>、</w:t>
      </w:r>
      <w:r>
        <w:rPr>
          <w:sz w:val="21"/>
        </w:rPr>
        <w:t>合同自甲乙双方法人代表或其授权代表签字并加盖公章之日起生效。</w:t>
      </w:r>
    </w:p>
    <w:p>
      <w:pPr>
        <w:pStyle w:val="null3"/>
        <w:ind w:firstLine="420"/>
        <w:jc w:val="left"/>
      </w:pPr>
      <w:r>
        <w:rPr>
          <w:sz w:val="21"/>
          <w:color w:val="000000"/>
        </w:rPr>
        <w:t>2.</w:t>
      </w:r>
      <w:r>
        <w:rPr>
          <w:sz w:val="21"/>
          <w:color w:val="000000"/>
        </w:rPr>
        <w:t>、</w:t>
      </w:r>
      <w:r>
        <w:rPr>
          <w:sz w:val="21"/>
          <w:color w:val="000000"/>
        </w:rPr>
        <w:t>合同壹式</w:t>
      </w:r>
      <w:r>
        <w:rPr>
          <w:sz w:val="21"/>
          <w:color w:val="000000"/>
        </w:rPr>
        <w:t>6</w:t>
      </w:r>
      <w:r>
        <w:rPr>
          <w:sz w:val="21"/>
          <w:color w:val="000000"/>
        </w:rPr>
        <w:t>份，其中：甲方执</w:t>
      </w:r>
      <w:r>
        <w:rPr>
          <w:sz w:val="21"/>
          <w:color w:val="000000"/>
        </w:rPr>
        <w:t>3</w:t>
      </w:r>
      <w:r>
        <w:rPr>
          <w:sz w:val="21"/>
          <w:color w:val="000000"/>
        </w:rPr>
        <w:t>份，乙方执</w:t>
      </w:r>
      <w:r>
        <w:rPr>
          <w:sz w:val="21"/>
          <w:color w:val="000000"/>
        </w:rPr>
        <w:t>3</w:t>
      </w:r>
      <w:r>
        <w:rPr>
          <w:sz w:val="21"/>
          <w:color w:val="000000"/>
        </w:rPr>
        <w:t>份。具有同等法律效力。</w:t>
      </w:r>
    </w:p>
    <w:p>
      <w:pPr>
        <w:pStyle w:val="null3"/>
        <w:ind w:firstLine="420"/>
        <w:jc w:val="left"/>
      </w:pPr>
      <w:r>
        <w:rPr>
          <w:sz w:val="21"/>
          <w:color w:val="000000"/>
        </w:rPr>
        <w:t>附件</w:t>
      </w:r>
      <w:r>
        <w:rPr>
          <w:sz w:val="21"/>
          <w:color w:val="000000"/>
        </w:rPr>
        <w:t>1：项目产品配置清单</w:t>
      </w:r>
    </w:p>
    <w:p>
      <w:pPr>
        <w:pStyle w:val="null3"/>
        <w:ind w:firstLine="420"/>
        <w:jc w:val="left"/>
      </w:pPr>
      <w:r>
        <w:rPr>
          <w:sz w:val="21"/>
          <w:color w:val="000000"/>
        </w:rPr>
        <w:t>附件</w:t>
      </w:r>
      <w:r>
        <w:rPr>
          <w:sz w:val="21"/>
          <w:color w:val="000000"/>
        </w:rPr>
        <w:t>2：产品参数指标</w:t>
      </w:r>
    </w:p>
    <w:p>
      <w:pPr>
        <w:pStyle w:val="null3"/>
        <w:ind w:firstLine="420"/>
        <w:jc w:val="left"/>
      </w:pPr>
      <w:r>
        <w:rPr>
          <w:sz w:val="21"/>
          <w:color w:val="000000"/>
        </w:rPr>
        <w:t>附件</w:t>
      </w:r>
      <w:r>
        <w:rPr>
          <w:sz w:val="21"/>
          <w:color w:val="000000"/>
        </w:rPr>
        <w:t>3：项目经理和拟派本项目主要人员情况表</w:t>
      </w:r>
    </w:p>
    <w:p>
      <w:pPr>
        <w:pStyle w:val="null3"/>
        <w:ind w:firstLine="420"/>
        <w:jc w:val="left"/>
      </w:pPr>
      <w:r>
        <w:rPr>
          <w:sz w:val="21"/>
          <w:color w:val="000000"/>
        </w:rPr>
        <w:t>附件</w:t>
      </w:r>
      <w:r>
        <w:rPr>
          <w:sz w:val="21"/>
          <w:color w:val="000000"/>
        </w:rPr>
        <w:t>4：保密协议书</w:t>
      </w:r>
    </w:p>
    <w:p>
      <w:pPr>
        <w:pStyle w:val="null3"/>
        <w:ind w:firstLine="420"/>
        <w:jc w:val="left"/>
      </w:pPr>
      <w:r>
        <w:rPr>
          <w:sz w:val="21"/>
          <w:color w:val="000000"/>
        </w:rPr>
        <w:t>附件</w:t>
      </w:r>
      <w:r>
        <w:rPr>
          <w:sz w:val="21"/>
          <w:color w:val="000000"/>
        </w:rPr>
        <w:t>5：廉政责任书</w:t>
      </w:r>
    </w:p>
    <w:p>
      <w:pPr>
        <w:pStyle w:val="null3"/>
        <w:ind w:firstLine="420"/>
        <w:jc w:val="center"/>
      </w:pPr>
      <w:r>
        <w:rPr>
          <w:sz w:val="21"/>
        </w:rPr>
        <w:t>（以下无正文）</w:t>
      </w:r>
    </w:p>
    <w:p>
      <w:pPr>
        <w:pStyle w:val="null3"/>
        <w:jc w:val="both"/>
      </w:pPr>
      <w:r>
        <w:rPr>
          <w:sz w:val="21"/>
        </w:rPr>
        <w:t>甲方（盖章）：广东省国土资源测绘院</w:t>
      </w:r>
      <w:r>
        <w:rPr>
          <w:sz w:val="21"/>
        </w:rPr>
        <w:t xml:space="preserve">            </w:t>
      </w:r>
      <w:r>
        <w:rPr>
          <w:sz w:val="21"/>
        </w:rPr>
        <w:t>乙方（盖章）：</w:t>
      </w:r>
    </w:p>
    <w:p>
      <w:pPr>
        <w:pStyle w:val="null3"/>
        <w:jc w:val="both"/>
      </w:pPr>
      <w:r>
        <w:rPr>
          <w:sz w:val="21"/>
        </w:rPr>
        <w:t>法人代表（或授权代表）：</w:t>
      </w:r>
      <w:r>
        <w:rPr>
          <w:sz w:val="21"/>
        </w:rPr>
        <w:t xml:space="preserve">                      </w:t>
      </w:r>
      <w:r>
        <w:rPr>
          <w:sz w:val="21"/>
        </w:rPr>
        <w:t>法人代表（或授权代表）：</w:t>
      </w:r>
    </w:p>
    <w:p>
      <w:pPr>
        <w:pStyle w:val="null3"/>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both"/>
      </w:pPr>
      <w:r>
        <w:rPr>
          <w:sz w:val="21"/>
        </w:rPr>
        <w:t>附件</w:t>
      </w:r>
      <w:r>
        <w:rPr>
          <w:sz w:val="21"/>
        </w:rPr>
        <w:t>1</w:t>
      </w:r>
      <w:r>
        <w:rPr>
          <w:sz w:val="21"/>
        </w:rPr>
        <w:t>：项目产品配置清单</w:t>
      </w:r>
    </w:p>
    <w:tbl>
      <w:tblPr>
        <w:tblW w:w="0" w:type="auto"/>
        <w:tblBorders>
          <w:top w:val="none" w:color="000000" w:sz="4"/>
          <w:left w:val="none" w:color="000000" w:sz="4"/>
          <w:bottom w:val="none" w:color="000000" w:sz="4"/>
          <w:right w:val="none" w:color="000000" w:sz="4"/>
          <w:insideH w:val="none"/>
          <w:insideV w:val="none"/>
        </w:tblBorders>
      </w:tblPr>
      <w:tblGrid>
        <w:gridCol w:w="587"/>
        <w:gridCol w:w="1742"/>
        <w:gridCol w:w="1496"/>
        <w:gridCol w:w="2822"/>
        <w:gridCol w:w="678"/>
        <w:gridCol w:w="982"/>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序号</w:t>
            </w:r>
          </w:p>
        </w:tc>
        <w:tc>
          <w:tcPr>
            <w:tcW w:type="dxa" w:w="1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设备</w:t>
            </w:r>
          </w:p>
        </w:tc>
        <w:tc>
          <w:tcPr>
            <w:tcW w:type="dxa" w:w="1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型号</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配件及其规格</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数量</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是否为全新设备</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center"/>
            </w:pP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rPr>
        <w:t>附件</w:t>
      </w:r>
      <w:r>
        <w:rPr>
          <w:sz w:val="21"/>
        </w:rPr>
        <w:t>2</w:t>
      </w:r>
      <w:r>
        <w:rPr>
          <w:sz w:val="21"/>
        </w:rPr>
        <w:t>：产品参数指标</w:t>
      </w:r>
    </w:p>
    <w:p>
      <w:pPr>
        <w:pStyle w:val="null3"/>
      </w:pPr>
      <w:r>
        <w:rPr>
          <w:sz w:val="21"/>
        </w:rPr>
        <w:t>附件</w:t>
      </w:r>
      <w:r>
        <w:rPr>
          <w:sz w:val="21"/>
        </w:rPr>
        <w:t>3</w:t>
      </w:r>
      <w:r>
        <w:rPr>
          <w:sz w:val="21"/>
        </w:rPr>
        <w:t>：</w:t>
      </w:r>
      <w:r>
        <w:rPr>
          <w:sz w:val="21"/>
        </w:rPr>
        <w:t>项目经理</w:t>
      </w:r>
      <w:r>
        <w:rPr>
          <w:sz w:val="21"/>
        </w:rPr>
        <w:t>和拟派本项目主要人员情况表</w:t>
      </w:r>
    </w:p>
    <w:tbl>
      <w:tblPr>
        <w:tblW w:w="0" w:type="auto"/>
        <w:tblBorders>
          <w:top w:val="none" w:color="000000" w:sz="4"/>
          <w:left w:val="none" w:color="000000" w:sz="4"/>
          <w:bottom w:val="none" w:color="000000" w:sz="4"/>
          <w:right w:val="none" w:color="000000" w:sz="4"/>
          <w:insideH w:val="none"/>
          <w:insideV w:val="none"/>
        </w:tblBorders>
      </w:tblPr>
      <w:tblGrid>
        <w:gridCol w:w="1110"/>
        <w:gridCol w:w="942"/>
        <w:gridCol w:w="952"/>
        <w:gridCol w:w="2543"/>
        <w:gridCol w:w="1285"/>
        <w:gridCol w:w="1471"/>
      </w:tblGrid>
      <w:tr>
        <w:tc>
          <w:tcPr>
            <w:tcW w:type="dxa" w:w="11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姓名</w:t>
            </w:r>
          </w:p>
        </w:tc>
        <w:tc>
          <w:tcPr>
            <w:tcW w:type="dxa" w:w="94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性别</w:t>
            </w:r>
          </w:p>
        </w:tc>
        <w:tc>
          <w:tcPr>
            <w:tcW w:type="dxa" w:w="9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年龄</w:t>
            </w:r>
          </w:p>
        </w:tc>
        <w:tc>
          <w:tcPr>
            <w:tcW w:type="dxa" w:w="254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职称</w:t>
            </w:r>
            <w:r>
              <w:rPr>
                <w:sz w:val="18"/>
              </w:rPr>
              <w:t>/职业资格</w:t>
            </w:r>
          </w:p>
        </w:tc>
        <w:tc>
          <w:tcPr>
            <w:tcW w:type="dxa" w:w="12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专业</w:t>
            </w:r>
          </w:p>
        </w:tc>
        <w:tc>
          <w:tcPr>
            <w:tcW w:type="dxa" w:w="14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18"/>
              </w:rPr>
              <w:t>拟担任职务</w:t>
            </w: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1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9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sz w:val="19"/>
              </w:rPr>
              <w:t xml:space="preserve"> </w:t>
            </w:r>
          </w:p>
          <w:p>
            <w:pPr>
              <w:pStyle w:val="null3"/>
            </w:pPr>
            <w:r>
              <w:rPr>
                <w:sz w:val="19"/>
              </w:rPr>
              <w:t xml:space="preserve"> </w:t>
            </w:r>
          </w:p>
          <w:p>
            <w:pPr>
              <w:pStyle w:val="null3"/>
              <w:jc w:val="center"/>
            </w:pPr>
          </w:p>
        </w:tc>
        <w:tc>
          <w:tcPr>
            <w:tcW w:type="dxa" w:w="25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2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14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pPr>
      <w:r>
        <w:rPr/>
        <w:t xml:space="preserve"> </w:t>
      </w:r>
    </w:p>
    <w:p>
      <w:pPr>
        <w:pStyle w:val="null3"/>
        <w:jc w:val="both"/>
      </w:pPr>
      <w:r>
        <w:rPr>
          <w:sz w:val="24"/>
          <w:b/>
        </w:rPr>
        <w:t>附件</w:t>
      </w:r>
      <w:r>
        <w:rPr>
          <w:sz w:val="24"/>
          <w:b/>
        </w:rPr>
        <w:t>4</w:t>
      </w:r>
      <w:r>
        <w:rPr>
          <w:sz w:val="24"/>
          <w:b/>
        </w:rPr>
        <w:t>：保密协议书</w:t>
      </w:r>
    </w:p>
    <w:p>
      <w:pPr>
        <w:pStyle w:val="null3"/>
        <w:spacing w:before="135"/>
        <w:jc w:val="center"/>
      </w:pPr>
      <w:r>
        <w:rPr>
          <w:sz w:val="44"/>
        </w:rPr>
        <w:t>保</w:t>
      </w:r>
      <w:r>
        <w:rPr>
          <w:sz w:val="44"/>
        </w:rPr>
        <w:t>密协议书</w:t>
      </w:r>
    </w:p>
    <w:p>
      <w:pPr>
        <w:pStyle w:val="null3"/>
        <w:jc w:val="both"/>
      </w:pPr>
      <w:r>
        <w:rPr>
          <w:sz w:val="24"/>
        </w:rPr>
        <w:t>项目名称：</w:t>
      </w:r>
      <w:r>
        <w:rPr>
          <w:sz w:val="24"/>
          <w:u w:val="single"/>
        </w:rPr>
        <w:t>2025 年基础地理信息数据及耕地动态监测监管等项目桌面云集群建设采购项目</w:t>
      </w:r>
    </w:p>
    <w:p>
      <w:pPr>
        <w:pStyle w:val="null3"/>
        <w:jc w:val="both"/>
      </w:pPr>
      <w:r>
        <w:rPr>
          <w:sz w:val="24"/>
        </w:rPr>
        <w:t>项目编号：</w:t>
      </w:r>
      <w:r>
        <w:rPr>
          <w:sz w:val="21"/>
          <w:u w:val="single"/>
        </w:rPr>
        <w:t xml:space="preserve">   </w:t>
      </w:r>
      <w:r>
        <w:rPr>
          <w:sz w:val="21"/>
          <w:u w:val="single"/>
        </w:rPr>
        <w:t xml:space="preserve">  </w:t>
      </w:r>
      <w:r>
        <w:rPr>
          <w:sz w:val="21"/>
          <w:u w:val="single"/>
        </w:rPr>
        <w:t xml:space="preserve">                 </w:t>
      </w:r>
    </w:p>
    <w:p>
      <w:pPr>
        <w:pStyle w:val="null3"/>
        <w:jc w:val="both"/>
      </w:pPr>
      <w:r>
        <w:rPr>
          <w:sz w:val="24"/>
        </w:rPr>
        <w:t>甲</w:t>
      </w:r>
      <w:r>
        <w:rPr>
          <w:sz w:val="24"/>
        </w:rPr>
        <w:t>方</w:t>
      </w:r>
      <w:r>
        <w:rPr>
          <w:sz w:val="24"/>
        </w:rPr>
        <w:t>：</w:t>
      </w:r>
      <w:r>
        <w:rPr>
          <w:sz w:val="24"/>
          <w:u w:val="single"/>
        </w:rPr>
        <w:t>广东省国土资源测绘院</w:t>
      </w:r>
      <w:r>
        <w:rPr>
          <w:sz w:val="21"/>
          <w:u w:val="single"/>
        </w:rPr>
        <w:t xml:space="preserve"> </w:t>
      </w:r>
    </w:p>
    <w:p>
      <w:pPr>
        <w:pStyle w:val="null3"/>
        <w:jc w:val="both"/>
      </w:pPr>
      <w:r>
        <w:rPr>
          <w:sz w:val="24"/>
        </w:rPr>
        <w:t>乙</w:t>
      </w:r>
      <w:r>
        <w:rPr>
          <w:sz w:val="24"/>
        </w:rPr>
        <w:t>方</w:t>
      </w:r>
      <w:r>
        <w:rPr>
          <w:sz w:val="24"/>
        </w:rPr>
        <w:t>：</w:t>
      </w:r>
      <w:r>
        <w:rPr>
          <w:sz w:val="21"/>
          <w:u w:val="single"/>
        </w:rPr>
        <w:t xml:space="preserve">  </w:t>
      </w:r>
      <w:r>
        <w:rPr>
          <w:sz w:val="21"/>
          <w:u w:val="single"/>
        </w:rPr>
        <w:t xml:space="preserve"> </w:t>
      </w:r>
      <w:r>
        <w:rPr>
          <w:sz w:val="21"/>
          <w:u w:val="single"/>
        </w:rPr>
        <w:t xml:space="preserve">                   </w:t>
      </w:r>
    </w:p>
    <w:p>
      <w:pPr>
        <w:pStyle w:val="null3"/>
        <w:ind w:firstLine="520"/>
        <w:jc w:val="both"/>
      </w:pPr>
      <w:r>
        <w:rPr>
          <w:sz w:val="24"/>
        </w:rPr>
        <w:t>为</w:t>
      </w:r>
      <w:r>
        <w:rPr>
          <w:sz w:val="24"/>
        </w:rPr>
        <w:t>充</w:t>
      </w:r>
      <w:r>
        <w:rPr>
          <w:sz w:val="24"/>
        </w:rPr>
        <w:t>分保护</w:t>
      </w:r>
      <w:r>
        <w:rPr>
          <w:sz w:val="24"/>
        </w:rPr>
        <w:t>甲方</w:t>
      </w:r>
      <w:r>
        <w:rPr>
          <w:sz w:val="24"/>
        </w:rPr>
        <w:t>的保密资料和商业秘密；双方在平等、自愿、</w:t>
      </w:r>
      <w:r>
        <w:rPr>
          <w:sz w:val="24"/>
        </w:rPr>
        <w:t>协</w:t>
      </w:r>
      <w:r>
        <w:rPr>
          <w:sz w:val="24"/>
        </w:rPr>
        <w:t>商</w:t>
      </w:r>
      <w:r>
        <w:rPr>
          <w:sz w:val="24"/>
        </w:rPr>
        <w:t>一致的基础上，达成如下一致意见：</w:t>
      </w:r>
    </w:p>
    <w:p>
      <w:pPr>
        <w:pStyle w:val="null3"/>
        <w:jc w:val="both"/>
      </w:pPr>
      <w:r>
        <w:rPr>
          <w:sz w:val="24"/>
        </w:rPr>
        <w:t>一、</w:t>
      </w:r>
      <w:r>
        <w:rPr>
          <w:sz w:val="24"/>
        </w:rPr>
        <w:t>乙方</w:t>
      </w:r>
      <w:r>
        <w:rPr>
          <w:sz w:val="24"/>
        </w:rPr>
        <w:t>对保密资料的保</w:t>
      </w:r>
      <w:r>
        <w:rPr>
          <w:sz w:val="24"/>
        </w:rPr>
        <w:t>密义务</w:t>
      </w:r>
    </w:p>
    <w:p>
      <w:pPr>
        <w:pStyle w:val="null3"/>
        <w:ind w:firstLine="660"/>
        <w:jc w:val="both"/>
      </w:pPr>
      <w:r>
        <w:rPr>
          <w:sz w:val="24"/>
        </w:rPr>
        <w:t>1.</w:t>
      </w:r>
      <w:r>
        <w:rPr>
          <w:sz w:val="24"/>
        </w:rPr>
        <w:t>未经</w:t>
      </w:r>
      <w:r>
        <w:rPr>
          <w:sz w:val="24"/>
        </w:rPr>
        <w:t>甲方</w:t>
      </w:r>
      <w:r>
        <w:rPr>
          <w:sz w:val="24"/>
        </w:rPr>
        <w:t>书面同意，</w:t>
      </w:r>
      <w:r>
        <w:rPr>
          <w:sz w:val="24"/>
        </w:rPr>
        <w:t>乙方</w:t>
      </w:r>
      <w:r>
        <w:rPr>
          <w:sz w:val="24"/>
        </w:rPr>
        <w:t>不得利用</w:t>
      </w:r>
      <w:r>
        <w:rPr>
          <w:sz w:val="24"/>
        </w:rPr>
        <w:t>甲方</w:t>
      </w:r>
      <w:r>
        <w:rPr>
          <w:sz w:val="24"/>
        </w:rPr>
        <w:t>提供的保密资料进</w:t>
      </w:r>
      <w:r>
        <w:rPr>
          <w:sz w:val="24"/>
        </w:rPr>
        <w:t>行与</w:t>
      </w:r>
      <w:r>
        <w:rPr>
          <w:sz w:val="24"/>
          <w:u w:val="single"/>
        </w:rPr>
        <w:t>甲方</w:t>
      </w:r>
      <w:r>
        <w:rPr>
          <w:sz w:val="24"/>
          <w:u w:val="single"/>
        </w:rPr>
        <w:t>合</w:t>
      </w:r>
      <w:r>
        <w:rPr>
          <w:sz w:val="24"/>
          <w:u w:val="single"/>
        </w:rPr>
        <w:t>作项目</w:t>
      </w:r>
      <w:r>
        <w:rPr>
          <w:sz w:val="24"/>
        </w:rPr>
        <w:t>以外的行为；未经</w:t>
      </w:r>
      <w:r>
        <w:rPr>
          <w:sz w:val="24"/>
        </w:rPr>
        <w:t>甲方</w:t>
      </w:r>
      <w:r>
        <w:rPr>
          <w:sz w:val="24"/>
        </w:rPr>
        <w:t>书面同意，</w:t>
      </w:r>
      <w:r>
        <w:rPr>
          <w:sz w:val="24"/>
        </w:rPr>
        <w:t>乙方</w:t>
      </w:r>
      <w:r>
        <w:rPr>
          <w:sz w:val="24"/>
        </w:rPr>
        <w:t>不得利</w:t>
      </w:r>
      <w:r>
        <w:rPr>
          <w:sz w:val="24"/>
        </w:rPr>
        <w:t>用</w:t>
      </w:r>
      <w:r>
        <w:rPr>
          <w:sz w:val="24"/>
        </w:rPr>
        <w:t>甲方</w:t>
      </w:r>
      <w:r>
        <w:rPr>
          <w:sz w:val="24"/>
        </w:rPr>
        <w:t>提供的保密资料与任何第三方进行商业行为</w:t>
      </w:r>
      <w:r>
        <w:rPr>
          <w:sz w:val="24"/>
        </w:rPr>
        <w:t>。</w:t>
      </w:r>
    </w:p>
    <w:p>
      <w:pPr>
        <w:pStyle w:val="null3"/>
        <w:ind w:firstLine="642"/>
        <w:jc w:val="both"/>
      </w:pPr>
      <w:r>
        <w:rPr>
          <w:sz w:val="24"/>
        </w:rPr>
        <w:t>2.</w:t>
      </w:r>
      <w:r>
        <w:rPr>
          <w:sz w:val="24"/>
        </w:rPr>
        <w:t>乙方</w:t>
      </w:r>
      <w:r>
        <w:rPr>
          <w:sz w:val="24"/>
        </w:rPr>
        <w:t>应配合</w:t>
      </w:r>
      <w:r>
        <w:rPr>
          <w:sz w:val="24"/>
        </w:rPr>
        <w:t>甲方</w:t>
      </w:r>
      <w:r>
        <w:rPr>
          <w:sz w:val="24"/>
        </w:rPr>
        <w:t>的合理要求，严格按本协议和</w:t>
      </w:r>
      <w:r>
        <w:rPr>
          <w:sz w:val="24"/>
        </w:rPr>
        <w:t>甲方</w:t>
      </w:r>
      <w:r>
        <w:rPr>
          <w:sz w:val="24"/>
        </w:rPr>
        <w:t>指示</w:t>
      </w:r>
      <w:r>
        <w:rPr>
          <w:sz w:val="24"/>
        </w:rPr>
        <w:t>依</w:t>
      </w:r>
      <w:r>
        <w:rPr>
          <w:sz w:val="24"/>
        </w:rPr>
        <w:t>法</w:t>
      </w:r>
      <w:r>
        <w:rPr>
          <w:sz w:val="24"/>
        </w:rPr>
        <w:t>履行本协议。</w:t>
      </w:r>
    </w:p>
    <w:p>
      <w:pPr>
        <w:pStyle w:val="null3"/>
        <w:ind w:firstLine="621"/>
        <w:jc w:val="both"/>
      </w:pPr>
      <w:r>
        <w:rPr>
          <w:sz w:val="24"/>
        </w:rPr>
        <w:t>3</w:t>
      </w:r>
      <w:r>
        <w:rPr>
          <w:sz w:val="24"/>
        </w:rPr>
        <w:t>.</w:t>
      </w:r>
      <w:r>
        <w:rPr>
          <w:sz w:val="24"/>
        </w:rPr>
        <w:t>甲方</w:t>
      </w:r>
      <w:r>
        <w:rPr>
          <w:sz w:val="24"/>
        </w:rPr>
        <w:t>为</w:t>
      </w:r>
      <w:r>
        <w:rPr>
          <w:sz w:val="24"/>
        </w:rPr>
        <w:t>乙方</w:t>
      </w:r>
      <w:r>
        <w:rPr>
          <w:sz w:val="24"/>
        </w:rPr>
        <w:t>提供的技术资料仅供</w:t>
      </w:r>
      <w:r>
        <w:rPr>
          <w:sz w:val="24"/>
        </w:rPr>
        <w:t>乙方</w:t>
      </w:r>
      <w:r>
        <w:rPr>
          <w:sz w:val="24"/>
        </w:rPr>
        <w:t>人员内部工作使用，</w:t>
      </w:r>
      <w:r>
        <w:rPr>
          <w:sz w:val="24"/>
        </w:rPr>
        <w:t>乙方</w:t>
      </w:r>
      <w:r>
        <w:rPr>
          <w:sz w:val="24"/>
        </w:rPr>
        <w:t>不得转让第三方。</w:t>
      </w:r>
    </w:p>
    <w:p>
      <w:pPr>
        <w:pStyle w:val="null3"/>
        <w:ind w:firstLine="627"/>
        <w:jc w:val="both"/>
      </w:pPr>
      <w:r>
        <w:rPr>
          <w:sz w:val="24"/>
        </w:rPr>
        <w:t>4.</w:t>
      </w:r>
      <w:r>
        <w:rPr>
          <w:sz w:val="24"/>
        </w:rPr>
        <w:t>乙方</w:t>
      </w:r>
      <w:r>
        <w:rPr>
          <w:sz w:val="24"/>
        </w:rPr>
        <w:t>应保证防止</w:t>
      </w:r>
      <w:r>
        <w:rPr>
          <w:sz w:val="24"/>
        </w:rPr>
        <w:t>甲方</w:t>
      </w:r>
      <w:r>
        <w:rPr>
          <w:sz w:val="24"/>
        </w:rPr>
        <w:t>保密资料的泄露；若</w:t>
      </w:r>
      <w:r>
        <w:rPr>
          <w:sz w:val="24"/>
        </w:rPr>
        <w:t>乙方</w:t>
      </w:r>
      <w:r>
        <w:rPr>
          <w:sz w:val="24"/>
        </w:rPr>
        <w:t>人员出现</w:t>
      </w:r>
      <w:r>
        <w:rPr>
          <w:sz w:val="24"/>
        </w:rPr>
        <w:t>泄</w:t>
      </w:r>
      <w:r>
        <w:rPr>
          <w:sz w:val="24"/>
        </w:rPr>
        <w:t>密行为，</w:t>
      </w:r>
      <w:r>
        <w:rPr>
          <w:sz w:val="24"/>
        </w:rPr>
        <w:t>乙方</w:t>
      </w:r>
      <w:r>
        <w:rPr>
          <w:sz w:val="24"/>
        </w:rPr>
        <w:t>应承担全部法律责任。</w:t>
      </w:r>
    </w:p>
    <w:p>
      <w:pPr>
        <w:pStyle w:val="null3"/>
        <w:jc w:val="both"/>
      </w:pPr>
      <w:r>
        <w:rPr>
          <w:sz w:val="24"/>
        </w:rPr>
        <w:t>二、</w:t>
      </w:r>
      <w:r>
        <w:rPr>
          <w:sz w:val="24"/>
        </w:rPr>
        <w:t>乙方</w:t>
      </w:r>
      <w:r>
        <w:rPr>
          <w:sz w:val="24"/>
        </w:rPr>
        <w:t>对保密资料的合</w:t>
      </w:r>
      <w:r>
        <w:rPr>
          <w:sz w:val="24"/>
        </w:rPr>
        <w:t>理使用</w:t>
      </w:r>
    </w:p>
    <w:p>
      <w:pPr>
        <w:pStyle w:val="null3"/>
        <w:ind w:firstLine="679"/>
        <w:jc w:val="both"/>
      </w:pPr>
      <w:r>
        <w:rPr>
          <w:sz w:val="24"/>
        </w:rPr>
        <w:t>甲方</w:t>
      </w:r>
      <w:r>
        <w:rPr>
          <w:sz w:val="24"/>
        </w:rPr>
        <w:t>提供的资料仅限于</w:t>
      </w:r>
      <w:r>
        <w:rPr>
          <w:sz w:val="24"/>
        </w:rPr>
        <w:t>乙方</w:t>
      </w:r>
      <w:r>
        <w:rPr>
          <w:sz w:val="24"/>
        </w:rPr>
        <w:t>单位内部直接参与本项目的员工</w:t>
      </w:r>
      <w:r>
        <w:rPr>
          <w:sz w:val="24"/>
        </w:rPr>
        <w:t>工作</w:t>
      </w:r>
      <w:r>
        <w:rPr>
          <w:sz w:val="24"/>
        </w:rPr>
        <w:t>使</w:t>
      </w:r>
      <w:r>
        <w:rPr>
          <w:sz w:val="24"/>
        </w:rPr>
        <w:t>用，绝不对其他单位及个人泄漏资料的相关内容。</w:t>
      </w:r>
    </w:p>
    <w:p>
      <w:pPr>
        <w:pStyle w:val="null3"/>
        <w:jc w:val="both"/>
      </w:pPr>
      <w:r>
        <w:rPr>
          <w:sz w:val="24"/>
        </w:rPr>
        <w:t>三、泄密界</w:t>
      </w:r>
      <w:r>
        <w:rPr>
          <w:sz w:val="24"/>
        </w:rPr>
        <w:t>定</w:t>
      </w:r>
    </w:p>
    <w:p>
      <w:pPr>
        <w:pStyle w:val="null3"/>
        <w:ind w:firstLine="679"/>
        <w:jc w:val="both"/>
      </w:pPr>
      <w:r>
        <w:rPr>
          <w:sz w:val="24"/>
        </w:rPr>
        <w:t>乙方</w:t>
      </w:r>
      <w:r>
        <w:rPr>
          <w:sz w:val="24"/>
        </w:rPr>
        <w:t>的（包括但不限于）以下行为不论是否造成</w:t>
      </w:r>
      <w:r>
        <w:rPr>
          <w:sz w:val="24"/>
        </w:rPr>
        <w:t>甲方</w:t>
      </w:r>
      <w:r>
        <w:rPr>
          <w:sz w:val="24"/>
        </w:rPr>
        <w:t>的损失，均应视为泄密行为：</w:t>
      </w:r>
    </w:p>
    <w:p>
      <w:pPr>
        <w:pStyle w:val="null3"/>
        <w:ind w:firstLine="679"/>
        <w:jc w:val="both"/>
      </w:pPr>
      <w:r>
        <w:rPr>
          <w:sz w:val="24"/>
        </w:rPr>
        <w:t>1.泄露</w:t>
      </w:r>
      <w:r>
        <w:rPr>
          <w:sz w:val="24"/>
        </w:rPr>
        <w:t>甲方</w:t>
      </w:r>
      <w:r>
        <w:rPr>
          <w:sz w:val="24"/>
        </w:rPr>
        <w:t>保密资料。</w:t>
      </w:r>
    </w:p>
    <w:p>
      <w:pPr>
        <w:pStyle w:val="null3"/>
        <w:ind w:firstLine="679"/>
        <w:jc w:val="both"/>
      </w:pPr>
      <w:r>
        <w:rPr>
          <w:sz w:val="24"/>
        </w:rPr>
        <w:t>2.帮助或辅导与</w:t>
      </w:r>
      <w:r>
        <w:rPr>
          <w:sz w:val="24"/>
        </w:rPr>
        <w:t>甲方</w:t>
      </w:r>
      <w:r>
        <w:rPr>
          <w:sz w:val="24"/>
        </w:rPr>
        <w:t>合作项目无关的第三方使用</w:t>
      </w:r>
      <w:r>
        <w:rPr>
          <w:sz w:val="24"/>
        </w:rPr>
        <w:t>甲方</w:t>
      </w:r>
      <w:r>
        <w:rPr>
          <w:sz w:val="24"/>
        </w:rPr>
        <w:t>的技术资料。</w:t>
      </w:r>
    </w:p>
    <w:p>
      <w:pPr>
        <w:pStyle w:val="null3"/>
        <w:jc w:val="both"/>
      </w:pPr>
      <w:r>
        <w:rPr>
          <w:sz w:val="24"/>
        </w:rPr>
        <w:t>四</w:t>
      </w:r>
      <w:r>
        <w:rPr>
          <w:sz w:val="24"/>
        </w:rPr>
        <w:t>、定义及其他</w:t>
      </w:r>
    </w:p>
    <w:p>
      <w:pPr>
        <w:pStyle w:val="null3"/>
        <w:ind w:firstLine="653"/>
        <w:jc w:val="both"/>
      </w:pPr>
      <w:r>
        <w:rPr>
          <w:sz w:val="24"/>
        </w:rPr>
        <w:t>1.</w:t>
      </w:r>
      <w:r>
        <w:rPr>
          <w:sz w:val="24"/>
        </w:rPr>
        <w:t>此协议只为</w:t>
      </w:r>
      <w:r>
        <w:rPr>
          <w:sz w:val="24"/>
        </w:rPr>
        <w:t>甲方</w:t>
      </w:r>
      <w:r>
        <w:rPr>
          <w:sz w:val="24"/>
        </w:rPr>
        <w:t>资料保密取得认可，</w:t>
      </w:r>
      <w:r>
        <w:rPr>
          <w:sz w:val="24"/>
        </w:rPr>
        <w:t>甲方</w:t>
      </w:r>
      <w:r>
        <w:rPr>
          <w:sz w:val="24"/>
        </w:rPr>
        <w:t>未把相关的权利</w:t>
      </w:r>
      <w:r>
        <w:rPr>
          <w:sz w:val="24"/>
        </w:rPr>
        <w:t>和</w:t>
      </w:r>
      <w:r>
        <w:rPr>
          <w:sz w:val="24"/>
        </w:rPr>
        <w:t>许可出让给</w:t>
      </w:r>
      <w:r>
        <w:rPr>
          <w:sz w:val="24"/>
        </w:rPr>
        <w:t>乙方</w:t>
      </w:r>
      <w:r>
        <w:rPr>
          <w:sz w:val="24"/>
        </w:rPr>
        <w:t>。</w:t>
      </w:r>
    </w:p>
    <w:p>
      <w:pPr>
        <w:pStyle w:val="null3"/>
        <w:ind w:firstLine="657"/>
        <w:jc w:val="both"/>
      </w:pPr>
      <w:r>
        <w:rPr>
          <w:sz w:val="24"/>
        </w:rPr>
        <w:t>2.本协议</w:t>
      </w:r>
      <w:r>
        <w:rPr>
          <w:sz w:val="24"/>
        </w:rPr>
        <w:t>中</w:t>
      </w:r>
      <w:r>
        <w:rPr>
          <w:sz w:val="24"/>
        </w:rPr>
        <w:t>“保密资料”是指任何由</w:t>
      </w:r>
      <w:r>
        <w:rPr>
          <w:sz w:val="24"/>
        </w:rPr>
        <w:t>甲方</w:t>
      </w:r>
      <w:r>
        <w:rPr>
          <w:sz w:val="24"/>
        </w:rPr>
        <w:t>提供（无论在本协</w:t>
      </w:r>
      <w:r>
        <w:rPr>
          <w:sz w:val="24"/>
        </w:rPr>
        <w:t>议</w:t>
      </w:r>
      <w:r>
        <w:rPr>
          <w:sz w:val="24"/>
        </w:rPr>
        <w:t>签</w:t>
      </w:r>
      <w:r>
        <w:rPr>
          <w:sz w:val="24"/>
        </w:rPr>
        <w:t>订日期之前或之后，无论是通过书面纸质文件及电子版本文</w:t>
      </w:r>
      <w:r>
        <w:rPr>
          <w:sz w:val="24"/>
        </w:rPr>
        <w:t>件、</w:t>
      </w:r>
      <w:r>
        <w:rPr>
          <w:sz w:val="24"/>
        </w:rPr>
        <w:t>电子邮件、计算机盘片）给</w:t>
      </w:r>
      <w:r>
        <w:rPr>
          <w:sz w:val="24"/>
        </w:rPr>
        <w:t>乙方</w:t>
      </w:r>
      <w:r>
        <w:rPr>
          <w:sz w:val="24"/>
        </w:rPr>
        <w:t>与委托事项有关系或关联的</w:t>
      </w:r>
      <w:r>
        <w:rPr>
          <w:sz w:val="24"/>
        </w:rPr>
        <w:t>各种数据和文档，包括但不局限于任何</w:t>
      </w:r>
      <w:r>
        <w:rPr>
          <w:sz w:val="24"/>
        </w:rPr>
        <w:t>甲方</w:t>
      </w:r>
      <w:r>
        <w:rPr>
          <w:sz w:val="24"/>
        </w:rPr>
        <w:t>文字资料、商业秘密</w:t>
      </w:r>
      <w:r>
        <w:rPr>
          <w:sz w:val="24"/>
        </w:rPr>
        <w:t>、</w:t>
      </w:r>
      <w:r>
        <w:rPr>
          <w:sz w:val="24"/>
        </w:rPr>
        <w:t>市</w:t>
      </w:r>
      <w:r>
        <w:rPr>
          <w:sz w:val="24"/>
        </w:rPr>
        <w:t>场机遇和商业事务等。</w:t>
      </w:r>
    </w:p>
    <w:p>
      <w:pPr>
        <w:pStyle w:val="null3"/>
        <w:ind w:firstLine="664"/>
        <w:jc w:val="both"/>
      </w:pPr>
      <w:r>
        <w:rPr>
          <w:sz w:val="24"/>
        </w:rPr>
        <w:t>3.本协议所称“商业秘密”是指不为公众所知</w:t>
      </w:r>
      <w:r>
        <w:rPr>
          <w:sz w:val="24"/>
        </w:rPr>
        <w:t>悉、能为权利</w:t>
      </w:r>
      <w:r>
        <w:rPr>
          <w:sz w:val="24"/>
        </w:rPr>
        <w:t>人</w:t>
      </w:r>
      <w:r>
        <w:rPr>
          <w:sz w:val="24"/>
        </w:rPr>
        <w:t>带</w:t>
      </w:r>
      <w:r>
        <w:rPr>
          <w:sz w:val="24"/>
        </w:rPr>
        <w:t>来竞争优势和经济利益、具有实用性并经权利人采取保密措</w:t>
      </w:r>
      <w:r>
        <w:rPr>
          <w:sz w:val="24"/>
        </w:rPr>
        <w:t>施的技术信息和商业信息</w:t>
      </w:r>
      <w:r>
        <w:rPr>
          <w:sz w:val="24"/>
        </w:rPr>
        <w:t>。</w:t>
      </w:r>
    </w:p>
    <w:p>
      <w:pPr>
        <w:pStyle w:val="null3"/>
        <w:jc w:val="both"/>
      </w:pPr>
      <w:r>
        <w:rPr>
          <w:sz w:val="24"/>
        </w:rPr>
        <w:t>五</w:t>
      </w:r>
      <w:r>
        <w:rPr>
          <w:sz w:val="24"/>
        </w:rPr>
        <w:t>、违约责任</w:t>
      </w:r>
    </w:p>
    <w:p>
      <w:pPr>
        <w:pStyle w:val="null3"/>
        <w:ind w:firstLine="651"/>
        <w:jc w:val="both"/>
      </w:pPr>
      <w:r>
        <w:rPr>
          <w:sz w:val="24"/>
        </w:rPr>
        <w:t>1</w:t>
      </w:r>
      <w:r>
        <w:rPr>
          <w:sz w:val="24"/>
        </w:rPr>
        <w:t>.本协议于双方签署之日起生效</w:t>
      </w:r>
      <w:r>
        <w:rPr>
          <w:sz w:val="24"/>
        </w:rPr>
        <w:t>。</w:t>
      </w:r>
    </w:p>
    <w:p>
      <w:pPr>
        <w:pStyle w:val="null3"/>
        <w:ind w:firstLine="649"/>
        <w:jc w:val="both"/>
      </w:pPr>
      <w:r>
        <w:rPr>
          <w:sz w:val="24"/>
        </w:rPr>
        <w:t>2.在本协议有效期内，若</w:t>
      </w:r>
      <w:r>
        <w:rPr>
          <w:sz w:val="24"/>
        </w:rPr>
        <w:t>乙方</w:t>
      </w:r>
      <w:r>
        <w:rPr>
          <w:sz w:val="24"/>
        </w:rPr>
        <w:t>违反本协议的保密约定，应</w:t>
      </w:r>
      <w:r>
        <w:rPr>
          <w:sz w:val="24"/>
        </w:rPr>
        <w:t>承</w:t>
      </w:r>
      <w:r>
        <w:rPr>
          <w:sz w:val="24"/>
        </w:rPr>
        <w:t>担违约的法律责任</w:t>
      </w:r>
      <w:r>
        <w:rPr>
          <w:sz w:val="24"/>
        </w:rPr>
        <w:t>。</w:t>
      </w:r>
    </w:p>
    <w:p>
      <w:pPr>
        <w:pStyle w:val="null3"/>
        <w:jc w:val="both"/>
      </w:pPr>
      <w:r>
        <w:rPr>
          <w:sz w:val="24"/>
        </w:rPr>
        <w:t>六、法律适用与争议解</w:t>
      </w:r>
      <w:r>
        <w:rPr>
          <w:sz w:val="24"/>
        </w:rPr>
        <w:t>决</w:t>
      </w:r>
    </w:p>
    <w:p>
      <w:pPr>
        <w:pStyle w:val="null3"/>
        <w:ind w:firstLine="635"/>
        <w:jc w:val="both"/>
      </w:pPr>
      <w:r>
        <w:rPr>
          <w:sz w:val="24"/>
        </w:rPr>
        <w:t>本</w:t>
      </w:r>
      <w:r>
        <w:rPr>
          <w:sz w:val="24"/>
        </w:rPr>
        <w:t>协</w:t>
      </w:r>
      <w:r>
        <w:rPr>
          <w:sz w:val="24"/>
        </w:rPr>
        <w:t>议应与中国的法律相一致并受中国法律解释的约束。双</w:t>
      </w:r>
      <w:r>
        <w:rPr>
          <w:sz w:val="24"/>
        </w:rPr>
        <w:t>方</w:t>
      </w:r>
      <w:r>
        <w:rPr>
          <w:sz w:val="24"/>
        </w:rPr>
        <w:t>同意，如发生争议，应友好协商；协商不成，可向项目所在地</w:t>
      </w:r>
      <w:r>
        <w:rPr>
          <w:sz w:val="24"/>
        </w:rPr>
        <w:t>法院提起诉讼。</w:t>
      </w:r>
    </w:p>
    <w:p>
      <w:pPr>
        <w:pStyle w:val="null3"/>
        <w:jc w:val="both"/>
      </w:pPr>
      <w:r>
        <w:rPr>
          <w:sz w:val="24"/>
        </w:rPr>
        <w:t>七</w:t>
      </w:r>
      <w:r>
        <w:rPr>
          <w:sz w:val="24"/>
        </w:rPr>
        <w:t>、其他</w:t>
      </w:r>
    </w:p>
    <w:p>
      <w:pPr>
        <w:pStyle w:val="null3"/>
        <w:ind w:firstLine="633"/>
        <w:jc w:val="both"/>
      </w:pPr>
      <w:r>
        <w:rPr>
          <w:sz w:val="24"/>
        </w:rPr>
        <w:t>未</w:t>
      </w:r>
      <w:r>
        <w:rPr>
          <w:sz w:val="24"/>
        </w:rPr>
        <w:t>尽</w:t>
      </w:r>
      <w:r>
        <w:rPr>
          <w:sz w:val="24"/>
        </w:rPr>
        <w:t>事宜双方另行协商，签署补充协议作为本协议附件，具</w:t>
      </w:r>
      <w:r>
        <w:rPr>
          <w:sz w:val="24"/>
        </w:rPr>
        <w:t>有同等法律效力。</w:t>
      </w:r>
    </w:p>
    <w:p>
      <w:pPr>
        <w:pStyle w:val="null3"/>
        <w:jc w:val="both"/>
      </w:pPr>
      <w:r>
        <w:rPr>
          <w:sz w:val="24"/>
        </w:rPr>
        <w:t>甲方</w:t>
      </w:r>
      <w:r>
        <w:rPr>
          <w:sz w:val="24"/>
        </w:rPr>
        <w:t>代表（签章）：</w:t>
      </w:r>
      <w:r>
        <w:rPr>
          <w:sz w:val="24"/>
        </w:rPr>
        <w:t xml:space="preserve">       </w:t>
      </w:r>
      <w:r>
        <w:rPr>
          <w:sz w:val="21"/>
        </w:rPr>
        <w:t xml:space="preserve">   </w:t>
      </w:r>
      <w:r>
        <w:rPr>
          <w:sz w:val="24"/>
        </w:rPr>
        <w:t>乙方</w:t>
      </w:r>
      <w:r>
        <w:rPr>
          <w:sz w:val="24"/>
        </w:rPr>
        <w:t>代表（签章）：</w:t>
      </w:r>
    </w:p>
    <w:p>
      <w:pPr>
        <w:pStyle w:val="null3"/>
        <w:ind w:firstLine="633"/>
        <w:jc w:val="both"/>
      </w:pPr>
      <w:r>
        <w:rPr>
          <w:sz w:val="21"/>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1"/>
        </w:rPr>
        <w:t xml:space="preserve">        </w:t>
      </w:r>
      <w:r>
        <w:rPr>
          <w:sz w:val="24"/>
        </w:rPr>
        <w:t>年</w:t>
      </w:r>
      <w:r>
        <w:rPr>
          <w:sz w:val="24"/>
        </w:rPr>
        <w:t xml:space="preserve">  </w:t>
      </w:r>
      <w:r>
        <w:rPr>
          <w:sz w:val="24"/>
        </w:rPr>
        <w:t>月</w:t>
      </w:r>
      <w:r>
        <w:rPr>
          <w:sz w:val="24"/>
        </w:rPr>
        <w:t xml:space="preserve">  </w:t>
      </w:r>
      <w:r>
        <w:rPr>
          <w:sz w:val="24"/>
        </w:rPr>
        <w:t>日</w:t>
      </w:r>
    </w:p>
    <w:p>
      <w:pPr>
        <w:pStyle w:val="null3"/>
        <w:jc w:val="both"/>
      </w:pPr>
      <w:r>
        <w:rPr/>
        <w:t xml:space="preserve"> </w:t>
      </w:r>
    </w:p>
    <w:p>
      <w:pPr>
        <w:pStyle w:val="null3"/>
        <w:jc w:val="both"/>
      </w:pPr>
      <w:r>
        <w:rPr>
          <w:sz w:val="24"/>
          <w:b/>
        </w:rPr>
        <w:t>附件</w:t>
      </w:r>
      <w:r>
        <w:rPr>
          <w:sz w:val="24"/>
          <w:b/>
        </w:rPr>
        <w:t>5</w:t>
      </w:r>
      <w:r>
        <w:rPr>
          <w:sz w:val="24"/>
          <w:b/>
        </w:rPr>
        <w:t>：廉政责任书</w:t>
      </w:r>
    </w:p>
    <w:p>
      <w:pPr>
        <w:pStyle w:val="null3"/>
        <w:jc w:val="center"/>
      </w:pPr>
      <w:r>
        <w:rPr>
          <w:sz w:val="28"/>
          <w:b/>
        </w:rPr>
        <w:t>廉政责任书</w:t>
      </w:r>
    </w:p>
    <w:p>
      <w:pPr>
        <w:pStyle w:val="null3"/>
      </w:pPr>
      <w:r>
        <w:rPr>
          <w:sz w:val="24"/>
        </w:rPr>
        <w:t>项目名称：</w:t>
      </w:r>
      <w:r>
        <w:rPr>
          <w:sz w:val="24"/>
          <w:u w:val="single"/>
        </w:rPr>
        <w:t>2025 年基础地理信息数据及耕地动态监测监管等项目桌面云集群建设采购项目</w:t>
      </w:r>
    </w:p>
    <w:p>
      <w:pPr>
        <w:pStyle w:val="null3"/>
        <w:jc w:val="both"/>
      </w:pPr>
      <w:r>
        <w:rPr>
          <w:sz w:val="24"/>
        </w:rPr>
        <w:t>买</w:t>
      </w:r>
      <w:r>
        <w:rPr>
          <w:sz w:val="24"/>
        </w:rPr>
        <w:t xml:space="preserve">    </w:t>
      </w:r>
      <w:r>
        <w:rPr>
          <w:sz w:val="24"/>
        </w:rPr>
        <w:t>方：</w:t>
      </w:r>
      <w:r>
        <w:rPr>
          <w:sz w:val="24"/>
          <w:u w:val="single"/>
        </w:rPr>
        <w:t>广东省国土资源测绘院</w:t>
      </w:r>
      <w:r>
        <w:rPr>
          <w:sz w:val="21"/>
          <w:u w:val="single"/>
        </w:rPr>
        <w:t xml:space="preserve"> </w:t>
      </w:r>
    </w:p>
    <w:p>
      <w:pPr>
        <w:pStyle w:val="null3"/>
        <w:jc w:val="both"/>
      </w:pPr>
      <w:r>
        <w:rPr>
          <w:sz w:val="24"/>
        </w:rPr>
        <w:t>卖</w:t>
      </w:r>
      <w:r>
        <w:rPr>
          <w:sz w:val="24"/>
        </w:rPr>
        <w:t xml:space="preserve">    </w:t>
      </w:r>
      <w:r>
        <w:rPr>
          <w:sz w:val="24"/>
        </w:rPr>
        <w:t>方：</w:t>
      </w:r>
      <w:r>
        <w:rPr>
          <w:sz w:val="21"/>
          <w:u w:val="single"/>
        </w:rPr>
        <w:t xml:space="preserve"> </w:t>
      </w:r>
      <w:r>
        <w:rPr>
          <w:sz w:val="21"/>
          <w:u w:val="single"/>
        </w:rPr>
        <w:t xml:space="preserve">                    </w:t>
      </w:r>
    </w:p>
    <w:p>
      <w:pPr>
        <w:pStyle w:val="null3"/>
        <w:ind w:firstLine="480"/>
        <w:jc w:val="both"/>
      </w:pPr>
      <w:r>
        <w:rPr>
          <w:sz w:val="24"/>
        </w:rPr>
        <w:t>为进一步落实廉政建设有关规定，加强廉政风险防控，加强采购管理、项目管理，切实把广东省国土资源测绘院各项工作打造成</w:t>
      </w:r>
      <w:r>
        <w:rPr>
          <w:sz w:val="24"/>
        </w:rPr>
        <w:t>“阳光工程”“廉洁工程”，特订立本廉政责任书。</w:t>
      </w:r>
    </w:p>
    <w:p>
      <w:pPr>
        <w:pStyle w:val="null3"/>
        <w:ind w:firstLine="480"/>
        <w:jc w:val="both"/>
      </w:pPr>
      <w:r>
        <w:rPr>
          <w:sz w:val="24"/>
        </w:rPr>
        <w:t>一、双方责任</w:t>
      </w:r>
    </w:p>
    <w:p>
      <w:pPr>
        <w:pStyle w:val="null3"/>
        <w:ind w:firstLine="480"/>
        <w:jc w:val="both"/>
      </w:pPr>
      <w:r>
        <w:rPr>
          <w:sz w:val="24"/>
        </w:rPr>
        <w:t>（一）严格遵守国家、省关于招标投标、政府采购、市场准入以及廉政建设等有关法律法规规定。</w:t>
      </w:r>
    </w:p>
    <w:p>
      <w:pPr>
        <w:pStyle w:val="null3"/>
        <w:ind w:firstLine="480"/>
        <w:jc w:val="both"/>
      </w:pPr>
      <w:r>
        <w:rPr>
          <w:sz w:val="24"/>
        </w:rPr>
        <w:t>（二）严格执行项目合同文件，自觉按照合同办事。</w:t>
      </w:r>
    </w:p>
    <w:p>
      <w:pPr>
        <w:pStyle w:val="null3"/>
        <w:ind w:firstLine="480"/>
        <w:jc w:val="both"/>
      </w:pPr>
      <w:r>
        <w:rPr>
          <w:sz w:val="24"/>
        </w:rPr>
        <w:t>（三）主动公示项目有关情况，自觉接受社会监督。</w:t>
      </w:r>
    </w:p>
    <w:p>
      <w:pPr>
        <w:pStyle w:val="null3"/>
        <w:ind w:firstLine="480"/>
        <w:jc w:val="both"/>
      </w:pPr>
      <w:r>
        <w:rPr>
          <w:sz w:val="24"/>
        </w:rPr>
        <w:t>（四）发现对方在项目实施过程有违规、违纪、违法行为，应及时提醒对方；情节严重的，应当向其上级部门或纪检、监察、司法等有关部门进行举报。</w:t>
      </w:r>
    </w:p>
    <w:p>
      <w:pPr>
        <w:pStyle w:val="null3"/>
        <w:ind w:firstLine="480"/>
        <w:jc w:val="both"/>
      </w:pPr>
      <w:r>
        <w:rPr>
          <w:sz w:val="24"/>
        </w:rPr>
        <w:t>二、</w:t>
      </w:r>
      <w:r>
        <w:rPr>
          <w:sz w:val="24"/>
        </w:rPr>
        <w:t>甲方</w:t>
      </w:r>
      <w:r>
        <w:rPr>
          <w:sz w:val="24"/>
        </w:rPr>
        <w:t>责任</w:t>
      </w:r>
    </w:p>
    <w:p>
      <w:pPr>
        <w:pStyle w:val="null3"/>
        <w:ind w:firstLine="480"/>
        <w:jc w:val="both"/>
      </w:pPr>
      <w:r>
        <w:rPr>
          <w:sz w:val="24"/>
        </w:rPr>
        <w:t>严格遵守国家法律法规和廉洁从政各项规定，依法依规办事，规范项目管理，杜绝发生不当甚至违纪违法行为。根据党风廉政建设和反腐倡廉工作的有关要求，</w:t>
      </w:r>
      <w:r>
        <w:rPr>
          <w:sz w:val="24"/>
        </w:rPr>
        <w:t>甲方</w:t>
      </w:r>
      <w:r>
        <w:rPr>
          <w:sz w:val="24"/>
        </w:rPr>
        <w:t>人员在项目实施过程应当遵守以下规定：</w:t>
      </w:r>
    </w:p>
    <w:p>
      <w:pPr>
        <w:pStyle w:val="null3"/>
        <w:ind w:firstLine="480"/>
        <w:jc w:val="both"/>
      </w:pPr>
      <w:r>
        <w:rPr>
          <w:sz w:val="24"/>
        </w:rPr>
        <w:t>（一）不违规干预和插手项目的招标采购，为个人和亲友谋求私利。</w:t>
      </w:r>
    </w:p>
    <w:p>
      <w:pPr>
        <w:pStyle w:val="null3"/>
        <w:ind w:firstLine="480"/>
        <w:jc w:val="both"/>
      </w:pPr>
      <w:r>
        <w:rPr>
          <w:sz w:val="24"/>
        </w:rPr>
        <w:t>（二）不收受项目实施单位任何形式的宴请、旅游、健身和娱乐等活动。</w:t>
      </w:r>
    </w:p>
    <w:p>
      <w:pPr>
        <w:pStyle w:val="null3"/>
        <w:ind w:firstLine="480"/>
        <w:jc w:val="both"/>
      </w:pPr>
      <w:r>
        <w:rPr>
          <w:sz w:val="24"/>
        </w:rPr>
        <w:t>（三）不利用职权向项目实施单位推销和指定相关材料、服务、软硬件等，从中收取</w:t>
      </w:r>
      <w:r>
        <w:rPr>
          <w:sz w:val="24"/>
        </w:rPr>
        <w:t>返利</w:t>
      </w:r>
      <w:r>
        <w:rPr>
          <w:sz w:val="24"/>
        </w:rPr>
        <w:t>和好处费。</w:t>
      </w:r>
    </w:p>
    <w:p>
      <w:pPr>
        <w:pStyle w:val="null3"/>
        <w:ind w:firstLine="480"/>
        <w:jc w:val="both"/>
      </w:pPr>
      <w:r>
        <w:rPr>
          <w:sz w:val="24"/>
        </w:rPr>
        <w:t>（四）不在办理项目管理有关手续过程中，吃、拿、卡、要。</w:t>
      </w:r>
    </w:p>
    <w:p>
      <w:pPr>
        <w:pStyle w:val="null3"/>
        <w:ind w:firstLine="480"/>
        <w:jc w:val="both"/>
      </w:pPr>
      <w:r>
        <w:rPr>
          <w:sz w:val="24"/>
        </w:rPr>
        <w:t>（五）不降低项目验收标准开展竣工验收，不降低合同执行标准进行结算，从而收受人情好处。</w:t>
      </w:r>
    </w:p>
    <w:p>
      <w:pPr>
        <w:pStyle w:val="null3"/>
        <w:ind w:firstLine="480"/>
        <w:jc w:val="both"/>
      </w:pPr>
      <w:r>
        <w:rPr>
          <w:sz w:val="24"/>
        </w:rPr>
        <w:t>（六）不截留、挪用、私分项目资金。</w:t>
      </w:r>
    </w:p>
    <w:p>
      <w:pPr>
        <w:pStyle w:val="null3"/>
        <w:ind w:firstLine="480"/>
        <w:jc w:val="both"/>
      </w:pPr>
      <w:r>
        <w:rPr>
          <w:sz w:val="24"/>
        </w:rPr>
        <w:t>三、</w:t>
      </w:r>
      <w:r>
        <w:rPr>
          <w:sz w:val="24"/>
        </w:rPr>
        <w:t>乙方</w:t>
      </w:r>
      <w:r>
        <w:rPr>
          <w:sz w:val="24"/>
        </w:rPr>
        <w:t>责任</w:t>
      </w:r>
    </w:p>
    <w:p>
      <w:pPr>
        <w:pStyle w:val="null3"/>
        <w:ind w:firstLine="480"/>
        <w:jc w:val="both"/>
      </w:pPr>
      <w:r>
        <w:rPr>
          <w:sz w:val="24"/>
        </w:rPr>
        <w:t>要切实加强项目实施过程的廉政建设，自觉规范项目建设涉及的各环节活动，杜绝发生不当甚至违纪违法行为，与</w:t>
      </w:r>
      <w:r>
        <w:rPr>
          <w:sz w:val="24"/>
        </w:rPr>
        <w:t>甲方</w:t>
      </w:r>
      <w:r>
        <w:rPr>
          <w:sz w:val="24"/>
        </w:rPr>
        <w:t>建立清亲合作关系。根据党风廉政建设和反腐倡廉工作的有关要求，自觉接受监督，严格遵守以下规定：</w:t>
      </w:r>
    </w:p>
    <w:p>
      <w:pPr>
        <w:pStyle w:val="null3"/>
        <w:ind w:firstLine="480"/>
        <w:jc w:val="both"/>
      </w:pPr>
      <w:r>
        <w:rPr>
          <w:sz w:val="24"/>
        </w:rPr>
        <w:t>（一）严禁不按照国家法律、行政法规、规范、标准的规定，开展项目设计、实施、监理、第三方监测和验收，造成项目实施进度慢、质量差。</w:t>
      </w:r>
    </w:p>
    <w:p>
      <w:pPr>
        <w:pStyle w:val="null3"/>
        <w:ind w:firstLine="480"/>
        <w:jc w:val="both"/>
      </w:pPr>
      <w:r>
        <w:rPr>
          <w:sz w:val="24"/>
        </w:rPr>
        <w:t>（二）严禁以任何理由向</w:t>
      </w:r>
      <w:r>
        <w:rPr>
          <w:sz w:val="24"/>
        </w:rPr>
        <w:t>甲方</w:t>
      </w:r>
      <w:r>
        <w:rPr>
          <w:sz w:val="24"/>
        </w:rPr>
        <w:t>及其工作人员赠送礼金、有价证券、贵重物品及回扣、好处费等。</w:t>
      </w:r>
    </w:p>
    <w:p>
      <w:pPr>
        <w:pStyle w:val="null3"/>
        <w:ind w:firstLine="480"/>
        <w:jc w:val="both"/>
      </w:pPr>
      <w:r>
        <w:rPr>
          <w:sz w:val="24"/>
        </w:rPr>
        <w:t>（三）严禁以任何理由为</w:t>
      </w:r>
      <w:r>
        <w:rPr>
          <w:sz w:val="24"/>
        </w:rPr>
        <w:t>甲方</w:t>
      </w:r>
      <w:r>
        <w:rPr>
          <w:sz w:val="24"/>
        </w:rPr>
        <w:t>和相关单位报销应由对方或个人支付的费用。</w:t>
      </w:r>
    </w:p>
    <w:p>
      <w:pPr>
        <w:pStyle w:val="null3"/>
        <w:ind w:firstLine="480"/>
        <w:jc w:val="both"/>
      </w:pPr>
      <w:r>
        <w:rPr>
          <w:sz w:val="24"/>
        </w:rPr>
        <w:t>（四）严禁接受或暗示为</w:t>
      </w:r>
      <w:r>
        <w:rPr>
          <w:sz w:val="24"/>
        </w:rPr>
        <w:t>甲方</w:t>
      </w:r>
      <w:r>
        <w:rPr>
          <w:sz w:val="24"/>
        </w:rPr>
        <w:t>、相关单位或个人装修住房、婚丧嫁娶、配偶子女的工作安排以及出国（境）、旅游等提供方便。</w:t>
      </w:r>
    </w:p>
    <w:p>
      <w:pPr>
        <w:pStyle w:val="null3"/>
        <w:ind w:firstLine="480"/>
        <w:jc w:val="both"/>
      </w:pPr>
      <w:r>
        <w:rPr>
          <w:sz w:val="24"/>
        </w:rPr>
        <w:t>（五）严禁以任何理由为</w:t>
      </w:r>
      <w:r>
        <w:rPr>
          <w:sz w:val="24"/>
        </w:rPr>
        <w:t>甲方</w:t>
      </w:r>
      <w:r>
        <w:rPr>
          <w:sz w:val="24"/>
        </w:rPr>
        <w:t>、相关单位或个人组织有可能影响公正开展采购、项目建设等工作的宴请、娱乐等活动。</w:t>
      </w:r>
    </w:p>
    <w:p>
      <w:pPr>
        <w:pStyle w:val="null3"/>
        <w:ind w:firstLine="480"/>
        <w:jc w:val="both"/>
      </w:pPr>
      <w:r>
        <w:rPr>
          <w:sz w:val="24"/>
        </w:rPr>
        <w:t>（六）严禁与</w:t>
      </w:r>
      <w:r>
        <w:rPr>
          <w:sz w:val="24"/>
        </w:rPr>
        <w:t>甲方</w:t>
      </w:r>
      <w:r>
        <w:rPr>
          <w:sz w:val="24"/>
        </w:rPr>
        <w:t>联合、串通，截留、挪用、私分项目资金。</w:t>
      </w:r>
    </w:p>
    <w:p>
      <w:pPr>
        <w:pStyle w:val="null3"/>
        <w:ind w:firstLine="480"/>
        <w:jc w:val="both"/>
      </w:pPr>
      <w:r>
        <w:rPr>
          <w:sz w:val="24"/>
        </w:rPr>
        <w:t>四、本责任书作为项目合同的附件，与项目合同具有同等法律效力，经双方签署并加盖单位公章或合同章后立即生效。</w:t>
      </w:r>
    </w:p>
    <w:p>
      <w:pPr>
        <w:pStyle w:val="null3"/>
        <w:ind w:firstLine="480"/>
        <w:jc w:val="both"/>
      </w:pPr>
      <w:r>
        <w:rPr>
          <w:sz w:val="24"/>
        </w:rPr>
        <w:t>甲方</w:t>
      </w:r>
      <w:r>
        <w:rPr>
          <w:sz w:val="24"/>
        </w:rPr>
        <w:t>（盖章）：广东省国土资源测绘院</w:t>
      </w:r>
      <w:r>
        <w:rPr>
          <w:sz w:val="21"/>
        </w:rPr>
        <w:t xml:space="preserve">   </w:t>
      </w:r>
      <w:r>
        <w:rPr>
          <w:sz w:val="24"/>
        </w:rPr>
        <w:t>乙方</w:t>
      </w:r>
      <w:r>
        <w:rPr>
          <w:sz w:val="24"/>
        </w:rPr>
        <w:t>（盖章）：</w:t>
      </w:r>
    </w:p>
    <w:p>
      <w:pPr>
        <w:pStyle w:val="null3"/>
      </w:pPr>
      <w:r>
        <w:rPr>
          <w:sz w:val="24"/>
        </w:rPr>
        <w:t>代表签字：</w:t>
      </w:r>
      <w:r>
        <w:rPr>
          <w:sz w:val="24"/>
        </w:rPr>
        <w:t xml:space="preserve">                     </w:t>
      </w:r>
      <w:r>
        <w:rPr>
          <w:sz w:val="21"/>
        </w:rPr>
        <w:t xml:space="preserve">      </w:t>
      </w:r>
      <w:r>
        <w:rPr>
          <w:sz w:val="24"/>
        </w:rPr>
        <w:t>代表签字：</w:t>
      </w:r>
      <w:r>
        <w:rPr>
          <w:sz w:val="24"/>
        </w:rPr>
        <w:t xml:space="preserve">           </w:t>
      </w:r>
    </w:p>
    <w:p>
      <w:pPr>
        <w:pStyle w:val="null3"/>
        <w:jc w:val="both"/>
      </w:pPr>
      <w:r>
        <w:rPr>
          <w:sz w:val="24"/>
        </w:rPr>
        <w:t>日期：</w:t>
      </w:r>
      <w:r>
        <w:rPr>
          <w:sz w:val="24"/>
        </w:rPr>
        <w:t xml:space="preserve">                         </w:t>
      </w:r>
      <w:r>
        <w:rPr>
          <w:sz w:val="21"/>
        </w:rPr>
        <w:t xml:space="preserve">     </w:t>
      </w:r>
      <w:r>
        <w:rPr>
          <w:sz w:val="24"/>
        </w:rPr>
        <w:t xml:space="preserve"> </w:t>
      </w:r>
      <w:r>
        <w:rPr>
          <w:sz w:val="24"/>
        </w:rPr>
        <w:t>日期：</w:t>
      </w:r>
      <w:r>
        <w:rPr>
          <w:sz w:val="24"/>
        </w:rPr>
        <w:t xml:space="preserve">   </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440001-2025-09998</w:t>
      </w:r>
    </w:p>
    <w:p>
      <w:pPr>
        <w:pStyle w:val="null3"/>
        <w:jc w:val="center"/>
        <w:outlineLvl w:val="3"/>
      </w:pPr>
      <w:r>
        <w:rPr>
          <w:sz w:val="24"/>
          <w:b/>
        </w:rPr>
        <w:t>采购项目编号：</w:t>
      </w:r>
      <w:r>
        <w:rPr>
          <w:sz w:val="24"/>
          <w:b/>
        </w:rPr>
        <w:t>GPCGD253109HG030F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2025年基础地理信息数据及耕地动态监测监管等项目桌面云集群建设采购项目</w:t>
      </w:r>
      <w:r>
        <w:rPr>
          <w:u w:val="single"/>
        </w:rPr>
        <w:t>”</w:t>
      </w:r>
      <w:r>
        <w:rPr/>
        <w:t>项目的招标[采购项目编号为：</w:t>
      </w:r>
      <w:r>
        <w:rPr>
          <w:u w:val="single"/>
        </w:rPr>
        <w:t>GPCGD253109HG030F</w:t>
      </w:r>
      <w:r>
        <w:rPr/>
        <w:t>]，我方愿参与投标。</w:t>
      </w:r>
    </w:p>
    <w:p>
      <w:pPr>
        <w:pStyle w:val="null3"/>
        <w:ind w:firstLine="480"/>
      </w:pPr>
      <w:r>
        <w:rPr/>
        <w:t>我方确认收到贵方提供的</w:t>
      </w:r>
      <w:r>
        <w:rPr>
          <w:u w:val="single"/>
        </w:rPr>
        <w:t>“</w:t>
      </w:r>
      <w:r>
        <w:rPr>
          <w:u w:val="single"/>
        </w:rPr>
        <w:t>2025年基础地理信息数据及耕地动态监测监管等项目桌面云集群建设采购项目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2025年基础地理信息数据及耕地动态监测监管等项目桌面云集群建设采购项目</w:t>
      </w:r>
      <w:r>
        <w:rPr/>
        <w:t>”项目采购[采购项目编号为</w:t>
      </w:r>
      <w:r>
        <w:rPr/>
        <w:t>GPCGD253109HG030F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广东省国土资源测绘院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2025年基础地理信息数据及耕地动态监测监管等项目桌面云集群建设采购项目</w:t>
      </w:r>
      <w:r>
        <w:rPr/>
        <w:t>招标中获中标（采购项目编号：</w:t>
      </w:r>
      <w:r>
        <w:rPr/>
        <w:t>GPCGD253109HG030F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2025年基础地理信息数据及耕地动态监测监管等项目桌面云集群建设采购项目</w:t>
      </w:r>
      <w:r>
        <w:rPr/>
        <w:t>”项目（采购项目编号：</w:t>
      </w:r>
      <w:r>
        <w:rPr/>
        <w:t>GPCGD253109HG030F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