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440001-2025-06384</w:t>
      </w:r>
    </w:p>
    <w:p>
      <w:pPr>
        <w:pStyle w:val="null3"/>
        <w:jc w:val="center"/>
        <w:outlineLvl w:val="3"/>
      </w:pPr>
      <w:r>
        <w:rPr>
          <w:sz w:val="24"/>
          <w:b/>
        </w:rPr>
        <w:t>采购项目编号：</w:t>
      </w:r>
      <w:r>
        <w:rPr>
          <w:sz w:val="24"/>
          <w:b/>
        </w:rPr>
        <w:t>GPCGD253174HC052F</w:t>
      </w:r>
    </w:p>
    <w:p>
      <w:pPr>
        <w:pStyle w:val="null3"/>
        <w:jc w:val="center"/>
        <w:outlineLvl w:val="3"/>
      </w:pPr>
      <w:r>
        <w:rPr>
          <w:sz w:val="24"/>
          <w:b/>
        </w:rPr>
        <w:t>项目名称：</w:t>
      </w:r>
      <w:r>
        <w:rPr>
          <w:sz w:val="24"/>
          <w:b/>
        </w:rPr>
        <w:t>广东省县域医共体医疗设备更新项目（原中央苏区）——远程诊疗系统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广东省卫生健康委员会</w:t>
      </w:r>
      <w:r>
        <w:rPr/>
        <w:t>的委托，采用</w:t>
      </w:r>
      <w:r>
        <w:rPr/>
        <w:t>竞争性磋商</w:t>
      </w:r>
      <w:r>
        <w:rPr/>
        <w:t>方式组织采购</w:t>
      </w:r>
      <w:r>
        <w:rPr/>
        <w:t>广东省县域医共体医疗设备更新项目（原中央苏区）——远程诊疗系统</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广东省县域医共体医疗设备更新项目（原中央苏区）——远程诊疗系统</w:t>
      </w:r>
    </w:p>
    <w:p>
      <w:pPr>
        <w:pStyle w:val="null3"/>
        <w:ind w:firstLine="480"/>
      </w:pPr>
      <w:r>
        <w:rPr/>
        <w:t>采购计划编号：</w:t>
      </w:r>
      <w:r>
        <w:rPr/>
        <w:t>440001-2025-06384</w:t>
      </w:r>
    </w:p>
    <w:p>
      <w:pPr>
        <w:pStyle w:val="null3"/>
        <w:ind w:firstLine="480"/>
      </w:pPr>
      <w:r>
        <w:rPr/>
        <w:t>采购项目编号：</w:t>
      </w:r>
      <w:r>
        <w:rPr/>
        <w:t>GPCGD253174HC052F</w:t>
      </w:r>
    </w:p>
    <w:p>
      <w:pPr>
        <w:pStyle w:val="null3"/>
        <w:ind w:firstLine="480"/>
      </w:pPr>
      <w:r>
        <w:rPr/>
        <w:t>采购方式：</w:t>
      </w:r>
      <w:r>
        <w:rPr/>
        <w:t>竞争性磋商</w:t>
      </w:r>
    </w:p>
    <w:p>
      <w:pPr>
        <w:pStyle w:val="null3"/>
        <w:ind w:firstLine="480"/>
      </w:pPr>
      <w:r>
        <w:rPr/>
        <w:t>预算金额：</w:t>
      </w:r>
      <w:r>
        <w:rPr/>
        <w:t>1,880,000.00</w:t>
      </w:r>
      <w:r>
        <w:rPr/>
        <w:t>元</w:t>
      </w:r>
    </w:p>
    <w:p>
      <w:pPr>
        <w:pStyle w:val="null3"/>
        <w:outlineLvl w:val="3"/>
      </w:pPr>
      <w:r>
        <w:rPr>
          <w:sz w:val="24"/>
          <w:b/>
        </w:rPr>
        <w:t>2.项目内容及需求情况（采购项目技术规格、参数及要求）</w:t>
      </w:r>
    </w:p>
    <w:p>
      <w:pPr>
        <w:pStyle w:val="null3"/>
      </w:pPr>
      <w:r>
        <w:rPr/>
        <w:t>采购包1(体检管理软件):</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远程诊疗系统（体检管理软件）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合同履行期限：自进场之日起6个月内安装、调试、培训完毕并交付使用。</w:t>
      </w:r>
    </w:p>
    <w:p>
      <w:pPr>
        <w:pStyle w:val="null3"/>
      </w:pPr>
      <w:r>
        <w:rPr/>
        <w:t>采购包2(药师审方干预软件):</w:t>
      </w:r>
    </w:p>
    <w:p>
      <w:pPr>
        <w:pStyle w:val="null3"/>
      </w:pPr>
      <w:r>
        <w:rPr/>
        <w:t>采购包预算金额：680,000.00元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应用软件</w:t>
            </w:r>
          </w:p>
        </w:tc>
        <w:tc>
          <w:tcPr>
            <w:tcW w:type="dxa" w:w="2136"/>
          </w:tcPr>
          <w:p>
            <w:pPr>
              <w:pStyle w:val="null3"/>
            </w:pPr>
            <w:r>
              <w:rPr/>
              <w:t>远程诊疗系统（药师审方干预软件）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合同履行期限：进场之日起6个月内安装、调试、培训完毕并交付使用</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 ①经会计师事务所审计的2023年度或2024年度财务状况报告； ②同时提供a.基本开户行出具的资信证明，b.《基本存款账号信息》或《开户许可证》 ）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采购包1（体检管理软件）：</w:t>
      </w:r>
      <w:r>
        <w:rPr/>
        <w:t>本项目专门面对中小企业采购。供应商须符合本项目采购标的对应行业（软件和信息技术服务业）政策划分标准的中小企业。首次响应文件须提交供应商的《中小企业声明函（货物）》 注：监狱企业、残疾人福利单位视同小型、微型企业。中小企业以《中小企业声明函（货物）》（见报价格式）为判定标准，残疾人福利性单位填写的《残疾人福利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pPr>
      <w:r>
        <w:rPr/>
        <w:t>采购包2（药师审方干预软件）：</w:t>
      </w:r>
      <w:r>
        <w:rPr/>
        <w:t>本项目专门面对中小企业采购。供应商须符合本项目采购标的对应行业（软件和信息技术服务业）政策划分标准的中小企业。首次响应文件须提交供应商的《中小企业声明函（货物）》 注：监狱企业、残疾人福利单位视同小型、微型企业。中小企业以《中小企业声明函（货物）》（见报价格式）为判定标准，残疾人福利性单位填写的《残疾人福利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采购包1（体检管理软件）：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采购包2（药师审方干预软件）：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广东省卫生健康委员会</w:t>
      </w:r>
    </w:p>
    <w:p>
      <w:pPr>
        <w:pStyle w:val="null3"/>
        <w:ind w:firstLine="480"/>
      </w:pPr>
      <w:r>
        <w:rPr/>
        <w:t>地址：</w:t>
      </w:r>
      <w:r>
        <w:rPr/>
        <w:t>先烈南路17号</w:t>
      </w:r>
    </w:p>
    <w:p>
      <w:pPr>
        <w:pStyle w:val="null3"/>
        <w:ind w:firstLine="480"/>
      </w:pPr>
      <w:r>
        <w:rPr/>
        <w:t>联系方式：</w:t>
      </w:r>
      <w:r>
        <w:rPr/>
        <w:t>020-83828115、020-83828012</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号等。</w:t>
      </w:r>
    </w:p>
    <w:p>
      <w:pPr>
        <w:pStyle w:val="null3"/>
        <w:ind w:firstLine="420"/>
      </w:pPr>
      <w:r>
        <w:rPr>
          <w:sz w:val="21"/>
        </w:rPr>
        <w:t>4</w:t>
      </w:r>
      <w:r>
        <w:rPr>
          <w:sz w:val="21"/>
        </w:rPr>
        <w:t>、本项目属于货物类项目，专门面向中小企业采购，中小企业划分标准所属行业为：软件和信息技术服务业。供应商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82"/>
        <w:jc w:val="both"/>
      </w:pPr>
      <w:r>
        <w:rPr>
          <w:sz w:val="24"/>
          <w:b/>
        </w:rPr>
        <w:t>二、包组</w:t>
      </w:r>
      <w:r>
        <w:rPr>
          <w:sz w:val="24"/>
          <w:b/>
        </w:rPr>
        <w:t>1</w:t>
      </w:r>
      <w:r>
        <w:rPr>
          <w:sz w:val="24"/>
          <w:b/>
        </w:rPr>
        <w:t>采购需求：</w:t>
      </w:r>
    </w:p>
    <w:p>
      <w:pPr>
        <w:pStyle w:val="null3"/>
        <w:spacing w:after="165"/>
        <w:jc w:val="both"/>
        <w:outlineLvl w:val="2"/>
      </w:pPr>
      <w:r>
        <w:rPr>
          <w:sz w:val="28"/>
          <w:b/>
        </w:rPr>
        <w:t>1.</w:t>
      </w:r>
      <w:r>
        <w:rPr>
          <w:sz w:val="28"/>
          <w:b/>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678"/>
        <w:gridCol w:w="6628"/>
      </w:tblGrid>
      <w:tr>
        <w:tc>
          <w:tcPr>
            <w:tcW w:type="dxa" w:w="167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标的提供的时间</w:t>
            </w:r>
          </w:p>
        </w:tc>
        <w:tc>
          <w:tcPr>
            <w:tcW w:type="dxa" w:w="6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合同签订后，在数据配对完成、服务器满足运行环境要求、成交人自进场之日起</w:t>
            </w:r>
            <w:r>
              <w:rPr>
                <w:sz w:val="21"/>
              </w:rPr>
              <w:t>6</w:t>
            </w:r>
            <w:r>
              <w:rPr>
                <w:sz w:val="21"/>
              </w:rPr>
              <w:t>个月内安装、调试、培训完毕并交付使用。</w:t>
            </w:r>
          </w:p>
        </w:tc>
      </w:tr>
      <w:tr>
        <w:tc>
          <w:tcPr>
            <w:tcW w:type="dxa" w:w="1678"/>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标的提供的地点</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成交人负责将产品运送至采购方指定地点，产品需要安装调试的应及时安装调试，并承担由此产生的全部等费用。</w:t>
            </w:r>
          </w:p>
        </w:tc>
      </w:tr>
      <w:tr>
        <w:tc>
          <w:tcPr>
            <w:tcW w:type="dxa" w:w="1678"/>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付款方式</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合同生效后，自收到完税发票之日起</w:t>
            </w:r>
            <w:r>
              <w:rPr>
                <w:sz w:val="21"/>
              </w:rPr>
              <w:t>10</w:t>
            </w:r>
            <w:r>
              <w:rPr>
                <w:sz w:val="21"/>
              </w:rPr>
              <w:t>日内，支付合同款</w:t>
            </w:r>
            <w:r>
              <w:rPr>
                <w:sz w:val="21"/>
              </w:rPr>
              <w:t>50%</w:t>
            </w:r>
            <w:r>
              <w:rPr>
                <w:sz w:val="21"/>
              </w:rPr>
              <w:t>，</w:t>
            </w:r>
            <w:r>
              <w:rPr>
                <w:sz w:val="21"/>
              </w:rPr>
              <w:t>项目验收合格，双方签署验收报告后，自收到完税发票之日起</w:t>
            </w:r>
            <w:r>
              <w:rPr>
                <w:sz w:val="21"/>
              </w:rPr>
              <w:t>10</w:t>
            </w:r>
            <w:r>
              <w:rPr>
                <w:sz w:val="21"/>
              </w:rPr>
              <w:t>日内，支付合同款</w:t>
            </w:r>
            <w:r>
              <w:rPr>
                <w:sz w:val="21"/>
              </w:rPr>
              <w:t>50%</w:t>
            </w:r>
            <w:r>
              <w:rPr>
                <w:sz w:val="21"/>
              </w:rPr>
              <w:t>。</w:t>
            </w:r>
          </w:p>
          <w:p>
            <w:pPr>
              <w:pStyle w:val="null3"/>
              <w:jc w:val="both"/>
            </w:pPr>
            <w:r>
              <w:rPr>
                <w:sz w:val="21"/>
              </w:rPr>
              <w:t>收款方、出具发票方、合同乙方均必须一致。如有变更，必须以书面方式通知对方并加盖财务专用章。</w:t>
            </w:r>
            <w:r>
              <w:br/>
            </w:r>
            <w:r>
              <w:rPr>
                <w:sz w:val="21"/>
              </w:rPr>
              <w:t>支付方式采用银行转账支付。支付程序按法定流程处理。</w:t>
            </w:r>
          </w:p>
        </w:tc>
      </w:tr>
      <w:tr>
        <w:tc>
          <w:tcPr>
            <w:tcW w:type="dxa" w:w="1678"/>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验收要求</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软件安装时，成交人应提供设备的最新型号和软件的最新版本。</w:t>
            </w:r>
          </w:p>
          <w:p>
            <w:pPr>
              <w:pStyle w:val="null3"/>
              <w:jc w:val="both"/>
            </w:pPr>
            <w:r>
              <w:rPr>
                <w:sz w:val="21"/>
              </w:rPr>
              <w:t>2.</w:t>
            </w:r>
            <w:r>
              <w:rPr>
                <w:sz w:val="21"/>
              </w:rPr>
              <w:t>成交人必须在合同规定的时间内，以完工验收申请报告形式书面通知采购人以声明整个软件安装集成完毕，采购人确认申请报告的第三个工作日为验收测试开始日。</w:t>
            </w:r>
          </w:p>
          <w:p>
            <w:pPr>
              <w:pStyle w:val="null3"/>
              <w:jc w:val="both"/>
            </w:pPr>
            <w:r>
              <w:rPr>
                <w:sz w:val="21"/>
              </w:rPr>
              <w:t>3.</w:t>
            </w:r>
            <w:r>
              <w:rPr>
                <w:sz w:val="21"/>
              </w:rPr>
              <w:t>验收合格后由成交人出具测试报告，成交人和采购人代表签字并加盖公章。</w:t>
            </w:r>
          </w:p>
        </w:tc>
      </w:tr>
      <w:tr>
        <w:tc>
          <w:tcPr>
            <w:tcW w:type="dxa" w:w="1678"/>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履约保证金</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bl>
    <w:p>
      <w:pPr>
        <w:pStyle w:val="null3"/>
        <w:spacing w:after="165"/>
        <w:jc w:val="both"/>
        <w:outlineLvl w:val="2"/>
      </w:pPr>
      <w:r>
        <w:rPr>
          <w:sz w:val="28"/>
          <w:b/>
        </w:rPr>
        <w:t>2.</w:t>
      </w:r>
      <w:r>
        <w:rPr>
          <w:sz w:val="28"/>
          <w:b/>
        </w:rPr>
        <w:t>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678"/>
        <w:gridCol w:w="7035"/>
      </w:tblGrid>
      <w:tr>
        <w:tc>
          <w:tcPr>
            <w:tcW w:type="dxa" w:w="593"/>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编号</w:t>
            </w:r>
          </w:p>
        </w:tc>
        <w:tc>
          <w:tcPr>
            <w:tcW w:type="dxa" w:w="67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内容明细</w:t>
            </w:r>
          </w:p>
        </w:tc>
        <w:tc>
          <w:tcPr>
            <w:tcW w:type="dxa" w:w="703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内容说明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软件安全性</w:t>
            </w:r>
          </w:p>
        </w:tc>
        <w:tc>
          <w:tcPr>
            <w:tcW w:type="dxa" w:w="7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sz w:val="21"/>
              </w:rPr>
              <w:t>（</w:t>
            </w:r>
            <w:r>
              <w:rPr>
                <w:sz w:val="21"/>
              </w:rPr>
              <w:t>1</w:t>
            </w:r>
            <w:r>
              <w:rPr>
                <w:sz w:val="21"/>
              </w:rPr>
              <w:t>）产品通过第三方机构安全性测试，且测试内容包含漏洞扫描测试。验收时需提供相关测试合格报告。</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培训要求</w:t>
            </w:r>
          </w:p>
        </w:tc>
        <w:tc>
          <w:tcPr>
            <w:tcW w:type="dxa" w:w="7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采购人认为培训是保证项目成功的一个重要手段，因此为了保证软件顺利完成，投标人需要准备一份完整的培训计划，对采购人各类人员进行相关的培训，包括现场培训和集中培训等多种方式。</w:t>
            </w:r>
          </w:p>
          <w:p>
            <w:pPr>
              <w:pStyle w:val="null3"/>
              <w:jc w:val="both"/>
            </w:pPr>
            <w:r>
              <w:rPr>
                <w:sz w:val="21"/>
              </w:rPr>
              <w:t>培训要求</w:t>
            </w:r>
          </w:p>
          <w:p>
            <w:pPr>
              <w:pStyle w:val="null3"/>
              <w:jc w:val="both"/>
            </w:pPr>
            <w:r>
              <w:rPr>
                <w:sz w:val="21"/>
              </w:rPr>
              <w:t>1.</w:t>
            </w:r>
            <w:r>
              <w:rPr>
                <w:sz w:val="21"/>
              </w:rPr>
              <w:t>投标人须提供系统使用方面的培训，包括对采购人和系统管理人员的培训，有关系统使用的培训课程，培训应该在交付验收前进行。</w:t>
            </w:r>
          </w:p>
          <w:p>
            <w:pPr>
              <w:pStyle w:val="null3"/>
              <w:jc w:val="both"/>
            </w:pPr>
            <w:r>
              <w:rPr>
                <w:sz w:val="21"/>
              </w:rPr>
              <w:t>2.</w:t>
            </w:r>
            <w:r>
              <w:rPr>
                <w:sz w:val="21"/>
              </w:rPr>
              <w:t>投标人需针对用户的角色提供培训课程，如系统管理员、普通用户、领导等角色，安排不同的培训课程。</w:t>
            </w:r>
          </w:p>
          <w:p>
            <w:pPr>
              <w:pStyle w:val="null3"/>
              <w:jc w:val="both"/>
            </w:pPr>
            <w:r>
              <w:rPr>
                <w:sz w:val="21"/>
              </w:rPr>
              <w:t>3.</w:t>
            </w:r>
            <w:r>
              <w:rPr>
                <w:sz w:val="21"/>
              </w:rPr>
              <w:t>对于所有培训，投标人须派出具有相应专业资格和实际工作经验的辅导人员进行培训，培训所使用的语言须是中文，否则投标人须提供相应的翻译。</w:t>
            </w:r>
          </w:p>
          <w:p>
            <w:pPr>
              <w:pStyle w:val="null3"/>
              <w:jc w:val="both"/>
            </w:pPr>
            <w:r>
              <w:rPr>
                <w:sz w:val="21"/>
              </w:rPr>
              <w:t>4.</w:t>
            </w:r>
            <w:r>
              <w:rPr>
                <w:sz w:val="21"/>
              </w:rPr>
              <w:t>培训费用（教材费、讲课费等培训组织相关费用）计入总价。</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维保要求</w:t>
            </w:r>
          </w:p>
        </w:tc>
        <w:tc>
          <w:tcPr>
            <w:tcW w:type="dxa" w:w="7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保修期： 3年</w:t>
            </w:r>
          </w:p>
          <w:p>
            <w:pPr>
              <w:pStyle w:val="null3"/>
              <w:jc w:val="both"/>
            </w:pPr>
            <w:r>
              <w:rPr>
                <w:sz w:val="21"/>
              </w:rPr>
              <w:t>维保期内服务要求：</w:t>
            </w:r>
          </w:p>
          <w:p>
            <w:pPr>
              <w:pStyle w:val="null3"/>
              <w:jc w:val="both"/>
            </w:pPr>
            <w:r>
              <w:rPr>
                <w:sz w:val="21"/>
              </w:rPr>
              <w:t>1.</w:t>
            </w:r>
            <w:r>
              <w:rPr>
                <w:sz w:val="21"/>
              </w:rPr>
              <w:t>供应商应有良好的服务理念和完善的售后服务体系，能够提供本地技术服务。</w:t>
            </w:r>
          </w:p>
          <w:p>
            <w:pPr>
              <w:pStyle w:val="null3"/>
              <w:jc w:val="both"/>
            </w:pPr>
            <w:r>
              <w:rPr>
                <w:sz w:val="21"/>
              </w:rPr>
              <w:t xml:space="preserve">2. </w:t>
            </w:r>
            <w:r>
              <w:rPr>
                <w:sz w:val="21"/>
              </w:rPr>
              <w:t>针对本项目，提出完整而切实可行的服务方案。其中，至少应提供7×24小时热线电话、远程网络、现场等服务方式。热线电话和远程网络提供技术咨询和即时服务。保修期内如软件出现故障,成交人接到报修电话后需立即响应，工程师通过电话方式指导排除问题，响应时间≤30分钟。如电话不能解决问题，需≤48小时内到达现场服务并排除故障，如遇重大技术问题需及时组织各相关技术人员进行讨论，确定方案。</w:t>
            </w:r>
          </w:p>
          <w:p>
            <w:pPr>
              <w:pStyle w:val="null3"/>
              <w:spacing w:after="120"/>
              <w:jc w:val="both"/>
            </w:pPr>
            <w:r>
              <w:rPr>
                <w:sz w:val="21"/>
              </w:rPr>
              <w:t xml:space="preserve">3. </w:t>
            </w:r>
            <w:r>
              <w:rPr>
                <w:sz w:val="21"/>
              </w:rPr>
              <w:t>质保期：应用软件从项目最终验收通过之日起3年。质保期内，应用软件升级、维护均免费。保修到期之日，成交人须向采购人移交完整使用功能的齐全的正常运行采购人购买的软件，不得设置影响正常的使用的功能障碍或密码保护等，否则院方将追究法律责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报价要求</w:t>
            </w:r>
          </w:p>
        </w:tc>
        <w:tc>
          <w:tcPr>
            <w:tcW w:type="dxa" w:w="7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投标人需提供总报价及报价组成。报价应为已经包括了运送到指定地点并完成调试安装交付正常使用的所有费用。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违约责任</w:t>
            </w:r>
          </w:p>
        </w:tc>
        <w:tc>
          <w:tcPr>
            <w:tcW w:type="dxa" w:w="7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成交人一般违约按考核标准进行罚款，发生重大安全生产事故，由成交人承担相应责任，采购人有权提前终止合同。</w:t>
            </w:r>
            <w:r>
              <w:rPr>
                <w:sz w:val="21"/>
              </w:rPr>
              <w:t xml:space="preserve"> </w:t>
            </w:r>
          </w:p>
          <w:p>
            <w:pPr>
              <w:pStyle w:val="null3"/>
              <w:jc w:val="both"/>
            </w:pPr>
            <w:r>
              <w:rPr>
                <w:sz w:val="21"/>
              </w:rPr>
              <w:t xml:space="preserve">(1) </w:t>
            </w:r>
            <w:r>
              <w:rPr>
                <w:sz w:val="21"/>
              </w:rPr>
              <w:t>成交人提供的软件功能、服务不符合本项目合同规定的，采购人有权拒收，并且成交人须向采购人支付本项目合同总价</w:t>
            </w:r>
            <w:r>
              <w:rPr>
                <w:sz w:val="21"/>
              </w:rPr>
              <w:t>5%</w:t>
            </w:r>
            <w:r>
              <w:rPr>
                <w:sz w:val="21"/>
              </w:rPr>
              <w:t>的违约金；</w:t>
            </w:r>
          </w:p>
          <w:p>
            <w:pPr>
              <w:pStyle w:val="null3"/>
              <w:jc w:val="both"/>
            </w:pPr>
            <w:r>
              <w:rPr>
                <w:sz w:val="21"/>
              </w:rPr>
              <w:t xml:space="preserve">(2) </w:t>
            </w:r>
            <w:r>
              <w:rPr>
                <w:sz w:val="21"/>
              </w:rPr>
              <w:t>成交人未能按本项目合同规定的交货时间提供服务，从逾期之日起每日按本项目合同总价</w:t>
            </w:r>
            <w:r>
              <w:rPr>
                <w:sz w:val="21"/>
              </w:rPr>
              <w:t>3</w:t>
            </w:r>
            <w:r>
              <w:rPr>
                <w:sz w:val="21"/>
              </w:rPr>
              <w:t>‰的数额向采购人支付违约金；逾期半个月以上的，采购人有权终止合同，</w:t>
            </w:r>
            <w:r>
              <w:rPr>
                <w:sz w:val="21"/>
              </w:rPr>
              <w:t>由此造成的采购人经济损失由成交人承担；</w:t>
            </w:r>
          </w:p>
          <w:p>
            <w:pPr>
              <w:pStyle w:val="null3"/>
              <w:jc w:val="both"/>
            </w:pPr>
            <w:r>
              <w:rPr>
                <w:sz w:val="21"/>
              </w:rPr>
              <w:t xml:space="preserve">(3) </w:t>
            </w:r>
            <w:r>
              <w:rPr>
                <w:sz w:val="21"/>
              </w:rPr>
              <w:t>采购人无正当理由拒收接受服务，到期拒付服务款项的，采购人向成交人偿付本项目合同总价的</w:t>
            </w:r>
            <w:r>
              <w:rPr>
                <w:sz w:val="21"/>
              </w:rPr>
              <w:t>5%</w:t>
            </w:r>
            <w:r>
              <w:rPr>
                <w:sz w:val="21"/>
              </w:rPr>
              <w:t>的违约金；</w:t>
            </w:r>
          </w:p>
          <w:p>
            <w:pPr>
              <w:pStyle w:val="null3"/>
              <w:jc w:val="both"/>
            </w:pPr>
            <w:r>
              <w:rPr>
                <w:sz w:val="21"/>
              </w:rPr>
              <w:t xml:space="preserve">(4) </w:t>
            </w:r>
            <w:r>
              <w:rPr>
                <w:sz w:val="21"/>
              </w:rPr>
              <w:t>因政府采购政策调整需提前终止合同的，采购人须提前一个月书面告知成交人，采购人不承担因政府采购政策调整提前终止合同给成交人</w:t>
            </w:r>
            <w:r>
              <w:rPr>
                <w:sz w:val="21"/>
              </w:rPr>
              <w:t>造成的损失；</w:t>
            </w:r>
          </w:p>
          <w:p>
            <w:pPr>
              <w:pStyle w:val="null3"/>
              <w:jc w:val="both"/>
            </w:pPr>
            <w:r>
              <w:rPr>
                <w:sz w:val="21"/>
              </w:rPr>
              <w:t xml:space="preserve">(5) </w:t>
            </w:r>
            <w:r>
              <w:rPr>
                <w:sz w:val="21"/>
              </w:rPr>
              <w:t>其它违约责任按《中华人民共和国民法典</w:t>
            </w:r>
            <w:r>
              <w:rPr>
                <w:sz w:val="21"/>
              </w:rPr>
              <w:t>(</w:t>
            </w:r>
            <w:r>
              <w:rPr>
                <w:sz w:val="21"/>
              </w:rPr>
              <w:t>合同编</w:t>
            </w:r>
            <w:r>
              <w:rPr>
                <w:sz w:val="21"/>
              </w:rPr>
              <w:t>)</w:t>
            </w:r>
            <w:r>
              <w:rPr>
                <w:sz w:val="21"/>
              </w:rPr>
              <w:t>》处理；</w:t>
            </w:r>
          </w:p>
          <w:p>
            <w:pPr>
              <w:pStyle w:val="null3"/>
              <w:jc w:val="both"/>
            </w:pPr>
            <w:r>
              <w:rPr>
                <w:sz w:val="21"/>
              </w:rPr>
              <w:t xml:space="preserve">(6) </w:t>
            </w:r>
            <w:r>
              <w:rPr>
                <w:sz w:val="21"/>
              </w:rPr>
              <w:t>对于出现违约行为或服务行为不符合质量</w:t>
            </w:r>
            <w:r>
              <w:rPr>
                <w:sz w:val="21"/>
              </w:rPr>
              <w:t>要求，采购人将要求中标供应商按规定进行整改，在两次整改均无效或仍不能符合质量要求的，报经医院采购管理领导小组审议</w:t>
            </w:r>
            <w:r>
              <w:rPr>
                <w:sz w:val="21"/>
              </w:rPr>
              <w:t>同意后终止合同，将中标供应商列入黑名单管理。同时，中标供应商须承担所有违约责任。</w:t>
            </w:r>
          </w:p>
        </w:tc>
      </w:tr>
    </w:tbl>
    <w:p>
      <w:pPr>
        <w:pStyle w:val="null3"/>
        <w:jc w:val="both"/>
        <w:outlineLvl w:val="2"/>
      </w:pPr>
      <w:r>
        <w:rPr>
          <w:sz w:val="28"/>
          <w:b/>
        </w:rPr>
        <w:t>3.</w:t>
      </w:r>
      <w:r>
        <w:rPr>
          <w:sz w:val="28"/>
          <w:b/>
        </w:rPr>
        <w:t>技术标准与要求</w:t>
      </w:r>
    </w:p>
    <w:p>
      <w:pPr>
        <w:pStyle w:val="null3"/>
        <w:jc w:val="both"/>
      </w:pPr>
      <w:r>
        <w:rPr>
          <w:sz w:val="21"/>
        </w:rPr>
        <w:t>（一）软件配置清单：</w:t>
      </w:r>
    </w:p>
    <w:tbl>
      <w:tblPr>
        <w:tblW w:w="0" w:type="auto"/>
        <w:tblBorders>
          <w:top w:val="none" w:color="000000" w:sz="4"/>
          <w:left w:val="none" w:color="000000" w:sz="4"/>
          <w:bottom w:val="none" w:color="000000" w:sz="4"/>
          <w:right w:val="none" w:color="000000" w:sz="4"/>
          <w:insideH w:val="none"/>
          <w:insideV w:val="none"/>
        </w:tblBorders>
      </w:tblPr>
      <w:tblGrid>
        <w:gridCol w:w="678"/>
        <w:gridCol w:w="5340"/>
        <w:gridCol w:w="1271"/>
        <w:gridCol w:w="1017"/>
      </w:tblGrid>
      <w:tr>
        <w:tc>
          <w:tcPr>
            <w:tcW w:type="dxa" w:w="8306"/>
            <w:gridSpan w:val="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体检管理软件清单</w:t>
            </w:r>
          </w:p>
        </w:tc>
      </w:tr>
      <w:tr>
        <w:tc>
          <w:tcPr>
            <w:tcW w:type="dxa" w:w="678"/>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b/>
              </w:rPr>
              <w:t>序号</w:t>
            </w:r>
          </w:p>
        </w:tc>
        <w:tc>
          <w:tcPr>
            <w:tcW w:type="dxa" w:w="534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b/>
              </w:rPr>
              <w:t>名称</w:t>
            </w:r>
          </w:p>
        </w:tc>
        <w:tc>
          <w:tcPr>
            <w:tcW w:type="dxa" w:w="1271"/>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b/>
              </w:rPr>
              <w:t>数量</w:t>
            </w:r>
          </w:p>
        </w:tc>
        <w:tc>
          <w:tcPr>
            <w:tcW w:type="dxa" w:w="1017"/>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b/>
              </w:rPr>
              <w:t>单位</w:t>
            </w:r>
          </w:p>
        </w:tc>
      </w:tr>
      <w:tr>
        <w:tc>
          <w:tcPr>
            <w:tcW w:type="dxa" w:w="67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534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体检管理软件</w:t>
            </w:r>
          </w:p>
        </w:tc>
        <w:tc>
          <w:tcPr>
            <w:tcW w:type="dxa" w:w="12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r>
      <w:tr>
        <w:tc>
          <w:tcPr>
            <w:tcW w:type="dxa" w:w="67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534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检前预约软件</w:t>
            </w:r>
          </w:p>
        </w:tc>
        <w:tc>
          <w:tcPr>
            <w:tcW w:type="dxa" w:w="12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r>
      <w:tr>
        <w:tc>
          <w:tcPr>
            <w:tcW w:type="dxa" w:w="67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534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智能导检软件</w:t>
            </w:r>
          </w:p>
        </w:tc>
        <w:tc>
          <w:tcPr>
            <w:tcW w:type="dxa" w:w="12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r>
      <w:tr>
        <w:tc>
          <w:tcPr>
            <w:tcW w:type="dxa" w:w="67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534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检后健康管理软件</w:t>
            </w:r>
          </w:p>
        </w:tc>
        <w:tc>
          <w:tcPr>
            <w:tcW w:type="dxa" w:w="12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r>
    </w:tbl>
    <w:p>
      <w:pPr>
        <w:pStyle w:val="null3"/>
        <w:jc w:val="both"/>
      </w:pPr>
      <w:r>
        <w:rPr>
          <w:sz w:val="24"/>
          <w:u w:val="single"/>
        </w:rPr>
        <w:t>（二）技术参数要求：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581"/>
        <w:gridCol w:w="332"/>
        <w:gridCol w:w="332"/>
        <w:gridCol w:w="332"/>
        <w:gridCol w:w="332"/>
        <w:gridCol w:w="6396"/>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一、体检管理软件参数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功能名称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功能描述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软件设计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采用B/S框架设计，开发技术采用目前主流的php CI+Vue+mysql语言，能与移动端等平台达到无缝对接响应，实现真正的互联网高性能，以方便体检中心不断升级和长期使用，降低总体费用。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软件功能</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作为体检中心所有业务的核心管理软件，须能够完成体检业务的整体流程，涵盖建档、登记、收费、备单、科室体检、医技科室数据传输、收单、总检、总检审核、发放报告、档案归档等闭环式管理流程。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快捷菜单</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首页支持体检功能流程图展示，以及常用功能自定义配置，方便快速进去工作页面。</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主题设置</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支持软件灵活显示方式配置，部分页面多样式交互布局选择，主题颜色选择、字体大小选择。</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多种登录方式</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登录方式：软件支持账号密码登录、短信验证登录多种登录模式。</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登陆密码支持</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登录密码设置：支持精简密码（不做限制）和安全密码（密码长度至少6-12位，字母+数字+特殊符号）</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1.16</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首页自定义导航</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每个账号可以根据需求展示对应的首页。首页展示内容可以选择数据仓，财务仓，体检流程图三种模式。</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1.17</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业务种类</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必需能够支持多种体检类型：能够同时兼容健康体检（普通人健康体检、从业人员体检、公务员体检、学生体检）体检类型。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1.18</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排期管理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支持对总人数排期。</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支持精确至时间段排期。</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支持区分个人团体排期。</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支持精确对不同单位客户进行排期。</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支持特殊项目排期限号，特殊科室排期限号</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排期渠道灵活控制：前台登记是否限制号源。</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1.24</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体检登记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支持电话、现场等预约方式登记；支持套餐及增、删项目。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支持现场刷身份证新建订单及查询订单，自动抓取身份证号、性别、照片等信息</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支持快速引用已有订单的项目，进行登记。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支持对订单进行折扣调整，可以设置套餐折扣，也可细化至项目折扣。</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支持登记或保存时校验用户信息的准确性及唯一性。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支持登记时触发收费申请、检验检查申请。</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支持读取EXCEL文件，导入单位当年来检人员名单，可以定义体检时间段，实现体检日期自由选择。</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支持开始查看历次总检结论，辅助医生开单。</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匿名体检</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体检登记时，对于想要保护隐私的人员，可以随机生成匿名姓名、证件号，确保信息安全。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1.33</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单位体检</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支持根据关联单位-团检批次-分组-套餐的层级规划团体订单，不同批次的团检可关联同一单位。</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支持根据性别、年龄、婚姻状态自动分组，支持excel导入。</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支持excel表中直接定义用户分组，导入后生效，导入excel后可自动判断名字重复校验、身份证号格式错误等常见问题，并实现快速修复</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可设置加项由用户付费、特定项目单位付费、限额单位付费等多种加项付费方式。</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支持体检时间段的设置。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支持单位先体检后缴费设置。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1.39</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加项/弃项管理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支持关键字、拼音首字母等多维度快速搜索项目。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项目标记男女，无法选择其他性别项目，防止误操作。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已执行项目不允许退费、未缴费项目不允许检查等流程控制。</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自动判断细项重复，防止误操作（如肝三与肝五）。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1.43</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备单管理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支持个人和单位的导检单、条码、医技科室的检查单的批量打印功能；并具备导检单补打操作，条码补打操作，检查单补打操作。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支持一键打印直接触发打印机，避免繁琐操作。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支持可定义导引单展示形式及展示内容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1.46</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耗材管理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支持申请单耗材维护，设置申请单耗材项目，数量。限制耗材计算次数。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1.47</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项目关联</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支持体检项目之间关联关系维护，开单时选择项目A可自动带出项目B</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1.48</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项目互斥</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登记有项目细项的体检项目，软件自动提示互斥，不允许添加。也支持配置例外无需验证项目。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1.49</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收费退费管理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color w:val="000000"/>
              </w:rPr>
              <w:t>根据业务要求支持按总金额进行收款、退款。</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color w:val="000000"/>
              </w:rPr>
              <w:t>根据业务要求支持按项目明细进行收款、退款。</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color w:val="000000"/>
              </w:rPr>
              <w:t>收费后获取发票号并打印发票。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color w:val="000000"/>
              </w:rPr>
              <w:t>支持按订单打折，按项目打折。</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color w:val="000000"/>
              </w:rPr>
              <w:t>.</w:t>
            </w:r>
            <w:r>
              <w:rPr>
                <w:sz w:val="21"/>
                <w:color w:val="000000"/>
              </w:rPr>
              <w:t>退费后废弃发票。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自定义收、退费</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订单支持多次、多种收费方式、任意金额缴费。流水结账方式，直至缴费完成。例如（订单待支付1000，微信支付200、支付宝支付200、现金支付200、其他支付400，一个订单多种渠道多少交易完成缴费），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结算管理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软件支持收费员日结、收费处日结、收费处月结等结算报表输出</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1.56</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来检确认</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体检客户到达体检中心后，使用导检单或二代身份证到前台进行来检确认，确认时会自动拍下该人员的照片，以防止替检。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1.57</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自定义函数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支持单个、多项目指标同时判断计算，产生综合诊断。</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1.58</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rPr>
              <w:t>防伪体检</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人脸核验：分科采集人脸支持人脸对比，核对是否本人体检。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指纹识别：分科通过指纹识别，核对指纹信息，是否本人体检。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1.60</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采血管理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支持标本采集登记，标本送检登记，全流程质控管理。</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1.61</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科室检查</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支持医生扫码自动带入体检人员信息，检查数据支持模版导入，自动生成科室小结。</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支持与体重秤的数据对接，自动从设备获取结果数据，避免手工输入的差错，支持来检人员可自助进行一般检查。</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支持根据阳性体征自动关联诊断，具备默认正常结果及快速录入阳性体征模板功能。支持诊断是否进小结自由配置。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支持拼音首字母、关键字等多种快速检索诊断功能，支持历史诊断和常用诊断的快捷选择。</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支持阳性体征医生勾选设定，阳性体征红色显示</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支持诊断及对应的意义、建议可进行修改维护。</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支持小结自动生成，并且支持修改及重新添加。</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批量保存：支持分科多项目按默认结果批量保存，快速操作。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1.69</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诊间互动</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软件内提供即时通讯功能，体检中心医生在工作期间可通过即时通讯功能进行工作交流和讨论交流，可发送图片和文字。</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1.70</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体检质控</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管控：按照中华医学会健康管理学会《健康体检质量控制指南》要求，通过流程管控及质量管控，包括防替检、防漏检、防错检、防性别错误、流程任务分配、报告延期提醒、错误结论上报等功能，提高体检结果产出及时性和正确性，确保体检质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一人一号制：以身份证号为唯一识别号，并与姓名，性别绑定，确保最基本的质量控制，并为今后历年数据对比分析，做好准备。</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防替检功能：</w:t>
            </w:r>
            <w:r>
              <w:rPr>
                <w:sz w:val="21"/>
                <w:color w:val="000000"/>
              </w:rPr>
              <w:t>通过身份证作为唯一识别ID，并对人员唯一性进行校验，防止替检。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防漏检功能：通过刷来检人员的导检单上条码，确定该人员是否所有项目检查都已经结束，如果有项目未检，则确认是否拒检，防止漏检。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防错检功能：支持与血压仪、体重秤、人体成分分析仪等体检设备对接，自动从设备获取结果数据，避免手工输入的差错，避免人工夹塞报告出错，并支持来检人员自助进行一般检查。</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防性别错误：</w:t>
            </w:r>
            <w:r>
              <w:rPr>
                <w:sz w:val="21"/>
                <w:color w:val="000000"/>
              </w:rPr>
              <w:t>项目标记男女，无法选择其他性别项目，防止男女检查项目误操作。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防重项设置：</w:t>
            </w:r>
            <w:r>
              <w:rPr>
                <w:sz w:val="21"/>
                <w:color w:val="000000"/>
              </w:rPr>
              <w:t>自动判断细项重复，防止误操作（如肝三与肝五）。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标本交接管理：对实验室标本交接管理，并及时进行软件记录，与检验科病理科实现双向核对。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结果质控：科室及总检通过软件智能算法辅助判断阳性结论及诊断，提高体检诊断和体检报告的准确性。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阳性处理：科室诊断重大阳性后，软件可以通过铃铛消息，提醒医生进行一步处理，支持医生护士发送短信或者人工打电话进行处理，也可以给重大阳性患者添加随访任务，定时给客户随访。</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信息安全：按照公安局信息安全认证证书要求，由专人负责体检信息软件的定期维护，保证信息软件的良好运行，防止工作人员泄露体检信息作为他用。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权限设置：设置登录账号，防止科室以外人员操作软件，并通过权限设计，设计各岗位的权限和操作界面，防止误操作和信息泄露。</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日志记录：记录软件所有登陆人员的操作行为，便于分清责任，追踪溯源，避免纷争。</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订单质控：可以</w:t>
            </w:r>
            <w:r>
              <w:rPr>
                <w:sz w:val="21"/>
                <w:color w:val="000000"/>
              </w:rPr>
              <w:t>跟踪异常流程的订单，如延期、总检超期、报告发出超期、结果超期，医生设置超期时间进行查询，首页超期提醒。</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导引单</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对打印导引单客户进行扫码回收导引单操作。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回收</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软件记录回收状态，并可实时查询当日登记未回收人员，以方便对体检实现闭环管理。</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1.86</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理单管理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订单数据监控中心，支持查看订单各个节点状态，操作时间，操作人。同时支持查看已完成项目结果、并上报危急值。对未完成项目做延期、拒检操作。可通过理单控制流程（代替指引单回收），理单完成才能进入总检流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1.87</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结果更新提醒</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总检开始后，如果第三方结果有更新回传，软件无法直接跟新结果，会对订单项目做更新标记，提醒分科医生、总检医生撤回总检获取最新结果用于总检，确保数据准确性。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1.88</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危急值管理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危急值设置：对各项目指标，设置性别、年龄、参考范围多维度危急值判断标准。</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危急值提醒：检查结果产生时，自动提醒医生，某订单项目危急值提醒，可快速进去确认。</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危急值手动上报：支持分科、理单手动上报危急值，修改危急值AB类型。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危急值跟踪：进去确认页，可以标记危急值处理状态记录处理方式和处理内容。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完检确认</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体检完成后护士收单时，标记订单完检状态，进如总检派单环节。</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1.93</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体检排班</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体检排班：设置各科室医生每日值班工作记录。</w:t>
            </w:r>
          </w:p>
          <w:p>
            <w:pPr>
              <w:pStyle w:val="null3"/>
            </w:pPr>
            <w:r>
              <w:rPr>
                <w:sz w:val="21"/>
              </w:rPr>
              <w:t>支持排除节假日，支持科室、医生批量快速设置排班</w:t>
            </w:r>
          </w:p>
          <w:p>
            <w:pPr>
              <w:pStyle w:val="null3"/>
            </w:pPr>
            <w:r>
              <w:rPr>
                <w:sz w:val="21"/>
              </w:rPr>
              <w:t>排班详情：按月、周查询各科室医生上班日历，支持导出排班记录。</w:t>
            </w:r>
          </w:p>
          <w:p>
            <w:pPr>
              <w:pStyle w:val="null3"/>
            </w:pPr>
            <w:r>
              <w:rPr>
                <w:sz w:val="21"/>
              </w:rPr>
              <w:t>总检值班：支持智能派单按照总检医生值班情况智能分派工作任务</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1.94</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总检派单</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智能派单：通过设置条性别、年龄、团检等）条件，分配人员到总检医生任务列表。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手动派单：由分工医护人员，单个、批量分配完检订单到各个总检医生。</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派单流程控制：三级审核各节点支持是否开启派单流程，是否开启智能派单。总检流程灵活可控。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1.97</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总检、审核</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多次总检：各审核节点，支持多次保存提交。与三级审核双重质控。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三级审核：支持初审、总审、终审三级审核。</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支持三级审核流程灵活配置，只开启一审、或二审、三审流程。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1.100</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总检审查</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配备智能辅助诊断功能，支持自动判断冲突项，并根据多科室结果自动判断结果。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支持可定义体检结论样式。</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支持可查看本次科室的体征、诊断及小结，以及可查看同软件过往历史报告，并支持报告对比。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支持总检医生发现分科或者主检错误可进行异常打回，修复完成后再次检查。</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支持总检可撤销重新总检。</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总检结论合并：支持选择多个阳性诊断进行合并，诊断对应的诊断解释、建议进行一起合并。</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1.106</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报告打印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支持科室可定制入职、入户等不同类型个人体检报告，科室可定制团体分析报告并对展示项目进行调整。</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支持医生电子签名及科室电子印章。</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异常打回：支持护士发现分科或者总检错误可进行异常打回流程，修复完成后再次打印。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1.109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支持预览、打印报告、支持下载PDF报告文件。</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体检报告历年对比：可以根据近3次的体检结果数据进行汇总，出具个人体检对比报告。</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团体报告:支持多个单位生成一份报告。支持团体报告可以按照区分性别生成报告、前10名阳性诊断生成报告或者自由选择阳性诊断生成报告。</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1.112</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自定义模板管理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自定义方法：软件指引单、条码、报告、申请单等模板支持word方式自定义。</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模板管理：软件支持上传多个模板样式，启用模板，并支持模板增、删、改。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报告模板可以根据体检类别，使用对应类别的报告模板。比如：入职体检使用入职体检特定体检报告。</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1.115</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发票管理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自带发票管理软件进行发票管理。</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支持废弃发票重新打印功能。</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1.119</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单位开票</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支持根据业务要求，按总金额进行开票。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支持根据业务要求，按项目明细核算开票。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支持团体负责人现场缴费及开票。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支持公对公转账后直接开票。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支持缴费错误后现场退费&amp;退票功能。</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支持公对公转账错误后进行退票功能。</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支持多个单位、多次团检记录合并开票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1.126</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个人档案管理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支持新增、修改、删除个人档案。</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支持通过身份证作为唯一识别ID，并对人员唯一性进行校验。</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支持可以将人员与单位直接关联。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1.129</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单位档案管理</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支持新增、修改、删除单位档案。</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1.130</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支持可设置单位多个层级部门。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支持单位存在唯一id，并对单位唯一性进行校验。</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1.132</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报表统计</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到检统计报表，统计每日不同科室的到检人员名单</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数据回传结果报表，统计每日检验检查回传名单及回传结果</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1.134</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工作量统计报表，统计不同科室不同医生的工作量，并可以精确到具体项目</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订单状态报表，统计每日的订单状态数据，及时跟进处理时间较长的订单</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自定义报表，提供版本范围内其他自定义类型报表。</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1.137</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BI</w:t>
            </w:r>
            <w:r>
              <w:rPr>
                <w:sz w:val="21"/>
              </w:rPr>
              <w:t>大数据分析</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科室情况分析，综合分析科室工作量，便于管理层进行考核和优化流程及科室投入配比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医生情况，综合分析医生工作量，便于管理层进行考核和优化流程及人力配比</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1.139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疾病大数据分析，综合分析疾病大数据，便于医院进行数据分析</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1.140</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体检设置</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项目/组合/套餐设置：设置项目/组合/套餐的内容及相关属性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1.141</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诊断设置：设置诊断的内容及相关属性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1.142</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字典设置：设置ICD编码/民族/籍贯等字典的内容及相关属性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1.143</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科室/工作组设置：设置科室/工作组的内容及相关属性</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1.144</w:t>
            </w:r>
          </w:p>
        </w:tc>
        <w:tc>
          <w:tcPr>
            <w:tcW w:type="dxa" w:w="66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软件设置</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权限设置：设置不同角色的增删查改权限</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1.145</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账号设置：对账号进行增删查改，并可关联不同角色权限</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1.146</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参数设置：前台必填字段、分科影像检验设置、总检审核次数等软件内多维度自主配置，灵活控制体检流程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1.147</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折扣权限：每个账号可以都设定一个最低折扣，账号无法打折超过最低折扣。如设置6折权限折扣，此账号无法打折到6折以下。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1.148</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订单权限设置：每个账号可以设置查看订单权限，有对应权限的账号可以看到对应订单。如订单级别是干部级别，有干部权限账号可以显示订单，可以进行查看。</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1.149</w:t>
            </w:r>
          </w:p>
        </w:tc>
        <w:tc>
          <w:tcPr>
            <w:tcW w:type="dxa" w:w="664"/>
            <w:gridSpan w:val="2"/>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订单流转：支持根据不同体检类型，控制订单各个节点流程（跳过、执行）。比如理单、初审、总审、终审、各个流程根据体检类型不同，走不同审核流程。</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二、检前预约软件参数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功能名称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功能描述</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体检预约</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微信体检预约功能，实现体检客户微信预约体检套餐功能。</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团检预约</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单位体检人员可通过微信预约体检时间，选择加项包</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1+X</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个检预约套餐支持自选加项，加项包加项</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DIY</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支持用户自主选择自定义项目生成个性套餐预约</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问卷推套餐</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支持问卷自定义，通过问答形式量身定制推荐体检套餐。</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健康问卷维护</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软件支持健康问卷维护，自定义问卷题目、答案，跳转逻辑。可根据体检类型设置不同问卷内容。支持多问卷C端填写。</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检前问卷</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在线预约完成后，支持检前移动端填写问卷信息，回传到线下体检软件。</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体检评价</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体检完成后，支持用户星级评价，反馈。</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对外宣传</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微信宣传功能，实现体检中心对外微信宣传。</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报告查询</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微信查询体检报告，实现体检客户微信在线查询体检报告功能。</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安全校验</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微信安全校验，通过短信验证码方式验证登录，防止机主信息泄露。</w:t>
            </w:r>
          </w:p>
        </w:tc>
      </w:tr>
      <w:tr>
        <w:tc>
          <w:tcPr>
            <w:tcW w:type="dxa" w:w="12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数据互通</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微信平台和体检软件接口对接，实现数据互通。</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三、智能导检软件参数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功能名称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功能描述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导检登记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支持对接体检软件接口，体检签到即可自动入队。</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导检自助机：支持导检自助机扫码入队导检，支持打印报道队列标签，支持查询导检队列。</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支持导检护士站，扫码入队导检软件。</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体检软件中做完项目的增、减后，能立即同步给导检软件并提示客户当前待检的科室名称。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导诊台（护士站）</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可独立设置队列的在线与离线状态（开启、关闭队列）</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可灵活的调配人员队列、起到灵活的疏导。</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支持插队、分流、指定到某科室。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支持扫描条形码、二维码查询人员所在科室、并定位的所在的科室。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动态显示各科室的人员在线量以及队列变化情况。</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支持独立队列与全科导检队列的同屏显示。</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11</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能够合理处理vip客户的情况，导检软件会让vip客户优先完成所有项目的检查。</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调整队列时，可以指定上移、下移。</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13</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队列锁定：支持队列临时锁定、解锁，便于导检护士根据队列压力灵活控制队列是否允许优先入队。</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导检人员：支持显示所有人员导检队列信息。人员查询、导检队列、队列状态查询。</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15</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导检人员详情：支持显示当前人员所有队列信息，支持队列完成、队列更换、队列位置调整、队列弃检、剔除、撤回、导检队列添加、停止导检操作。</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16</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支持人员查询，定位当前人员所属队列。队列变化、叫号、跳过次数等，导检运行轨迹。</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17</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Vip</w:t>
            </w:r>
            <w:r>
              <w:rPr>
                <w:sz w:val="21"/>
              </w:rPr>
              <w:t>、普通队列切换：切换人员属性，切换队列排队科室。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18</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医生站</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一键呼叫“下一位”完成当前就检人员的检查状态标注的同时，呼叫下一人，同时具备“催检”、 “未到检”等辅助功能，操作简单、按键明显突出。。</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19</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支持随时扫码叫号：叫号端直接扫码，将人员强行叫号到第一位检查。用于处理人员较少时分科医生随机接待检查。</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20</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“暂停”键的设置，在考虑医生连续工作的同时，留出小息的时间。</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21</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支持非连续的可选择性的呼叫。</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22</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过号：支持叫号不到人员，跳过处理。可自定义设置过号位数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23</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冻结：支持叫号不到人员或者特殊情况不方便检查，冻结此人，冻结后医生可选择是否其他队列继续排队操作。</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24</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自动叫号：完成当前人员，自动叫号下一个人，无需点击催检叫号。</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25</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导检屏幕</w:t>
            </w:r>
          </w:p>
          <w:p>
            <w:pPr>
              <w:pStyle w:val="null3"/>
              <w:spacing w:after="240"/>
              <w:jc w:val="both"/>
            </w:pPr>
            <w:r>
              <w:rPr>
                <w:sz w:val="21"/>
              </w:rPr>
              <w:t>（区域屏、科室屏、诊室屏）</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可以设置LOGO、科室名称、定义字体、颜色、背景。</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26</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可显示队列顺序、人员姓名。</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27</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支持视频、图片播放及轮播。</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28</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支持安卓屏，各屏幕语音独立播报、规避了显示与发音的不同步问题，支持男女声。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29</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支持各种尺寸、可灵活定义。</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30</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支持科室屏幕、诊室屏幕，显示对应叫号人员。</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31</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显示待检人员总人数。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32</w:t>
            </w:r>
          </w:p>
        </w:tc>
        <w:tc>
          <w:tcPr>
            <w:tcW w:type="dxa" w:w="132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导检规则</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、空腹优先</w:t>
            </w:r>
          </w:p>
          <w:p>
            <w:pPr>
              <w:pStyle w:val="null3"/>
              <w:jc w:val="left"/>
            </w:pPr>
            <w:r>
              <w:rPr>
                <w:sz w:val="21"/>
              </w:rPr>
              <w:t>2</w:t>
            </w:r>
            <w:r>
              <w:rPr>
                <w:sz w:val="21"/>
              </w:rPr>
              <w:t>、前置优先</w:t>
            </w:r>
          </w:p>
          <w:p>
            <w:pPr>
              <w:pStyle w:val="null3"/>
              <w:jc w:val="left"/>
            </w:pPr>
            <w:r>
              <w:rPr>
                <w:sz w:val="21"/>
              </w:rPr>
              <w:t>3</w:t>
            </w:r>
            <w:r>
              <w:rPr>
                <w:sz w:val="21"/>
              </w:rPr>
              <w:t>、区域优先</w:t>
            </w:r>
          </w:p>
          <w:p>
            <w:pPr>
              <w:pStyle w:val="null3"/>
              <w:jc w:val="left"/>
            </w:pPr>
            <w:r>
              <w:rPr>
                <w:sz w:val="21"/>
              </w:rPr>
              <w:t>4</w:t>
            </w:r>
            <w:r>
              <w:rPr>
                <w:sz w:val="21"/>
              </w:rPr>
              <w:t>、区域顺序</w:t>
            </w:r>
          </w:p>
          <w:p>
            <w:pPr>
              <w:pStyle w:val="null3"/>
              <w:jc w:val="left"/>
            </w:pPr>
            <w:r>
              <w:rPr>
                <w:sz w:val="21"/>
              </w:rPr>
              <w:t>5</w:t>
            </w:r>
            <w:r>
              <w:rPr>
                <w:sz w:val="21"/>
              </w:rPr>
              <w:t>、空队列优先</w:t>
            </w:r>
          </w:p>
          <w:p>
            <w:pPr>
              <w:pStyle w:val="null3"/>
              <w:jc w:val="left"/>
            </w:pPr>
            <w:r>
              <w:rPr>
                <w:sz w:val="21"/>
              </w:rPr>
              <w:t>6</w:t>
            </w:r>
            <w:r>
              <w:rPr>
                <w:sz w:val="21"/>
              </w:rPr>
              <w:t>、最短时间优先</w:t>
            </w:r>
          </w:p>
          <w:p>
            <w:pPr>
              <w:pStyle w:val="null3"/>
              <w:jc w:val="left"/>
            </w:pPr>
            <w:r>
              <w:rPr>
                <w:sz w:val="21"/>
              </w:rPr>
              <w:t>7</w:t>
            </w:r>
            <w:r>
              <w:rPr>
                <w:sz w:val="21"/>
              </w:rPr>
              <w:t>、自定义导检规则，支持导检规则前后移动自定义规则生效顺序。</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33</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微信导检</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支持通过手机微信，微信推送体检客户即将就检的科室。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34</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手机可显示体检顾客的基本信息、已检队列、未检队列、等候人员、等候时间。</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35</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队列调整：支持用户自己弃检队列、更换队列。</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36</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3D</w:t>
            </w:r>
            <w:r>
              <w:rPr>
                <w:sz w:val="21"/>
              </w:rPr>
              <w:t>导航：支持体检中心室内导航，当前科室、到下一站地图指引。</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37</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电子指引单：支持微信电子指引单各个检查科室项目检查状态和科室导引单的条码。支持查看已经检查完成的项目和未捡完项目。</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38</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统计功能</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可随时查阅，统计导检状态、以及医生工作的实效性、控制就诊的时间、评价医生的服务标准。</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39</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统计功能可以在平台和微信上实时查询，可以分科室、分项目、分管理者。</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40</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支持医生工作量及工作效率统计，检查人数、检查时间、平均检查时间、最长检查时间、最短检查时间。</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41</w:t>
            </w:r>
          </w:p>
        </w:tc>
        <w:tc>
          <w:tcPr>
            <w:tcW w:type="dxa" w:w="1328"/>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软件设置</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可灵活设置导检队列、设置队列排队属性以及队列性别限制等参数</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42</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可灵活设置导检项目、定义餐前、餐后等特殊项目、设置项目检查时间，分配执行科室。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43</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绿色通道：支持自定义绿色通道（人员类型），在不同队列排队位置，做到优先排队。</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44</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加密显示：支持控制屏幕显示姓名是否加密处理</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45</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同时叫号:支持双队列科室，是否允许同时叫号控制。</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46</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Vip</w:t>
            </w:r>
            <w:r>
              <w:rPr>
                <w:sz w:val="21"/>
              </w:rPr>
              <w:t>插队：支持控制vip人员是否允许入队插队控制</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47</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特定诊室：支持同队列下设定多个诊室，不同诊室可接不同项目，做到同一个队列，各诊室叫号人员项目差异。</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48</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导检广播：支持导检广播语言播报</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49</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导检推广：支持道具屏幕图片，视频显示上传控制</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50</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导检区域：软件支持一套软件多区域导检，各区域维护不同的队列和导检规则。</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51</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导检屏幕：支持导检屏幕安装，后台配置各屏幕显示队列样式、屏幕发声科室。</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52</w:t>
            </w:r>
          </w:p>
        </w:tc>
        <w:tc>
          <w:tcPr>
            <w:tcW w:type="dxa" w:w="1328"/>
            <w:gridSpan w:val="4"/>
            <w:vMerge/>
            <w:tcBorders>
              <w:top w:val="none" w:color="000000" w:sz="4"/>
              <w:left w:val="none" w:color="000000" w:sz="4"/>
              <w:bottom w:val="single" w:color="000000" w:sz="4"/>
              <w:right w:val="single" w:color="000000" w:sz="4"/>
            </w:tcBorders>
          </w:tcP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定义与体检软件的接口、实现首检科室的显示方式（在体检软件的导引单上、自助设备的窗体信息提示上，以及微信等）</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53</w:t>
            </w:r>
          </w:p>
        </w:tc>
        <w:tc>
          <w:tcPr>
            <w:tcW w:type="dxa" w:w="132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体检软件接口</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w:t>
            </w:r>
            <w:r>
              <w:rPr>
                <w:sz w:val="21"/>
                <w:b/>
                <w:color w:val="000000"/>
              </w:rPr>
              <w:t>体检</w:t>
            </w:r>
            <w:r>
              <w:rPr>
                <w:sz w:val="21"/>
                <w:color w:val="000000"/>
              </w:rPr>
              <w:t>软件接口对接，数据接收。</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54</w:t>
            </w:r>
          </w:p>
        </w:tc>
        <w:tc>
          <w:tcPr>
            <w:tcW w:type="dxa" w:w="132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微信消息接口</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w:t>
            </w:r>
            <w:r>
              <w:rPr>
                <w:sz w:val="21"/>
                <w:b/>
                <w:color w:val="000000"/>
              </w:rPr>
              <w:t>微信公众号对接，</w:t>
            </w:r>
            <w:r>
              <w:rPr>
                <w:sz w:val="21"/>
                <w:color w:val="000000"/>
              </w:rPr>
              <w:t>推送导检叫号信息。</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四、检后健康管理软件参数</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功能名称</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功能描述</w:t>
            </w:r>
          </w:p>
        </w:tc>
      </w:tr>
      <w:tr>
        <w:tc>
          <w:tcPr>
            <w:tcW w:type="dxa" w:w="8305"/>
            <w:gridSpan w:val="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智能数据采集</w:t>
            </w:r>
          </w:p>
        </w:tc>
      </w:tr>
      <w:tr>
        <w:tc>
          <w:tcPr>
            <w:tcW w:type="dxa" w:w="91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软件架构</w:t>
            </w:r>
          </w:p>
        </w:tc>
        <w:tc>
          <w:tcPr>
            <w:tcW w:type="dxa" w:w="67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数据采集软件为B/S架构设计，操作时不需要多软件间切换登录和人工点击执行，无需多台PC独立安装应用。</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检查数据</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能够与机构现有业务软件实现无缝对接，可实现体检数据采集全自动化，且支持数据模板导入和手动建档。</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问卷数据</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根据机构要求路径和流程实现多种方式采集体检客户的健康问卷并自动与健康体检数据关联与归并。</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监测数据</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支持与智能监测设备实现无缝对接和数据自动上传，对数据进行周期性趋势分析，异常监测数据能够自动提醒。</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动态健康档案</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全息视图</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健康全息试图可集中展示体检客户的健康画像、健康档案、健康预警、健康干预等数据和趋势变化内容，可根据管理权限对健康数据进行管理及维护。</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客户信息</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软件支持机构对个体或群体客户批量维护相关信息，包含但不限于家庭管理、成员审核、团队信息、服务包属性等。</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体检报告</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支持机构健康管理师对软件中体检报告的集中管理，可自动生成体检客户的个人健康画像。</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w:t>
            </w:r>
          </w:p>
          <w:p>
            <w:pPr>
              <w:pStyle w:val="null3"/>
              <w:jc w:val="center"/>
            </w:pPr>
            <w:r>
              <w:rPr>
                <w:sz w:val="21"/>
              </w:rPr>
              <w:t>问卷</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根据健康问卷自动生成客户个人健康画像，根据问卷实现健康风险筛查；软件内置20套以上肿瘤专病问卷和10套以上其他个性化问卷；综合问卷支持从家族史、现病史、症状体征、历史异常指标、生活方式、心理健康与精神压力、睡眠健康、健康素养等多个维度分析不少于20种肿瘤+10种慢性病的风险因素；支持《健康体检基本项目专家共识》中健康体检自测问卷及在此基础上优化问卷题目、题数和答案；支持中医体质辨识、心理健康测试SCL-90填写和智能统计分析。</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就医</w:t>
            </w:r>
          </w:p>
          <w:p>
            <w:pPr>
              <w:pStyle w:val="null3"/>
              <w:jc w:val="center"/>
            </w:pPr>
            <w:r>
              <w:rPr>
                <w:sz w:val="21"/>
              </w:rPr>
              <w:t>检查</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全人群、全周期、全方位开展健康管理服务的健管机构，软件支持对于客户的就医、用药、检查记录数据进行集中管理；能够对就医所产生的门诊/住院记录、就诊检查记录、用药记录进行自动/手动关联，支持一键调阅及维护；能够将客户的多次检查记录合并为一份体检数据以用于开展健康风险评估、和健康跟踪随访。</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个人健康力分析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可自动生成个人健康力分析评估报告，报告中至少包含综合健康信息、就医检查建议、近三次体检数据对比、饮食/运动/心理/睡眠保健建议等，对20种以上肿瘤和10种以上慢性病进行风险评估并将已患疾病纳入六个维度的分级与分层进行健康状况展示和出具干预促进方案；软件支持报告的审核和审核提醒。</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团队健康力分析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对企业团体客户的健康测评结果和体检结果进行智能分析并自动生成专属的团体健康力评估报告；报告中至少包含生活方式统计、基础指标检查结果分布、体检异常TOP10统计、历次数据对比、肿瘤及慢病风险评估分级与分层统计、体检异常统计等。支持健管机构拓展集团化企业定制开发企业全体员工健康力评价报告和企业员工健康白皮书。</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健康监测</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支持健管机构对于个体和群体客户的远程体重、血压、血糖等监测数据自动上传与集中管理。</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阳性回访</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软件可对健康数据进行智能分析并自动实现阳性指标四色预警，支持周期化跟踪管理、干预指导服务，也支持批量结束阳性预警提醒。</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健康画像</w:t>
            </w:r>
          </w:p>
        </w:tc>
        <w:tc>
          <w:tcPr>
            <w:tcW w:type="dxa" w:w="67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软件智能分析体检数据、健康问卷等数据，根据标准及设定规则自动生成客户健康画像。</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门诊复查</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支持健康管理中心对阳性管理、干预人群进行院内门诊和复查预约引流，实现从体检到诊疗的一站式干预过程，支持在院内构建健康管理服务闭环。</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智能健康服务</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健康干预</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通过健康服务包自动匹配创建健康干预计划，内置70个以上标准化干预模板，支持机构自定义创建新的干预计划；支持根据配置实现短信、微信的自动发送；支持健康干预计划审核并在创建后自动提醒管理师完成相关健康干预工作。</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膳食促进</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通过多种组合条件筛选需要膳食管理的人群，按标准模板或自定义设计周期性的食谱，软件会根据最新版《中国居民膳食指南》智能推荐营养素摄入量和当前已创建食谱所提供的营养素摄入量；软件内置膳食原则、食疗配方、食谱、食品原料、成品菜等模板库，支持健管机构自定义维护和开展精细化膳食管理服务。膳食促进方案支持软件自动推送并提醒客户，同时支持客户上传膳食记录并提醒健康管理师查看详情。</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运动促进</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通过多种组合条件筛选需要运动管理的人群，支持针对该人群按标准模板快速创建或自定义设计专业化运动方案，包括运动原则、运动方案和推荐运动项目等；软件内置标准化运动项目、运动原则、运动方案模板，支持机构自定义维护。运动促进方案支持软件自动推送并提醒客户，同时支持客户上传运动记录并提醒健康管理师查看详情。</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健康服务包</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健管机构根据掌握资源自定义组合多种健康服务包，用户可在移动端购买服务并完成线上支付；服务包设置包含名称、服务项目、服务期限、关联疾病、收费等；用户购买服务包后软件可自动创建对应的健康干预计划并提醒健康管理师执行健康干预，用户可通过移动端自主预约服务项目。</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健康任务</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软件支持一键式批量创建健康任务并自动推送健康任务，客户可以通过用户移动端记录健康任务的执行情况；支持健管机构在软件原有基础上完善设置自有标准的健康宣教知识库，可通过</w:t>
            </w:r>
            <w:r>
              <w:rPr>
                <w:sz w:val="21"/>
                <w:color w:val="000000"/>
              </w:rPr>
              <w:t>信息、文章、视频链接等形式实现周期性、自动化宣教。</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智能数据分析</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健康评估分析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支持对软件内所有客户的评估数据进行智能分析，从评估人数、性别分布、年龄分布、疾病风险分级、生活方式等维度进行实时统计分析，并支持分析结果的导出。支持按照健管机构需求定制开发数据分析模块。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健康干预分析</w:t>
            </w:r>
          </w:p>
        </w:tc>
        <w:tc>
          <w:tcPr>
            <w:tcW w:type="dxa" w:w="67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支持对软件内所有管理师的健康干预工作进行智能分析，从干预人数、干预形式、干预病种统计、干预满意度、干预完成度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健康体检分析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支持对软件内所有客户的体检数据进行智能分析，从体检异常结果TOP10分析、基础指标等维度进行实时统计分析，并支持分析结果的导出。支持按照健管机构需求定制开发数据分析模块。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健康问卷分析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支持对软件内所有客户的健康问卷进行智能分析，从分生活方式分析、中医体质辨识分析、心理测评等维度进行实时统计分析，并支持分析结果的导出。支持按照健管机构需求定制开发数据分析模块。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健康行为分析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支持对软件内所有客户在健康移动应用中的所有操作行为进行实时统计分析，并支持分析结果的导出。支持按照健管机构需求定制开发数据分析模块。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跟踪结果分析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对于所有参与回访和干预的客户进行跟踪结果分析，从跟踪人次，门诊预约、复查预约等维度进行实时统计分析，并支持分析结果的导出。支持按照健管机构需求定制开发数据分析模块。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工作量分析</w:t>
            </w:r>
          </w:p>
        </w:tc>
        <w:tc>
          <w:tcPr>
            <w:tcW w:type="dxa" w:w="67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对于软件内所有健康管理师的工作量进行智能分析，从健康任务创建量、执行计划量、干预完成度、干预方式、回访人数、回访次数、回访完成度、回访方式等维度进行实时统计分析，并支持分析结果的导出。支持按照健管机构需求定制开发数据分析模块。</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健康汇总分析</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从基础档案、健康体检、健康问卷、风险评估等多维度自定义设置筛选条件进行实时数据分析，能够对分析结果进行批量编辑、批量推送短信/微信/问卷、批量导出，能够快速引用历史数据分析条件进行健康汇总分析。</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智能数据交互</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消息推送</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健康管理师与客户的数据交互能够进行集中提醒并一键触达，数据交互内容包括计划审核、报告审核、门诊预约审核、复查审核、在线反馈提醒、健康监测提醒、健康处方提醒、客户任务提醒等。在开展健康管理过程中需要推送给客户的服务提醒、报告提醒、健康任务提醒、咨询回复提醒等，软件能够自动进行推送并实时提醒客户，支持推送配置。</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IM</w:t>
            </w:r>
            <w:r>
              <w:rPr>
                <w:sz w:val="21"/>
              </w:rPr>
              <w:t>互动</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客户和管理师（在不登陆第三方应用的前提下）能够实现实时的在线图文沟通并具备互动消息的双向实时提醒。管理师能够在团队之间、多科室之间进行互动消息的转发。可在沟通的同时查看客户最新一次体检的阳性指标、异常结论、危险因素等信息，支持互动时一键进入客户的健康全息视图，能够查看客户的完整健康档案信息、设计自定义标签等。</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软件日志</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对于软件管理师的所有操作、客户移动端应用的所有操作、在线互动记录、消息推送记录均具备完善的日志体系，可以随时进行数据追溯。</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短信平台</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软件内置短信发送平台、消息内容知识库，能够批量创建短信发送任务，可手动/自动发送，支持对接机构自有的短信平台。</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健康反馈</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对于客户在客户移动端应用提交的健康反馈能够进行实时提醒，管理师能够在线进行处理并将处理结果自动推送至客户移动端应用中。</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软件配置维护管理</w:t>
            </w:r>
          </w:p>
        </w:tc>
      </w:tr>
      <w:tr>
        <w:tc>
          <w:tcPr>
            <w:tcW w:type="dxa" w:w="9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权限管理</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能够对软件的所有管理员进行信息和权限维护，包括所有菜单和按钮的操作权限、所管理的客户范围、登陆首页后的默认数据看板类型、是否展示为客户移动端应用的管理师列表、是否为</w:t>
            </w:r>
            <w:r>
              <w:rPr>
                <w:sz w:val="21"/>
                <w:color w:val="000000"/>
              </w:rPr>
              <w:t>健康管家、</w:t>
            </w:r>
            <w:r>
              <w:rPr>
                <w:sz w:val="28"/>
                <w:color w:val="000000"/>
              </w:rPr>
              <w:t>账号密码等。</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规则设置</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内置规则库并支持自定义维护，健管机构可以自定义选择应用场景，如阳性预警、健康画像，不需要在多应用场景重复设置多套规则，可以从体检指标、异常结论、健康问卷、早癌筛查等多维度进行规则设置。</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模板维护</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软件内置消息模板、健康干预模板、运动方案及相关模板、膳食方案及相关模板等，可以对所有模板进行维护，健康干预模板支持一键复制。</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字典维护</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软件内置体检项目库、体检异常库、疾病库、异常病症库、问卷库、医生预约排班等，可对所有数据字典进行自定义维护。</w:t>
            </w:r>
          </w:p>
        </w:tc>
      </w:tr>
      <w:tr>
        <w:tc>
          <w:tcPr>
            <w:tcW w:type="dxa" w:w="913"/>
            <w:gridSpan w:val="2"/>
            <w:vMerge/>
            <w:tcBorders>
              <w:top w:val="non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设备管理</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对于开展远程智能监测的客户，可以进行设备与客户的绑定、解绑操作，支持批量导入设备串号。</w:t>
            </w:r>
          </w:p>
        </w:tc>
      </w:tr>
      <w:tr>
        <w:tc>
          <w:tcPr>
            <w:tcW w:type="dxa" w:w="8305"/>
            <w:gridSpan w:val="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健康管理移动端</w:t>
            </w:r>
          </w:p>
        </w:tc>
      </w:tr>
      <w:tr>
        <w:tc>
          <w:tcPr>
            <w:tcW w:type="dxa" w:w="91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我的管理</w:t>
            </w:r>
          </w:p>
        </w:tc>
        <w:tc>
          <w:tcPr>
            <w:tcW w:type="dxa" w:w="67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能够汇总显示当前登陆管理师的管理概况，包括客户数量、体检数量、健康问卷数量、干预数量、随访数量、方案数量等，所有功能均可点击进入详情列表并支持相应的管理操作。</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待办任务</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能够汇总显示当前登陆管理师的当日工作，包括当日待干预计划、待阳性回访、审核任务、客户反馈、门诊订单、复查订单、健康服务订单、服务预约订单等，上述所有工作均可在健康管理移动端执行。</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消息提醒</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对于用户提交的诸如家庭成员申请、健康监测数据上传、健康任务执行、健康反馈等，管理师能够在移动端实时收到消息提醒并支持一键执行。</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在线互动</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支持健康管理师与用户进行1对1的在线咨询互动，可以发送图片、文字、视频链接等内容</w:t>
            </w:r>
            <w:r>
              <w:rPr>
                <w:sz w:val="28"/>
                <w:color w:val="000000"/>
              </w:rPr>
              <w:t>。</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个人中心</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可以维护登陆健康管理师的个人信息，支持退出登录</w:t>
            </w:r>
            <w:r>
              <w:rPr>
                <w:sz w:val="28"/>
                <w:color w:val="000000"/>
              </w:rPr>
              <w:t>。</w:t>
            </w:r>
          </w:p>
        </w:tc>
      </w:tr>
      <w:tr>
        <w:tc>
          <w:tcPr>
            <w:tcW w:type="dxa" w:w="8305"/>
            <w:gridSpan w:val="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健康管理客户端</w:t>
            </w:r>
          </w:p>
        </w:tc>
      </w:tr>
      <w:tr>
        <w:tc>
          <w:tcPr>
            <w:tcW w:type="dxa" w:w="91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6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健康评估报告</w:t>
            </w:r>
          </w:p>
        </w:tc>
        <w:tc>
          <w:tcPr>
            <w:tcW w:type="dxa" w:w="67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可以在客户端查看历次的个人健康评估报告，最新报告生成后能够自动推送消息提醒客户在线查看。</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体检报告</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可以在客户端查看历次体检报告、体检报告数据对比，支持智能推荐复查预约、门诊预约并一键预约。</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健康问卷</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可以在客户端填写健康问卷，包括生活方式问卷、心理问卷、中医问卷等。支持查看已填写的问卷详情。</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复查预约</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可以在客户端根据个人健康评估报告、体检报告一键进行复查预约。</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门诊预约</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可以在客户端根据体检报告的智能推荐医生进行门诊预约，也可以自行选择医生进行门诊预约。</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今日任务</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可以收到健管机构为其量身定制的膳食方案、运动方案以及健康监测任务提醒，支持任务详情的查看并可以记录相关的任务执行情况</w:t>
            </w:r>
            <w:r>
              <w:rPr>
                <w:sz w:val="21"/>
                <w:color w:val="000000"/>
              </w:rPr>
              <w:t>。</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就医记录</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可以在客户端查看历次的就医记录，包括门诊/住院记录、检查记录、用药记录，支持就医记录的上传。</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健康宣教</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可以在客户端查看健管机构推送的健康宣教内容。</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健康服务</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客户可以在移动端购买服务包，服务包购买后能够智能创建健康干预计划；能查看可使用的健康服务项目和已使用的健康服务项目以及进展情况，对于能够使用的健康服务项目可以进行在线预约并实时提醒预约进度。</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在线互动</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能够与专属的健康师进行实时的在线图文咨询。</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消息提醒</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对于健管机构推送的干预信息、随访信息、健康报告、健康任务等具备自动提醒功能，客户能够一键触达并查看消息详情。</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我的家庭</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可申请家庭成员组合，通过软件自动审核和成员授权的两级审核机制后方可完成家庭成员组合，成员之间能够查看健康档案、健康数据、健康方案等。对于未建立健康档案的家庭成员支持后台一键自动建档。</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设备管理</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可以进行健管机构指定的移动监测设备的绑定、解绑操作。</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健康反馈</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对提交的健康反馈具备进度实时提醒和查看。</w:t>
            </w:r>
          </w:p>
        </w:tc>
      </w:tr>
      <w:tr>
        <w:tc>
          <w:tcPr>
            <w:tcW w:type="dxa" w:w="913"/>
            <w:gridSpan w:val="2"/>
            <w:vMerge/>
            <w:tcBorders>
              <w:top w:val="single" w:color="000000" w:sz="4"/>
              <w:left w:val="single" w:color="000000" w:sz="4"/>
              <w:bottom w:val="singl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满意度</w:t>
            </w:r>
          </w:p>
        </w:tc>
        <w:tc>
          <w:tcPr>
            <w:tcW w:type="dxa" w:w="67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对于健管机构已提供的健康干预服务进行在线满意度评价。</w:t>
            </w:r>
          </w:p>
        </w:tc>
      </w:tr>
      <w:tr>
        <w:tc>
          <w:tcPr>
            <w:tcW w:type="dxa" w:w="8305"/>
            <w:gridSpan w:val="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健康服务植入</w:t>
            </w:r>
          </w:p>
        </w:tc>
      </w:tr>
      <w:tr>
        <w:tc>
          <w:tcPr>
            <w:tcW w:type="dxa" w:w="913"/>
            <w:gridSpan w:val="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服务方案</w:t>
            </w:r>
          </w:p>
        </w:tc>
        <w:tc>
          <w:tcPr>
            <w:tcW w:type="dxa" w:w="67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提供详细的带教服务流程与培训计划，根据对健管机构的现场调研结果并结合机构资源制定符合本机构流程的年度健康服务方案供机构参考；结合业务场景完成软件全功能的培训服务。</w:t>
            </w:r>
          </w:p>
        </w:tc>
      </w:tr>
      <w:tr>
        <w:tc>
          <w:tcPr>
            <w:tcW w:type="dxa" w:w="913"/>
            <w:gridSpan w:val="2"/>
            <w:vMerge/>
            <w:tcBorders>
              <w:top w:val="single" w:color="000000" w:sz="4"/>
              <w:left w:val="single" w:color="000000" w:sz="4"/>
              <w:bottom w:val="non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人员配备</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带教人员须持有健康管理师证书且具有5年以上本行业工作经验，驻场服务时间不少于15个工作日。</w:t>
            </w:r>
          </w:p>
        </w:tc>
      </w:tr>
      <w:tr>
        <w:tc>
          <w:tcPr>
            <w:tcW w:type="dxa" w:w="913"/>
            <w:gridSpan w:val="2"/>
            <w:vMerge/>
            <w:tcBorders>
              <w:top w:val="single" w:color="000000" w:sz="4"/>
              <w:left w:val="single" w:color="000000" w:sz="4"/>
              <w:bottom w:val="non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数据配置</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根据健管机构的业务流程、业务资源对软件内置的干预路径、阳性管理路径、健康服务包等进行调整，形成机构自有的健康服务标准。</w:t>
            </w:r>
          </w:p>
        </w:tc>
      </w:tr>
      <w:tr>
        <w:tc>
          <w:tcPr>
            <w:tcW w:type="dxa" w:w="8305"/>
            <w:gridSpan w:val="6"/>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综合性能</w:t>
            </w:r>
          </w:p>
        </w:tc>
      </w:tr>
      <w:tr>
        <w:tc>
          <w:tcPr>
            <w:tcW w:type="dxa" w:w="913"/>
            <w:gridSpan w:val="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6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架构部署</w:t>
            </w:r>
          </w:p>
        </w:tc>
        <w:tc>
          <w:tcPr>
            <w:tcW w:type="dxa" w:w="67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本项目的主软件、子软件要求采用B／S架构设计，采用统一的数据库；部署方式为本地化部署。</w:t>
            </w:r>
          </w:p>
        </w:tc>
      </w:tr>
      <w:tr>
        <w:tc>
          <w:tcPr>
            <w:tcW w:type="dxa" w:w="913"/>
            <w:gridSpan w:val="2"/>
            <w:vMerge/>
            <w:tcBorders>
              <w:top w:val="single" w:color="000000" w:sz="4"/>
              <w:left w:val="single" w:color="000000" w:sz="4"/>
              <w:bottom w:val="non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数据安全</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为保证数据安全，本项目的主软件、子软件须承诺无任何形式的后门设置，严禁将数据上传至本项目软件外的第三方平台。</w:t>
            </w:r>
          </w:p>
        </w:tc>
      </w:tr>
      <w:tr>
        <w:tc>
          <w:tcPr>
            <w:tcW w:type="dxa" w:w="913"/>
            <w:gridSpan w:val="2"/>
            <w:vMerge/>
            <w:tcBorders>
              <w:top w:val="single" w:color="000000" w:sz="4"/>
              <w:left w:val="single" w:color="000000" w:sz="4"/>
              <w:bottom w:val="none" w:color="000000" w:sz="4"/>
              <w:right w:val="single" w:color="000000" w:sz="4"/>
            </w:tcBorders>
          </w:tcP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软件性能</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本项目软件体检用户并发数不低于1000。</w:t>
            </w:r>
          </w:p>
        </w:tc>
      </w:tr>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五、接口对接</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功能名称</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功能描述</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HIS</w:t>
            </w:r>
            <w:r>
              <w:rPr>
                <w:sz w:val="21"/>
              </w:rPr>
              <w:t>软件接口</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实现与HIS软件接口对接，数据接收。</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LIS</w:t>
            </w:r>
            <w:r>
              <w:rPr>
                <w:sz w:val="21"/>
              </w:rPr>
              <w:t>软件接口</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实现与LIS软件接口对接，数据接收。</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PACS</w:t>
            </w:r>
            <w:r>
              <w:rPr>
                <w:sz w:val="21"/>
              </w:rPr>
              <w:t>软件接口</w:t>
            </w:r>
          </w:p>
        </w:tc>
        <w:tc>
          <w:tcPr>
            <w:tcW w:type="dxa" w:w="6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实现与PACS软件接口对接，数据接收。</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短信平台接口</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短信平台接口对接，实现为体检客户提供验证码、通知、宣教短信等发送服务。</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仪器设备接口</w:t>
            </w:r>
          </w:p>
        </w:tc>
        <w:tc>
          <w:tcPr>
            <w:tcW w:type="dxa" w:w="67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实现与动脉硬化、骨密度、心电图等现有体检设备接口对接，数据接收。</w:t>
            </w:r>
          </w:p>
        </w:tc>
      </w:tr>
      <w:tr>
        <w:tc>
          <w:tcPr>
            <w:tcW w:type="dxa" w:w="581"/>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6396"/>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after="165"/>
        <w:jc w:val="both"/>
        <w:outlineLvl w:val="2"/>
      </w:pPr>
      <w:r>
        <w:rPr>
          <w:sz w:val="28"/>
          <w:b/>
        </w:rPr>
        <w:t>三、包组</w:t>
      </w:r>
      <w:r>
        <w:rPr>
          <w:sz w:val="28"/>
          <w:b/>
        </w:rPr>
        <w:t>2</w:t>
      </w:r>
      <w:r>
        <w:rPr>
          <w:sz w:val="28"/>
          <w:b/>
        </w:rPr>
        <w:t>采购需求：</w:t>
      </w:r>
    </w:p>
    <w:p>
      <w:pPr>
        <w:pStyle w:val="null3"/>
        <w:spacing w:after="165"/>
        <w:jc w:val="both"/>
        <w:outlineLvl w:val="2"/>
      </w:pPr>
      <w:r>
        <w:rPr>
          <w:sz w:val="28"/>
          <w:b/>
        </w:rPr>
        <w:t>1.</w:t>
      </w:r>
      <w:r>
        <w:rPr>
          <w:sz w:val="28"/>
          <w:b/>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6"/>
      </w:tblGrid>
      <w:tr>
        <w:tc>
          <w:tcPr>
            <w:tcW w:type="dxa" w:w="151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标的提供的时间</w:t>
            </w:r>
          </w:p>
        </w:tc>
        <w:tc>
          <w:tcPr>
            <w:tcW w:type="dxa" w:w="6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合同签订后，在数据配对完成、服务器满足运行环境要求、成交人自进场之日起</w:t>
            </w:r>
            <w:r>
              <w:rPr>
                <w:sz w:val="21"/>
              </w:rPr>
              <w:t>6</w:t>
            </w:r>
            <w:r>
              <w:rPr>
                <w:sz w:val="21"/>
              </w:rPr>
              <w:t>个月内安装、调试、培训完毕并交付使用</w:t>
            </w:r>
          </w:p>
        </w:tc>
      </w:tr>
      <w:tr>
        <w:tc>
          <w:tcPr>
            <w:tcW w:type="dxa" w:w="1510"/>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标的提供的地点</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成交人负责将产品按照采购方指定地点，产品需要安装调试的应及时安装调试，并承担由此产生的全部等费用。</w:t>
            </w:r>
          </w:p>
        </w:tc>
      </w:tr>
      <w:tr>
        <w:tc>
          <w:tcPr>
            <w:tcW w:type="dxa" w:w="1510"/>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付款方式</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合同生效后，自收到完税发票之日起</w:t>
            </w:r>
            <w:r>
              <w:rPr>
                <w:sz w:val="21"/>
              </w:rPr>
              <w:t>10</w:t>
            </w:r>
            <w:r>
              <w:rPr>
                <w:sz w:val="21"/>
              </w:rPr>
              <w:t>日内，支付合同款</w:t>
            </w:r>
            <w:r>
              <w:rPr>
                <w:sz w:val="21"/>
              </w:rPr>
              <w:t>50%</w:t>
            </w:r>
            <w:r>
              <w:rPr>
                <w:sz w:val="21"/>
              </w:rPr>
              <w:t>，</w:t>
            </w:r>
            <w:r>
              <w:rPr>
                <w:sz w:val="21"/>
              </w:rPr>
              <w:t>项目验收合格，双方签署验收报告后，自收到完税发票之日起</w:t>
            </w:r>
            <w:r>
              <w:rPr>
                <w:sz w:val="21"/>
              </w:rPr>
              <w:t>10</w:t>
            </w:r>
            <w:r>
              <w:rPr>
                <w:sz w:val="21"/>
              </w:rPr>
              <w:t>日内，支付合同款</w:t>
            </w:r>
            <w:r>
              <w:rPr>
                <w:sz w:val="21"/>
              </w:rPr>
              <w:t>50%</w:t>
            </w:r>
            <w:r>
              <w:rPr>
                <w:sz w:val="21"/>
              </w:rPr>
              <w:t>。</w:t>
            </w:r>
          </w:p>
          <w:p>
            <w:pPr>
              <w:pStyle w:val="null3"/>
              <w:jc w:val="both"/>
            </w:pPr>
            <w:r>
              <w:rPr>
                <w:sz w:val="21"/>
              </w:rPr>
              <w:t>收款方、出具发票方、合同乙方均必须一致。如有变更，必须以书面方式通知对方并加盖财务专用章。</w:t>
            </w:r>
            <w:r>
              <w:br/>
            </w:r>
            <w:r>
              <w:rPr>
                <w:sz w:val="21"/>
              </w:rPr>
              <w:t>支付方式采用银行转账支付。支付程序按法定流程处理。</w:t>
            </w:r>
          </w:p>
        </w:tc>
      </w:tr>
      <w:tr>
        <w:tc>
          <w:tcPr>
            <w:tcW w:type="dxa" w:w="1510"/>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验收要求</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软件安装时，成交人应提供设备的最新型号和软件的最新版本。</w:t>
            </w:r>
          </w:p>
          <w:p>
            <w:pPr>
              <w:pStyle w:val="null3"/>
              <w:jc w:val="both"/>
            </w:pPr>
            <w:r>
              <w:rPr>
                <w:sz w:val="21"/>
              </w:rPr>
              <w:t>2.</w:t>
            </w:r>
            <w:r>
              <w:rPr>
                <w:sz w:val="21"/>
              </w:rPr>
              <w:t>成交人必须在合同规定的时间内，以完工验收申请报告形式书面通知采购人以声明整个软件安装集成完毕，采购人确认申请报告的第三个工作日为验收测试开始日。</w:t>
            </w:r>
          </w:p>
          <w:p>
            <w:pPr>
              <w:pStyle w:val="null3"/>
              <w:jc w:val="both"/>
            </w:pPr>
            <w:r>
              <w:rPr>
                <w:sz w:val="21"/>
              </w:rPr>
              <w:t>3.</w:t>
            </w:r>
            <w:r>
              <w:rPr>
                <w:sz w:val="21"/>
              </w:rPr>
              <w:t>验收合格后由成交人出具测试报告，成交人和采购人代表签字并加盖公章。</w:t>
            </w:r>
          </w:p>
        </w:tc>
      </w:tr>
      <w:tr>
        <w:tc>
          <w:tcPr>
            <w:tcW w:type="dxa" w:w="1510"/>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rPr>
              <w:t>履约保证金</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bl>
    <w:p>
      <w:pPr>
        <w:pStyle w:val="null3"/>
        <w:spacing w:after="165"/>
        <w:jc w:val="both"/>
        <w:outlineLvl w:val="2"/>
      </w:pPr>
      <w:r>
        <w:rPr>
          <w:sz w:val="28"/>
          <w:b/>
        </w:rPr>
        <w:t>2.</w:t>
      </w:r>
      <w:r>
        <w:rPr>
          <w:sz w:val="28"/>
          <w:b/>
        </w:rPr>
        <w:t>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509"/>
        <w:gridCol w:w="593"/>
        <w:gridCol w:w="6611"/>
      </w:tblGrid>
      <w:tr>
        <w:tc>
          <w:tcPr>
            <w:tcW w:type="dxa" w:w="593"/>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参数性质</w:t>
            </w:r>
          </w:p>
        </w:tc>
        <w:tc>
          <w:tcPr>
            <w:tcW w:type="dxa" w:w="50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编号</w:t>
            </w:r>
          </w:p>
        </w:tc>
        <w:tc>
          <w:tcPr>
            <w:tcW w:type="dxa" w:w="59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内容明细</w:t>
            </w:r>
          </w:p>
        </w:tc>
        <w:tc>
          <w:tcPr>
            <w:tcW w:type="dxa" w:w="66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rPr>
              <w:t>内容说明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软件安全性</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产品通过第三方机构安全性测试，且测试内容包含漏洞扫描测试。验收时须提供相关测试合格报告。</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培训要求</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采购人认为培训是保证项目成功的一个重要手段，因此为了保证软件顺利完成，投标人需要准备一份完整的培训计划，对采购人各类人员进行相关的培训，包括现场培训和集中培训等多种方式。</w:t>
            </w:r>
          </w:p>
          <w:p>
            <w:pPr>
              <w:pStyle w:val="null3"/>
              <w:jc w:val="both"/>
            </w:pPr>
            <w:r>
              <w:rPr>
                <w:sz w:val="21"/>
              </w:rPr>
              <w:t>培训要求</w:t>
            </w:r>
          </w:p>
          <w:p>
            <w:pPr>
              <w:pStyle w:val="null3"/>
              <w:jc w:val="both"/>
            </w:pPr>
            <w:r>
              <w:rPr>
                <w:sz w:val="21"/>
              </w:rPr>
              <w:t>1.</w:t>
            </w:r>
            <w:r>
              <w:rPr>
                <w:sz w:val="21"/>
              </w:rPr>
              <w:t>投标人须提供系统使用方面的培训，包括对采购人和系统管理人员的培训，有关系统使用的培训课程，培训应该在交付验收前进行。</w:t>
            </w:r>
          </w:p>
          <w:p>
            <w:pPr>
              <w:pStyle w:val="null3"/>
              <w:jc w:val="both"/>
            </w:pPr>
            <w:r>
              <w:rPr>
                <w:sz w:val="21"/>
              </w:rPr>
              <w:t>2.</w:t>
            </w:r>
            <w:r>
              <w:rPr>
                <w:sz w:val="21"/>
              </w:rPr>
              <w:t>投标人需针对用户的角色提供培训课程，如系统管理员、普通用户、领导等角色，安排不同的培训课程。</w:t>
            </w:r>
          </w:p>
          <w:p>
            <w:pPr>
              <w:pStyle w:val="null3"/>
              <w:jc w:val="both"/>
            </w:pPr>
            <w:r>
              <w:rPr>
                <w:sz w:val="21"/>
              </w:rPr>
              <w:t>3.</w:t>
            </w:r>
            <w:r>
              <w:rPr>
                <w:sz w:val="21"/>
              </w:rPr>
              <w:t>对于所有培训，投标人须派出具有相应专业资格和实际工作经验的辅导人员进行培训，培训所使用的语言须是中文，否则投标人须提供相应的翻译。</w:t>
            </w:r>
          </w:p>
          <w:p>
            <w:pPr>
              <w:pStyle w:val="null3"/>
              <w:jc w:val="both"/>
            </w:pPr>
            <w:r>
              <w:rPr>
                <w:sz w:val="21"/>
              </w:rPr>
              <w:t>4.</w:t>
            </w:r>
            <w:r>
              <w:rPr>
                <w:sz w:val="21"/>
              </w:rPr>
              <w:t>培训费用（教材费、讲课费等培训组织相关费用）计入总价。</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维保要求</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保修期：3年。</w:t>
            </w:r>
          </w:p>
          <w:p>
            <w:pPr>
              <w:pStyle w:val="null3"/>
              <w:jc w:val="both"/>
            </w:pPr>
            <w:r>
              <w:rPr>
                <w:sz w:val="21"/>
              </w:rPr>
              <w:t>维保期内服务要求：</w:t>
            </w:r>
          </w:p>
          <w:p>
            <w:pPr>
              <w:pStyle w:val="null3"/>
              <w:jc w:val="both"/>
            </w:pPr>
            <w:r>
              <w:rPr>
                <w:sz w:val="21"/>
              </w:rPr>
              <w:t>1.</w:t>
            </w:r>
            <w:r>
              <w:rPr>
                <w:sz w:val="21"/>
              </w:rPr>
              <w:t>供应商应有良好的服务理念和完善的售后服务体系，能够提供本地技术服务。</w:t>
            </w:r>
          </w:p>
          <w:p>
            <w:pPr>
              <w:pStyle w:val="null3"/>
              <w:jc w:val="both"/>
            </w:pPr>
            <w:r>
              <w:rPr>
                <w:sz w:val="21"/>
              </w:rPr>
              <w:t xml:space="preserve">2. </w:t>
            </w:r>
            <w:r>
              <w:rPr>
                <w:sz w:val="21"/>
              </w:rPr>
              <w:t>针对本项目，提出完整而切实可行的服务方案。其中，至少应提供7×24小时热线电话、远程网络、现场等服务方式。热线电话和远程网络提供技术咨询和即时服务，7×24小时响应，48小时内解决常规问题；现场服务适用于排解重大故障，到现场时间视具体情况决定</w:t>
            </w:r>
          </w:p>
          <w:p>
            <w:pPr>
              <w:pStyle w:val="null3"/>
              <w:jc w:val="both"/>
            </w:pPr>
            <w:r>
              <w:rPr>
                <w:sz w:val="21"/>
              </w:rPr>
              <w:t xml:space="preserve">3. </w:t>
            </w:r>
            <w:r>
              <w:rPr>
                <w:sz w:val="21"/>
              </w:rPr>
              <w:t>质保期：应用软件从项目分期验收通过之日起软件3年。质保期内，应用软件升级、维护均免费。</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报价要求</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投标人需提供总报价。报价应为已经包括了运送到指定地点并完成调试安装交付正常使用的所有费用。货物报价不得高于预算价，报价高于预算价按投标无效处理。</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违约责任</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按双方签订合同约定执行。</w:t>
            </w:r>
          </w:p>
          <w:p>
            <w:pPr>
              <w:pStyle w:val="null3"/>
              <w:jc w:val="both"/>
            </w:pPr>
            <w:r>
              <w:rPr>
                <w:sz w:val="21"/>
              </w:rPr>
              <w:t xml:space="preserve">2) </w:t>
            </w:r>
            <w:r>
              <w:rPr>
                <w:sz w:val="21"/>
              </w:rPr>
              <w:t>其它违约责任按《中华人民共和国民法典》处理。</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兼容性要求</w:t>
            </w:r>
          </w:p>
        </w:tc>
        <w:tc>
          <w:tcPr>
            <w:tcW w:type="dxa" w:w="6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根据采购人信息化建设和环境需要，软件应与国产计算机操作软件、国产数据库软件、国产服务器操作软件、国产中间件软件兼容。</w:t>
            </w:r>
          </w:p>
          <w:p>
            <w:pPr>
              <w:pStyle w:val="null3"/>
              <w:jc w:val="both"/>
            </w:pPr>
          </w:p>
        </w:tc>
      </w:tr>
    </w:tbl>
    <w:p>
      <w:pPr>
        <w:pStyle w:val="null3"/>
        <w:jc w:val="both"/>
        <w:outlineLvl w:val="2"/>
      </w:pPr>
      <w:r>
        <w:rPr>
          <w:sz w:val="28"/>
          <w:b/>
        </w:rPr>
        <w:t>3.</w:t>
      </w:r>
      <w:r>
        <w:rPr>
          <w:sz w:val="28"/>
          <w:b/>
        </w:rPr>
        <w:t>技术参数要求</w:t>
      </w:r>
    </w:p>
    <w:tbl>
      <w:tblPr>
        <w:tblW w:w="0" w:type="auto"/>
        <w:tblBorders>
          <w:top w:val="single"/>
          <w:left w:val="single"/>
          <w:bottom w:val="single"/>
          <w:right w:val="single"/>
          <w:insideH w:val="single"/>
          <w:insideV w:val="single"/>
        </w:tblBorders>
      </w:tblPr>
      <w:tblGrid>
        <w:gridCol w:w="671"/>
        <w:gridCol w:w="1510"/>
        <w:gridCol w:w="6125"/>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635"/>
            <w:gridSpan w:val="2"/>
            <w:tcBorders>
              <w:top w:val="singl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r>
              <w:rPr>
                <w:sz w:val="21"/>
              </w:rPr>
              <w:t>药师审方干预功能要求</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功能</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功能描述</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审方时机和过程</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软件可以为药师提供专门的审方工作平台，帮助门诊药师在患者缴费前完成门诊处方实时审查、住院药师在护士领药前完成住院医嘱审查。软件先自动审查出问题处方（医嘱），再由药师人工审查，审查过程中药师可以与医生实时互动，直到处方（医嘱）通过。必要时，药师可同时接收门诊、住院任务。</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审方干预功能</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outlineLvl w:val="3"/>
            </w:pPr>
            <w:r>
              <w:rPr>
                <w:sz w:val="24"/>
                <w:b/>
              </w:rPr>
              <w:t>▲</w:t>
            </w:r>
            <w:r>
              <w:rPr>
                <w:sz w:val="21"/>
                <w:b/>
              </w:rPr>
              <w:t xml:space="preserve">1)  </w:t>
            </w:r>
            <w:r>
              <w:rPr>
                <w:sz w:val="21"/>
                <w:b/>
              </w:rPr>
              <w:t>药师审查时，可在审查界面一体化查看当前处方（医嘱）历史干预记录，如医生操作、用药理由、现有软件合理用药的审查结果等。</w:t>
            </w:r>
          </w:p>
          <w:p>
            <w:pPr>
              <w:pStyle w:val="null3"/>
              <w:jc w:val="left"/>
              <w:outlineLvl w:val="3"/>
            </w:pPr>
            <w:r>
              <w:rPr>
                <w:sz w:val="21"/>
                <w:b/>
              </w:rPr>
              <w:t>2)</w:t>
            </w:r>
            <w:r>
              <w:rPr>
                <w:sz w:val="21"/>
                <w:b/>
              </w:rPr>
              <w:t>药师审查时可查看当前处方（医嘱）历史修改版本信息。</w:t>
            </w:r>
          </w:p>
          <w:p>
            <w:pPr>
              <w:pStyle w:val="null3"/>
              <w:jc w:val="left"/>
              <w:outlineLvl w:val="3"/>
            </w:pPr>
            <w:r>
              <w:rPr>
                <w:sz w:val="21"/>
                <w:b/>
              </w:rPr>
              <w:t>3)</w:t>
            </w:r>
            <w:r>
              <w:rPr>
                <w:sz w:val="21"/>
                <w:b/>
              </w:rPr>
              <w:t>药师可选择审核意见中的重点文字变色处理后发给医生。药师还可预设常用问题模板。</w:t>
            </w:r>
          </w:p>
          <w:p>
            <w:pPr>
              <w:pStyle w:val="null3"/>
              <w:jc w:val="left"/>
              <w:outlineLvl w:val="3"/>
            </w:pPr>
            <w:r>
              <w:rPr>
                <w:sz w:val="21"/>
                <w:b/>
              </w:rPr>
              <w:t>4)</w:t>
            </w:r>
            <w:r>
              <w:rPr>
                <w:sz w:val="21"/>
                <w:b/>
              </w:rPr>
              <w:t>若一张处方（医嘱）通过前有多个修改版本，软件可以标记每个版本的处置状态。</w:t>
            </w:r>
          </w:p>
          <w:p>
            <w:pPr>
              <w:pStyle w:val="null3"/>
              <w:jc w:val="left"/>
            </w:pPr>
            <w:r>
              <w:rPr>
                <w:sz w:val="21"/>
                <w:b/>
              </w:rPr>
              <w:t>▲</w:t>
            </w:r>
            <w:r>
              <w:rPr>
                <w:sz w:val="21"/>
              </w:rPr>
              <w:t>5</w:t>
            </w:r>
            <w:r>
              <w:rPr>
                <w:sz w:val="21"/>
              </w:rPr>
              <w:t>）软件支持根据医生提交至药师处的中药处方智能检索近似经典方剂供药师参考。</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质量评价功能</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outlineLvl w:val="3"/>
            </w:pPr>
            <w:r>
              <w:rPr>
                <w:sz w:val="21"/>
                <w:b/>
              </w:rPr>
              <w:t>1)</w:t>
            </w:r>
            <w:r>
              <w:rPr>
                <w:sz w:val="21"/>
                <w:b/>
              </w:rPr>
              <w:t>评价人可评估历史审核任务并设置问题推荐处置方案，供审方药师审核同一问题时参考。</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审方干预自定义功能</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1)</w:t>
            </w:r>
            <w:r>
              <w:rPr>
                <w:sz w:val="21"/>
              </w:rPr>
              <w:t>用户可将任意科室、医生、患者、疾病、药品设置为重点关注，可按科室、医生、患者、疾病、药品、问题类型、警示级别多条件组合设置重点关注，包含重点关注信息的处方由药师进行全面审查。</w:t>
            </w:r>
          </w:p>
          <w:p>
            <w:pPr>
              <w:pStyle w:val="null3"/>
              <w:ind w:left="420"/>
              <w:jc w:val="left"/>
            </w:pPr>
            <w:r>
              <w:rPr>
                <w:sz w:val="21"/>
              </w:rPr>
              <w:t>▲2)用户可设置双盲审方、单盲审方，在需要时隐藏医生、药师信息。</w:t>
            </w:r>
          </w:p>
          <w:p>
            <w:pPr>
              <w:pStyle w:val="null3"/>
              <w:ind w:left="420"/>
              <w:jc w:val="left"/>
            </w:pPr>
            <w:r>
              <w:rPr>
                <w:sz w:val="21"/>
              </w:rPr>
              <w:t>3)</w:t>
            </w:r>
            <w:r>
              <w:rPr>
                <w:sz w:val="21"/>
              </w:rPr>
              <w:t>用户可根据使用习惯进行个性化设置，如任务提示音（支持上传），处置按钮顺序及样式，审方界面字体及颜色，发送给医生的常用语等。</w:t>
            </w:r>
          </w:p>
          <w:p>
            <w:pPr>
              <w:pStyle w:val="null3"/>
              <w:jc w:val="left"/>
            </w:pPr>
            <w:r>
              <w:rPr>
                <w:sz w:val="21"/>
              </w:rPr>
              <w:t>▲4）用户可设置自动干预模式，并设置医生填写用药理由的模式。药师不在岗时，软件自动干预，医生填写用药理由后方可执行，支持全院和分科室设置。</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患者信息查看</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 xml:space="preserve">1)  </w:t>
            </w:r>
            <w:r>
              <w:rPr>
                <w:sz w:val="21"/>
              </w:rPr>
              <w:t>药师审方界面：可查看患者基本信息、患者过敏史、手术信息、检验检查信息、会诊信息、病程记录，检验结果异常项可单独显示。可链接EMR软件查看患者详细信息。</w:t>
            </w:r>
          </w:p>
          <w:p>
            <w:pPr>
              <w:pStyle w:val="null3"/>
              <w:ind w:left="420"/>
              <w:jc w:val="left"/>
            </w:pPr>
            <w:r>
              <w:rPr>
                <w:sz w:val="21"/>
              </w:rPr>
              <w:t xml:space="preserve">2)  </w:t>
            </w:r>
            <w:r>
              <w:rPr>
                <w:sz w:val="21"/>
              </w:rPr>
              <w:t>可标记门诊特殊病人。</w:t>
            </w:r>
          </w:p>
          <w:p>
            <w:pPr>
              <w:pStyle w:val="null3"/>
              <w:ind w:left="420"/>
              <w:jc w:val="left"/>
            </w:pPr>
            <w:r>
              <w:rPr>
                <w:sz w:val="21"/>
              </w:rPr>
              <w:t xml:space="preserve">3)  </w:t>
            </w:r>
            <w:r>
              <w:rPr>
                <w:sz w:val="21"/>
              </w:rPr>
              <w:t>可标记慢病处方。</w:t>
            </w:r>
          </w:p>
          <w:p>
            <w:pPr>
              <w:pStyle w:val="null3"/>
              <w:ind w:left="420"/>
              <w:jc w:val="left"/>
            </w:pPr>
            <w:r>
              <w:rPr>
                <w:sz w:val="21"/>
              </w:rPr>
              <w:t xml:space="preserve">4)  </w:t>
            </w:r>
            <w:r>
              <w:rPr>
                <w:sz w:val="21"/>
              </w:rPr>
              <w:t>药师审查时可查看当前患者的其他处方。</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软件审查</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软件审查项目、规则等应与医生端审方软件保持一致，并能实现无缝对接，即药师端可查看医生端审方软件的详细审查结果信息，同时药师审核问题标准可按医生端审方软件的审查项目和问题级别进行设置。</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统计分析</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1)  </w:t>
            </w:r>
            <w:r>
              <w:rPr>
                <w:sz w:val="21"/>
              </w:rPr>
              <w:t>可以分别统计门诊、住院任务的审核率、干预率、合格率等重要指标，并可提供统计图。可按照科室、医生、药品、药师、药物类进行干预情况分类统计。</w:t>
            </w:r>
          </w:p>
          <w:p>
            <w:pPr>
              <w:pStyle w:val="null3"/>
              <w:jc w:val="left"/>
            </w:pPr>
            <w:r>
              <w:rPr>
                <w:sz w:val="21"/>
              </w:rPr>
              <w:t xml:space="preserve">2)  </w:t>
            </w:r>
            <w:r>
              <w:rPr>
                <w:sz w:val="21"/>
              </w:rPr>
              <w:t>可以统计每个药师的监测时长、审核工作量、干预工作量和干预有效率，并可提供统计图。</w:t>
            </w:r>
          </w:p>
          <w:p>
            <w:pPr>
              <w:pStyle w:val="null3"/>
              <w:jc w:val="left"/>
            </w:pPr>
            <w:r>
              <w:rPr>
                <w:sz w:val="21"/>
              </w:rPr>
              <w:t>▲3)    可以提供不合理问题统计分析，支持按时间、问题类型、警示等级等条件进行统计，并可生成统计图。可以查看在人工审方时药师主动添加的问题的发生次数、发生率。</w:t>
            </w:r>
          </w:p>
          <w:p>
            <w:pPr>
              <w:pStyle w:val="null3"/>
              <w:jc w:val="left"/>
            </w:pPr>
            <w:r>
              <w:rPr>
                <w:sz w:val="21"/>
              </w:rPr>
              <w:t xml:space="preserve">4)  </w:t>
            </w:r>
            <w:r>
              <w:rPr>
                <w:sz w:val="21"/>
              </w:rPr>
              <w:t>可以分科室、医生、药品、问题类型提供干预效果追踪，并以统计图的方式体现干预效果。</w:t>
            </w:r>
          </w:p>
          <w:p>
            <w:pPr>
              <w:pStyle w:val="null3"/>
              <w:jc w:val="left"/>
            </w:pPr>
            <w:r>
              <w:rPr>
                <w:sz w:val="21"/>
              </w:rPr>
              <w:t xml:space="preserve">5)  </w:t>
            </w:r>
            <w:r>
              <w:rPr>
                <w:sz w:val="21"/>
              </w:rPr>
              <w:t>可按不同的处方（医嘱）通过状态进行统计，并可生成统计图。</w:t>
            </w:r>
          </w:p>
          <w:p>
            <w:pPr>
              <w:pStyle w:val="null3"/>
              <w:jc w:val="left"/>
            </w:pPr>
            <w:r>
              <w:rPr>
                <w:sz w:val="21"/>
              </w:rPr>
              <w:t>6</w:t>
            </w:r>
            <w:r>
              <w:rPr>
                <w:sz w:val="21"/>
              </w:rPr>
              <w:t>） 医生端可通过用药自查，查看自身任务的审核干预相关统计数据。</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大屏展示功能</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▲软件应支持将重要审方指标通过图表在用户大屏上展示，提供案例截图。</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疾病相关审查管理</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一、系统能对处方（医嘱）用药进行以下疾病相关审查，并提示医生：</w:t>
            </w:r>
          </w:p>
          <w:p>
            <w:pPr>
              <w:pStyle w:val="null3"/>
              <w:jc w:val="left"/>
            </w:pPr>
            <w:r>
              <w:rPr>
                <w:sz w:val="21"/>
              </w:rPr>
              <w:t>（1）剂量审查：能审查肝肾功能不全患者的给药剂量是否在药品厂家说明书推荐范围内。</w:t>
            </w:r>
          </w:p>
          <w:p>
            <w:pPr>
              <w:pStyle w:val="null3"/>
              <w:jc w:val="left"/>
            </w:pPr>
            <w:r>
              <w:rPr>
                <w:sz w:val="21"/>
              </w:rPr>
              <w:t>（2）适应症审查：根据患者的疾病诊断信息、血压、体温等，审查处方（医嘱）中药品的适应症是否与患者的疾病情况相符。</w:t>
            </w:r>
          </w:p>
          <w:p>
            <w:pPr>
              <w:pStyle w:val="null3"/>
              <w:jc w:val="left"/>
            </w:pPr>
            <w:r>
              <w:rPr>
                <w:sz w:val="21"/>
              </w:rPr>
              <w:t>二、审查项目可支持以下规则自定义功能：</w:t>
            </w:r>
          </w:p>
          <w:p>
            <w:pPr>
              <w:pStyle w:val="null3"/>
              <w:jc w:val="left"/>
            </w:pPr>
            <w:r>
              <w:rPr>
                <w:sz w:val="21"/>
              </w:rPr>
              <w:t>（1）剂量：可以根据不同给药途径、年龄段、疾病状态、给药单位，自定义肝肾功能不全给药剂量。</w:t>
            </w:r>
          </w:p>
          <w:p>
            <w:pPr>
              <w:pStyle w:val="null3"/>
              <w:jc w:val="left"/>
            </w:pPr>
            <w:r>
              <w:rPr>
                <w:sz w:val="21"/>
              </w:rPr>
              <w:t>（2）适应症：可以自定义设置药品/品种适用或不适用的疾病诊断，可设置不同药品/品种的超适应症问题在不同科室的警示级别、警示信息，可设置审查规则来源。还可设置A、B两药/两品种联合使用时不进行A药/品种的超适应症审查；可结合检验检查项目、检验指标设置药品/品种的超适应症白名单。</w:t>
            </w:r>
          </w:p>
        </w:tc>
      </w:tr>
    </w:tbl>
    <w:p>
      <w:pPr>
        <w:pStyle w:val="null3"/>
        <w:ind w:firstLine="562"/>
        <w:jc w:val="both"/>
      </w:pPr>
      <w:r>
        <w:rPr>
          <w:sz w:val="28"/>
          <w:b/>
        </w:rPr>
        <w:t>4.</w:t>
      </w:r>
      <w:r>
        <w:rPr>
          <w:sz w:val="28"/>
          <w:b/>
        </w:rPr>
        <w:t>现场演示要求：</w:t>
      </w:r>
    </w:p>
    <w:p>
      <w:pPr>
        <w:pStyle w:val="null3"/>
        <w:ind w:firstLine="420"/>
        <w:jc w:val="both"/>
      </w:pPr>
      <w:r>
        <w:rPr>
          <w:sz w:val="21"/>
        </w:rPr>
        <w:t>（1）演示的方式：本次现场实操演示属于成品软件演示。</w:t>
      </w:r>
      <w:r>
        <w:rPr>
          <w:sz w:val="24"/>
        </w:rPr>
        <w:t>PPT</w:t>
      </w:r>
      <w:r>
        <w:rPr>
          <w:sz w:val="24"/>
        </w:rPr>
        <w:t>、视频等非系统演示不得分。</w:t>
      </w:r>
    </w:p>
    <w:p>
      <w:pPr>
        <w:pStyle w:val="null3"/>
        <w:ind w:firstLine="420"/>
        <w:jc w:val="both"/>
      </w:pPr>
      <w:r>
        <w:rPr>
          <w:sz w:val="21"/>
        </w:rPr>
        <w:t>（2）演示的内容：_</w:t>
      </w:r>
    </w:p>
    <w:p>
      <w:pPr>
        <w:pStyle w:val="null3"/>
        <w:ind w:left="645"/>
        <w:jc w:val="both"/>
      </w:pPr>
      <w:r>
        <w:rPr>
          <w:sz w:val="21"/>
        </w:rPr>
        <w:t>1</w:t>
      </w:r>
      <w:r>
        <w:rPr>
          <w:sz w:val="21"/>
        </w:rPr>
        <w:t>、 药师可以根据不同任务情况选择医生处方（医嘱）直接双签通过还是需要药师复核。</w:t>
      </w:r>
    </w:p>
    <w:p>
      <w:pPr>
        <w:pStyle w:val="null3"/>
        <w:ind w:left="645"/>
        <w:jc w:val="both"/>
      </w:pPr>
      <w:r>
        <w:rPr>
          <w:sz w:val="21"/>
        </w:rPr>
        <w:t>2</w:t>
      </w:r>
      <w:r>
        <w:rPr>
          <w:sz w:val="21"/>
        </w:rPr>
        <w:t>、 软件提供多种筛选方案设置功能，进行待评价任务筛选。评价人可对每个任务输入审核意见并打分。</w:t>
      </w:r>
    </w:p>
    <w:p>
      <w:pPr>
        <w:pStyle w:val="null3"/>
        <w:ind w:firstLine="420"/>
        <w:jc w:val="both"/>
      </w:pPr>
      <w:r>
        <w:rPr>
          <w:sz w:val="21"/>
        </w:rPr>
        <w:t>（3）演示的人数要求：不多于2人</w:t>
      </w:r>
    </w:p>
    <w:p>
      <w:pPr>
        <w:pStyle w:val="null3"/>
        <w:ind w:firstLine="420"/>
        <w:jc w:val="both"/>
      </w:pPr>
      <w:r>
        <w:rPr>
          <w:sz w:val="21"/>
        </w:rPr>
        <w:t>（4）演示的时间：最长不超过</w:t>
      </w:r>
      <w:r>
        <w:rPr>
          <w:sz w:val="21"/>
          <w:u w:val="single"/>
        </w:rPr>
        <w:t>10</w:t>
      </w:r>
      <w:r>
        <w:rPr>
          <w:sz w:val="21"/>
        </w:rPr>
        <w:t>分钟。</w:t>
      </w:r>
    </w:p>
    <w:p>
      <w:pPr>
        <w:pStyle w:val="null3"/>
        <w:ind w:firstLine="420"/>
        <w:jc w:val="both"/>
      </w:pPr>
      <w:r>
        <w:rPr>
          <w:sz w:val="21"/>
        </w:rPr>
        <w:t>（5）演示的顺序：按平台生成的“投标人（供应商）签到表”序号由小到大,确定演示顺序。</w:t>
      </w:r>
    </w:p>
    <w:p>
      <w:pPr>
        <w:pStyle w:val="null3"/>
        <w:ind w:firstLine="420"/>
        <w:jc w:val="both"/>
      </w:pPr>
      <w:r>
        <w:rPr>
          <w:sz w:val="21"/>
        </w:rPr>
        <w:t>（6）演示的签到：参加演示的供应商须在投标（首次响应）截止时间前半小时内到三楼开评标区（地址：广州市越秀区越华路112号珠江国际大厦3楼）进行演示报到，并在《演示(述标)报到表》签到确认。请供应商务必在规定的时间内自行到三楼开评标区演示报到，未在规定时间内参加演示签到确认的，视同放弃参加演示。演示签到具体房间请进评标区后咨询现场工作人员。签到后请按照采购中心现场工作人员指引在指定的时间和地点、等候演示。</w:t>
      </w:r>
    </w:p>
    <w:p>
      <w:pPr>
        <w:pStyle w:val="null3"/>
        <w:ind w:firstLine="420"/>
        <w:jc w:val="both"/>
      </w:pPr>
      <w:r>
        <w:rPr>
          <w:sz w:val="21"/>
        </w:rPr>
        <w:t>（7）评审现场仅提供电源及投影设备（HDMI接口），其他演示需要的延长插座、设备及网络条件等请供应商自行准备。</w:t>
      </w:r>
    </w:p>
    <w:p>
      <w:pPr>
        <w:pStyle w:val="null3"/>
      </w:pPr>
      <w:r>
        <w:rPr>
          <w:sz w:val="21"/>
        </w:rPr>
        <w:t>（8）其它注意事项：演示期间，不得谈及与项目或提问无关的内容，严禁以任何形式向评标委员会（评审小组）明示或暗示任何影响公正评审的内容，否则一经发现将依法处理。</w:t>
      </w:r>
    </w:p>
    <w:p>
      <w:pPr>
        <w:pStyle w:val="null3"/>
      </w:pPr>
      <w:r>
        <w:rPr/>
        <w:t>采购包1（体检管理软件）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合同签订后，在数据配对完成、服务器满足运行环境要求、成交人自进场之日起6个月内安装、调试、培训完毕并交付使用。</w:t>
            </w:r>
          </w:p>
        </w:tc>
      </w:tr>
      <w:tr>
        <w:tc>
          <w:tcPr>
            <w:tcW w:type="dxa" w:w="4153"/>
          </w:tcPr>
          <w:p>
            <w:pPr>
              <w:pStyle w:val="null3"/>
            </w:pPr>
            <w:r>
              <w:rPr/>
              <w:t>标的提供的地点</w:t>
            </w:r>
          </w:p>
        </w:tc>
        <w:tc>
          <w:tcPr>
            <w:tcW w:type="dxa" w:w="4153"/>
          </w:tcPr>
          <w:p>
            <w:pPr>
              <w:pStyle w:val="null3"/>
            </w:pPr>
            <w:r>
              <w:rPr/>
              <w:t>成交人负责将产品按照采购方指定地点（五华县人民医院），产品需要安装调试的应及时安装调试，并承担由此产生的全部等费用。</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第1期为(预付款)：支付比例50%，合同生效后，自收到完税发票之日起10日内，支付合同款50%。</w:t>
            </w:r>
          </w:p>
          <w:p>
            <w:pPr>
              <w:pStyle w:val="null3"/>
            </w:pPr>
            <w:r>
              <w:rPr/>
              <w:t>第2期为(尾款)：支付比例50%，项目验收合格，双方签署验收报告后，自收到完税发票之日起10日内，支付合同款50%。。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1期：1.软件安装时，成交人应提供设备的最新型号和软件的最新版本。 2.成交人必须在合同规定的时间内，以完工验收申请报告形式书面通知采购人以声明整个软件安装集成完毕，采购人确认申请报告的第三个工作日为验收测试开始日。 3.验收合格后由成交人出具测试报告，成交人和采购人代表签字并加盖公章。</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应用软件</w:t>
            </w:r>
          </w:p>
        </w:tc>
        <w:tc>
          <w:tcPr>
            <w:tcW w:type="dxa" w:w="933"/>
          </w:tcPr>
          <w:p>
            <w:pPr>
              <w:pStyle w:val="null3"/>
              <w:jc w:val="left"/>
            </w:pPr>
            <w:r>
              <w:rPr/>
              <w:t>远程诊疗系统（体检管理软件）</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1,200,000.00</w:t>
            </w:r>
          </w:p>
        </w:tc>
        <w:tc>
          <w:tcPr>
            <w:tcW w:type="dxa" w:w="933"/>
          </w:tcPr>
          <w:p>
            <w:pPr>
              <w:pStyle w:val="null3"/>
              <w:jc w:val="right"/>
            </w:pPr>
            <w:r>
              <w:rPr/>
              <w:t>1,200,000.00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远程诊疗系统（体检管理软件）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采购包2（药师审方干预软件）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合同签订后，在数据配对完成、服务器满足运行环境要求、成交人自进场之日起6个月内安装、调试、培训完毕并交付使用</w:t>
            </w:r>
          </w:p>
        </w:tc>
      </w:tr>
      <w:tr>
        <w:tc>
          <w:tcPr>
            <w:tcW w:type="dxa" w:w="4153"/>
          </w:tcPr>
          <w:p>
            <w:pPr>
              <w:pStyle w:val="null3"/>
            </w:pPr>
            <w:r>
              <w:rPr/>
              <w:t>标的提供的地点</w:t>
            </w:r>
          </w:p>
        </w:tc>
        <w:tc>
          <w:tcPr>
            <w:tcW w:type="dxa" w:w="4153"/>
          </w:tcPr>
          <w:p>
            <w:pPr>
              <w:pStyle w:val="null3"/>
            </w:pPr>
            <w:r>
              <w:rPr/>
              <w:t>成交人负责将产品按照采购方指定地点（五华县人民医院），产品需要安装调试的应及时安装调试，并承担由此产生的全部等费用。</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第1期为(预付款)：支付比例50%，合同生效后，自收到完税发票之日起10日内，支付合同款50%。</w:t>
            </w:r>
          </w:p>
          <w:p>
            <w:pPr>
              <w:pStyle w:val="null3"/>
            </w:pPr>
            <w:r>
              <w:rPr/>
              <w:t>第2期为(尾款)：支付比例50%，项目验收合格，双方签署验收报告后，自收到完税发票之日起10日内，支付合同款50%。。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1期：1.软件安装时，成交人应提供设备的最新型号和软件的最新版本。 2.成交人必须在合同规定的时间内，以完工验收申请报告形式书面通知采购人以声明整个软件安装集成完毕，采购人确认申请报告的第三个工作日为验收测试开始日。 3.验收合格后由成交人出具测试报告，成交人和采购人代表签字并加盖公章。</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应用软件</w:t>
            </w:r>
          </w:p>
        </w:tc>
        <w:tc>
          <w:tcPr>
            <w:tcW w:type="dxa" w:w="933"/>
          </w:tcPr>
          <w:p>
            <w:pPr>
              <w:pStyle w:val="null3"/>
              <w:jc w:val="left"/>
            </w:pPr>
            <w:r>
              <w:rPr/>
              <w:t>远程诊疗系统（药师审方干预软件）</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680,000.00</w:t>
            </w:r>
          </w:p>
        </w:tc>
        <w:tc>
          <w:tcPr>
            <w:tcW w:type="dxa" w:w="933"/>
          </w:tcPr>
          <w:p>
            <w:pPr>
              <w:pStyle w:val="null3"/>
              <w:jc w:val="right"/>
            </w:pPr>
            <w:r>
              <w:rPr/>
              <w:t>680,000.00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远程诊疗系统（药师审方干预软件）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报价人可以同时对一个或多个包组进行投标，但最终只允许成为一个包组的成交候选人。本项目按照包组顺序（1-2）进行评审，已成为前面包组的第一成交候选人将不能通过后面包组的符合性审查。</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采购包1(体检管理软件)：综合评分法,是指响应文件满足磋商文件全部实质性要求，且按照评审因素的量化指标评审得分最高的投标人为成交候选人的评标方法。（最低报价不是成交的唯一依据。）</w:t>
      </w:r>
    </w:p>
    <w:p>
      <w:pPr>
        <w:pStyle w:val="null3"/>
      </w:pPr>
      <w:r>
        <w:rPr/>
        <w:t>采购包2(药师审方干预软件)：综合评分法,是指响应文件满足磋商文件全部实质性要求，且按照评审因素的量化指标评审得分最高的投标人为成交候选人的评标方法。（最低报价不是成交的唯一依据。）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采购包1（体检管理软件）：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采购包2（药师审方干预软件）：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采购包1（体检管理软件）：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①经会计师事务所审计的2023年度或2024年度财务状况报告； ②同时提供a.基本开户行出具的资信证明，b.《基本存款账号信息》或《开户许可证》 ）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本项目专门面对中小企业采购。供应商须符合本项目采购标的对应行业（软件和信息技术服务业）政策划分标准的中小企业。首次响应文件须提交供应商的《中小企业声明函（货物）》 注：监狱企业、残疾人福利单位视同小型、微型企业。中小企业以《中小企业声明函（货物）》（见报价格式）为判定标准，残疾人福利性单位填写的《残疾人福利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pPr>
      <w:r>
        <w:rPr/>
        <w:t>采购包2（药师审方干预软件）：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①经会计师事务所审计的2023年度或2024年度财务状况报告； ②同时提供a.基本开户行出具的资信证明，b.《基本存款账号信息》或《开户许可证》 ）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本项目专门面对中小企业采购。供应商须符合本项目采购标的对应行业（软件和信息技术服务业）政策划分标准的中小企业。首次响应文件须提交供应商的《中小企业声明函（货物）》 注：监狱企业、残疾人福利单位视同小型、微型企业。中小企业以《中小企业声明函（货物）》（见报价格式）为判定标准，残疾人福利性单位填写的《残疾人福利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采购包1（体检管理软件）：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提交响应承诺函。响应承诺函按规定格式填写，内容完整。</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7</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r>
      <w:tr>
        <w:tc>
          <w:tcPr>
            <w:tcW w:type="dxa" w:w="890"/>
          </w:tcPr>
          <w:p>
            <w:pPr>
              <w:pStyle w:val="null3"/>
            </w:pPr>
            <w:r>
              <w:rPr/>
              <w:t>8</w:t>
            </w:r>
          </w:p>
        </w:tc>
        <w:tc>
          <w:tcPr>
            <w:tcW w:type="dxa" w:w="3178"/>
          </w:tcPr>
          <w:p>
            <w:pPr>
              <w:pStyle w:val="null3"/>
            </w:pPr>
            <w:r>
              <w:rPr/>
              <w:t>未以联合体形式报价。</w:t>
            </w:r>
          </w:p>
        </w:tc>
        <w:tc>
          <w:tcPr>
            <w:tcW w:type="dxa" w:w="4238"/>
          </w:tcPr>
          <w:p>
            <w:pPr>
              <w:pStyle w:val="null3"/>
            </w:pPr>
            <w:r>
              <w:rPr/>
              <w:t>未以联合体形式报价。</w:t>
            </w:r>
          </w:p>
        </w:tc>
      </w:tr>
      <w:tr>
        <w:tc>
          <w:tcPr>
            <w:tcW w:type="dxa" w:w="890"/>
          </w:tcPr>
          <w:p>
            <w:pPr>
              <w:pStyle w:val="null3"/>
            </w:pPr>
            <w:r>
              <w:rPr/>
              <w:t>9</w:t>
            </w:r>
          </w:p>
        </w:tc>
        <w:tc>
          <w:tcPr>
            <w:tcW w:type="dxa" w:w="3178"/>
          </w:tcPr>
          <w:p>
            <w:pPr>
              <w:pStyle w:val="null3"/>
            </w:pPr>
            <w:r>
              <w:rPr/>
              <w:t>所投产品非进口产品</w:t>
            </w:r>
          </w:p>
        </w:tc>
        <w:tc>
          <w:tcPr>
            <w:tcW w:type="dxa" w:w="4238"/>
          </w:tcPr>
          <w:p>
            <w:pPr>
              <w:pStyle w:val="null3"/>
            </w:pPr>
            <w:r>
              <w:rPr/>
              <w:t>所投产品非进口产品</w:t>
            </w:r>
          </w:p>
        </w:tc>
      </w:tr>
    </w:tbl>
    <w:p>
      <w:pPr>
        <w:pStyle w:val="null3"/>
      </w:pPr>
      <w:r>
        <w:rPr/>
        <w:t>采购包2（药师审方干预软件）：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提交响应承诺函。响应承诺函按规定格式填写，内容完整。</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7</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r>
      <w:tr>
        <w:tc>
          <w:tcPr>
            <w:tcW w:type="dxa" w:w="890"/>
          </w:tcPr>
          <w:p>
            <w:pPr>
              <w:pStyle w:val="null3"/>
            </w:pPr>
            <w:r>
              <w:rPr/>
              <w:t>8</w:t>
            </w:r>
          </w:p>
        </w:tc>
        <w:tc>
          <w:tcPr>
            <w:tcW w:type="dxa" w:w="3178"/>
          </w:tcPr>
          <w:p>
            <w:pPr>
              <w:pStyle w:val="null3"/>
            </w:pPr>
            <w:r>
              <w:rPr/>
              <w:t>未以联合体形式报价。</w:t>
            </w:r>
          </w:p>
        </w:tc>
        <w:tc>
          <w:tcPr>
            <w:tcW w:type="dxa" w:w="4238"/>
          </w:tcPr>
          <w:p>
            <w:pPr>
              <w:pStyle w:val="null3"/>
            </w:pPr>
            <w:r>
              <w:rPr/>
              <w:t>未以联合体形式报价。</w:t>
            </w:r>
          </w:p>
        </w:tc>
      </w:tr>
      <w:tr>
        <w:tc>
          <w:tcPr>
            <w:tcW w:type="dxa" w:w="890"/>
          </w:tcPr>
          <w:p>
            <w:pPr>
              <w:pStyle w:val="null3"/>
            </w:pPr>
            <w:r>
              <w:rPr/>
              <w:t>9</w:t>
            </w:r>
          </w:p>
        </w:tc>
        <w:tc>
          <w:tcPr>
            <w:tcW w:type="dxa" w:w="3178"/>
          </w:tcPr>
          <w:p>
            <w:pPr>
              <w:pStyle w:val="null3"/>
            </w:pPr>
            <w:r>
              <w:rPr/>
              <w:t>所投产品非进口产品</w:t>
            </w:r>
          </w:p>
        </w:tc>
        <w:tc>
          <w:tcPr>
            <w:tcW w:type="dxa" w:w="4238"/>
          </w:tcPr>
          <w:p>
            <w:pPr>
              <w:pStyle w:val="null3"/>
            </w:pPr>
            <w:r>
              <w:rPr/>
              <w:t>所投产品非进口产品</w:t>
            </w:r>
          </w:p>
        </w:tc>
      </w:tr>
      <w:tr>
        <w:tc>
          <w:tcPr>
            <w:tcW w:type="dxa" w:w="890"/>
          </w:tcPr>
          <w:p>
            <w:pPr>
              <w:pStyle w:val="null3"/>
            </w:pPr>
            <w:r>
              <w:rPr/>
              <w:t>10</w:t>
            </w:r>
          </w:p>
        </w:tc>
        <w:tc>
          <w:tcPr>
            <w:tcW w:type="dxa" w:w="3178"/>
          </w:tcPr>
          <w:p>
            <w:pPr>
              <w:pStyle w:val="null3"/>
            </w:pPr>
            <w:r>
              <w:rPr/>
              <w:t>未成为前面包组的第一成交候选人。</w:t>
            </w:r>
          </w:p>
        </w:tc>
        <w:tc>
          <w:tcPr>
            <w:tcW w:type="dxa" w:w="4238"/>
          </w:tcPr>
          <w:p>
            <w:pPr>
              <w:pStyle w:val="null3"/>
            </w:pPr>
            <w:r>
              <w:rPr/>
              <w:t>未成为前面包组的第一成交候选人。</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采购包1(体检管理软件):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重要技术参数响应情况(标注▲号) (32.0分)</w:t>
            </w:r>
          </w:p>
        </w:tc>
        <w:tc>
          <w:tcPr>
            <w:tcW w:type="dxa" w:w="5076"/>
          </w:tcPr>
          <w:p>
            <w:pPr>
              <w:pStyle w:val="null3"/>
              <w:jc w:val="left"/>
            </w:pPr>
            <w:r>
              <w:rPr/>
              <w:t>“▲”项为重要条款，共16项，每有一项完全满足技术参数要求的得2分，共32分。 注：标注▲号的指标，需提供有软件界面截屏作为佐证材料，如果没有界面截屏，或者界面截屏与描述功能不一致的，按不满足处理。所有材料必须加盖供应商公章，无或未按要求提供的视为不满足则该项不得分。</w:t>
            </w:r>
          </w:p>
        </w:tc>
      </w:tr>
      <w:tr>
        <w:tc>
          <w:tcPr>
            <w:tcW w:type="dxa" w:w="922"/>
            <w:gridSpan w:val="2"/>
            <w:vMerge/>
          </w:tcPr>
          <w:p/>
        </w:tc>
        <w:tc>
          <w:tcPr>
            <w:tcW w:type="dxa" w:w="2307"/>
          </w:tcPr>
          <w:p>
            <w:pPr>
              <w:pStyle w:val="null3"/>
              <w:jc w:val="left"/>
            </w:pPr>
            <w:r>
              <w:rPr/>
              <w:t>普通技术参数（非“▲”项、非“★”项）响应情况 (9.0分)</w:t>
            </w:r>
          </w:p>
        </w:tc>
        <w:tc>
          <w:tcPr>
            <w:tcW w:type="dxa" w:w="5076"/>
          </w:tcPr>
          <w:p>
            <w:pPr>
              <w:pStyle w:val="null3"/>
              <w:jc w:val="left"/>
            </w:pPr>
            <w:r>
              <w:rPr/>
              <w:t>考查所投产品对普通技术参数（非“▲”项、非“★”项，详见“（二）技术参数要求”）的响应程度： 1.体检管理软件参数完全满足技术参数要求的，得2分。 2.检前预约软件参数完全满足技术参数要求的，得2分； 3.智能导检软件参数完全满足技术参数要求的，得2分； 4.检后健康管理软件参数完全满足技术参数要求的，得2分； 5.接口对接完全满足技术参数要求的，得1分。 注： （1）技术参数按《技术和服务要求响应表》进行填写。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软件产品性能测试证明 (2.0分)</w:t>
            </w:r>
          </w:p>
        </w:tc>
        <w:tc>
          <w:tcPr>
            <w:tcW w:type="dxa" w:w="5076"/>
          </w:tcPr>
          <w:p>
            <w:pPr>
              <w:pStyle w:val="null3"/>
              <w:jc w:val="left"/>
            </w:pPr>
            <w:r>
              <w:rPr/>
              <w:t>软件产品通过第三方机构安全性测试，且测试内容包含漏洞扫描测试。提供第三方检测报告或承诺产品验收时提供。符合要求得2分，不符合或未提供不得分。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对应采购需求 “培训要求”部分，针对本项目服务特点制定符合实际的服务响应方案： （1）完全满足且优于项目需求的得7分； （2）完全满足项目要求的得 5分； （3）不完全满足项目要求的得3分；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评委根据投标人提供自2021年1月1日以来的同类体检信息化采购项目业绩进行评审，投标文件每提供一份同类业绩得0.5分，满分4分。 注：同类业绩证明文件是投标人提供合同复印件关键页面证明材料，合同可以复印合同的关键页面，日期以合同签订时间为准。</w:t>
            </w:r>
          </w:p>
        </w:tc>
      </w:tr>
      <w:tr>
        <w:tc>
          <w:tcPr>
            <w:tcW w:type="dxa" w:w="922"/>
            <w:gridSpan w:val="2"/>
            <w:vMerge/>
          </w:tcPr>
          <w:p/>
        </w:tc>
        <w:tc>
          <w:tcPr>
            <w:tcW w:type="dxa" w:w="2307"/>
          </w:tcPr>
          <w:p>
            <w:pPr>
              <w:pStyle w:val="null3"/>
              <w:jc w:val="left"/>
            </w:pPr>
            <w:r>
              <w:rPr/>
              <w:t>软件产品资质证书 (2.0分)</w:t>
            </w:r>
          </w:p>
        </w:tc>
        <w:tc>
          <w:tcPr>
            <w:tcW w:type="dxa" w:w="5076"/>
          </w:tcPr>
          <w:p>
            <w:pPr>
              <w:pStyle w:val="null3"/>
              <w:jc w:val="left"/>
            </w:pPr>
            <w:r>
              <w:rPr/>
              <w:t>由评委对各投标人所投产品相关软件著作权进行评审 1.提供智慧体检相关功能软件著作权登记证书 2.提供智慧导检相关功能软件著作权登记证书 3.提供体检中心检后服务管理相关功能软件著作权证书 4.提供防伪体检系统相关功能软件著作权证书 注：每提供1项相关功能软件著作权证书得0.5分，满分2分：同一功能具备多个证书的，只计取一次分值；同一证书含有多个功能的，按功能数量计分。注：提供证明材料并加盖公章，未提供证明材料或未加盖公章的不得分。如证书功能名称不一致，但功能相同或相似的，投标人应提供说明，否则不得分。</w:t>
            </w:r>
          </w:p>
        </w:tc>
      </w:tr>
      <w:tr>
        <w:tc>
          <w:tcPr>
            <w:tcW w:type="dxa" w:w="922"/>
            <w:gridSpan w:val="2"/>
            <w:vMerge/>
          </w:tcPr>
          <w:p/>
        </w:tc>
        <w:tc>
          <w:tcPr>
            <w:tcW w:type="dxa" w:w="2307"/>
          </w:tcPr>
          <w:p>
            <w:pPr>
              <w:pStyle w:val="null3"/>
              <w:jc w:val="left"/>
            </w:pPr>
            <w:r>
              <w:rPr/>
              <w:t>质量管理体系认证 (1.0分)</w:t>
            </w:r>
          </w:p>
        </w:tc>
        <w:tc>
          <w:tcPr>
            <w:tcW w:type="dxa" w:w="5076"/>
          </w:tcPr>
          <w:p>
            <w:pPr>
              <w:pStyle w:val="null3"/>
              <w:jc w:val="left"/>
            </w:pPr>
            <w:r>
              <w:rPr/>
              <w:t>所投产品制造商应取得ISO9001质量管理体系认证（认证范围与信息系统相关），得1分 须同时提供认证证书复印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对应采购需求“维保要求”部分，针对本项目服务特点制定符合实际的服务响应方案： （1）完全满足且优于项目需求的得5 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项目管理团队 (3.0分)</w:t>
            </w:r>
          </w:p>
        </w:tc>
        <w:tc>
          <w:tcPr>
            <w:tcW w:type="dxa" w:w="5076"/>
          </w:tcPr>
          <w:p>
            <w:pPr>
              <w:pStyle w:val="null3"/>
              <w:jc w:val="left"/>
            </w:pPr>
            <w:r>
              <w:rPr/>
              <w:t>1.项目负责人（限1人）具有信息系统项目管理师证书（计算机技术与软件专业技术资格），提供证书复印件并加盖投标人公章；得0.5分；具有医疗信息化从业经验，提供工作履历证明并加盖投标人公章，得0.5分。 2.其它项目实施人员具有计算机、电子、通信工程专业本科或以上学历证书，提供证书复印件加盖投标人公章，每有1人得1分，本项最高2分。供应商如提供国（境）外学历证书的，须同时提供中文翻译及教育部留学服务中心出具的“国外学历学位认证书”，否则不得分。 1、2项备注：除按1、2项要求提供证明材料外，还须同时提供投标人自2025年1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软件兼容性证明 (4.0分)</w:t>
            </w:r>
          </w:p>
        </w:tc>
        <w:tc>
          <w:tcPr>
            <w:tcW w:type="dxa" w:w="5076"/>
          </w:tcPr>
          <w:p>
            <w:pPr>
              <w:pStyle w:val="null3"/>
              <w:jc w:val="left"/>
            </w:pPr>
            <w:r>
              <w:rPr/>
              <w:t>1、体检软件与国产计算机操作软件兼容性证书 2、体检软件与国产数据库软件兼容性证书 3、体检软件与国产服务器操作软件兼容性证书 4、体检软件与国产中间件软件兼容性证书 供应商提供证明材料复印件并加盖公章或承诺验收时提供（提供承诺函，函中需清晰注明兼容类型），每提供一项得1分，最高4分，不提供不得分。</w:t>
            </w:r>
          </w:p>
        </w:tc>
      </w:tr>
      <w:tr>
        <w:tc>
          <w:tcPr>
            <w:tcW w:type="dxa" w:w="922"/>
            <w:gridSpan w:val="2"/>
            <w:vMerge/>
          </w:tcPr>
          <w:p/>
        </w:tc>
        <w:tc>
          <w:tcPr>
            <w:tcW w:type="dxa" w:w="2307"/>
          </w:tcPr>
          <w:p>
            <w:pPr>
              <w:pStyle w:val="null3"/>
              <w:jc w:val="left"/>
            </w:pPr>
            <w:r>
              <w:rPr/>
              <w:t>三级等保证书 (1.0分)</w:t>
            </w:r>
          </w:p>
        </w:tc>
        <w:tc>
          <w:tcPr>
            <w:tcW w:type="dxa" w:w="5076"/>
          </w:tcPr>
          <w:p>
            <w:pPr>
              <w:pStyle w:val="null3"/>
              <w:jc w:val="left"/>
            </w:pPr>
            <w:r>
              <w:rPr/>
              <w:t>要求提供所投软件的三级等保证书，供应商提供证明材料复印件加盖公章或承诺验收时提供证明材料，得1分，不提供不得分。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采购包2(药师审方干预软件):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评标委员会根据投标人所投技术参数是否符合第二部分 采购项目内容“技术参数”进行评分， 1、标注▲号的重要技术参数共6项，每有一项完全满足或优于技术参数要求的得1.5分，全部完全响应或优于得9分。 2、未标注▲号的一般技术参数（非“▲”项、非“★”项，详见“技术参数要求”）共21项，每有一项完全满足或优于技术参数要求的得1分，共21分。 注： （1）技术参数按《技术和服务要求响应表》进行填写。 （2）采购需求书对于技术参数有要求提供证明材料的，还须按要求提供证明材料并加盖供应商公章，否则对应项不得分。</w:t>
            </w:r>
          </w:p>
        </w:tc>
      </w:tr>
      <w:tr>
        <w:tc>
          <w:tcPr>
            <w:tcW w:type="dxa" w:w="922"/>
            <w:gridSpan w:val="2"/>
            <w:vMerge/>
          </w:tcPr>
          <w:p/>
        </w:tc>
        <w:tc>
          <w:tcPr>
            <w:tcW w:type="dxa" w:w="2307"/>
          </w:tcPr>
          <w:p>
            <w:pPr>
              <w:pStyle w:val="null3"/>
              <w:jc w:val="left"/>
            </w:pPr>
            <w:r>
              <w:rPr/>
              <w:t>现场演示 (6.0分)</w:t>
            </w:r>
          </w:p>
        </w:tc>
        <w:tc>
          <w:tcPr>
            <w:tcW w:type="dxa" w:w="5076"/>
          </w:tcPr>
          <w:p>
            <w:pPr>
              <w:pStyle w:val="null3"/>
              <w:jc w:val="left"/>
            </w:pPr>
            <w:r>
              <w:rPr/>
              <w:t>投标人准备10分钟系统介绍及功能演示（PPT、视频等非系统演示不得分），功能演示点包括但不限于以下内容： 1.药师可以根据不同任务情况选择医生处方（医嘱）直接双签通过还是需要药师复核。 2.软件提供多种筛选方案设置功能，进行待评价任务筛选。评价人可对每个任务输入审核意见并打分。软件可自动生成任务评分表，并可导出到Excel。 以上功能，每具备1项得3分，最高得6分 。</w:t>
            </w:r>
          </w:p>
        </w:tc>
      </w:tr>
      <w:tr>
        <w:tc>
          <w:tcPr>
            <w:tcW w:type="dxa" w:w="922"/>
            <w:gridSpan w:val="2"/>
            <w:vMerge/>
          </w:tcPr>
          <w:p/>
        </w:tc>
        <w:tc>
          <w:tcPr>
            <w:tcW w:type="dxa" w:w="2307"/>
          </w:tcPr>
          <w:p>
            <w:pPr>
              <w:pStyle w:val="null3"/>
              <w:jc w:val="left"/>
            </w:pPr>
            <w:r>
              <w:rPr/>
              <w:t>软件安全性 (4.0分)</w:t>
            </w:r>
          </w:p>
        </w:tc>
        <w:tc>
          <w:tcPr>
            <w:tcW w:type="dxa" w:w="5076"/>
          </w:tcPr>
          <w:p>
            <w:pPr>
              <w:pStyle w:val="null3"/>
              <w:jc w:val="left"/>
            </w:pPr>
            <w:r>
              <w:rPr/>
              <w:t>投标产品通过第三方机构安全性测试，且测试内容包含漏洞扫描测试，须提供国家认可的具备评测资格的评测机构出具的测试报告复印件并加盖公章或承诺产品验收时提供，符合要求得4分，不符合或未提供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对应采购需求 “培训要求”部分，针对本项目服务特点制定符合实际的服务响应方案： （1）完全满足且优于项目需求的得5分； （2）完全满足项目要求的得 3分； （3）不完全满足项目要求的得 1分； （4）无方案的不得分。</w:t>
            </w:r>
          </w:p>
        </w:tc>
      </w:tr>
      <w:tr>
        <w:tc>
          <w:tcPr>
            <w:tcW w:type="dxa" w:w="922"/>
            <w:gridSpan w:val="2"/>
            <w:vMerge/>
          </w:tcPr>
          <w:p/>
        </w:tc>
        <w:tc>
          <w:tcPr>
            <w:tcW w:type="dxa" w:w="2307"/>
          </w:tcPr>
          <w:p>
            <w:pPr>
              <w:pStyle w:val="null3"/>
              <w:jc w:val="left"/>
            </w:pPr>
            <w:r>
              <w:rPr/>
              <w:t>项目技术人员配备 (10.0分)</w:t>
            </w:r>
          </w:p>
        </w:tc>
        <w:tc>
          <w:tcPr>
            <w:tcW w:type="dxa" w:w="5076"/>
          </w:tcPr>
          <w:p>
            <w:pPr>
              <w:pStyle w:val="null3"/>
              <w:jc w:val="left"/>
            </w:pPr>
            <w:r>
              <w:rPr/>
              <w:t>一、项目负责人： 1.项目负责人具有计算机技术与软件专业技术资格：信息系统项目管理师或系统分析师或系统架构设计师或系统规划与管理师证书得3分； 2.项目负责人具有计算机技术与软件专业技术资格：软件设计师或系统集成项目管理工程师或数据库系统工程师或信息系统监理师，得1分，只计算1次分值。 1.2项备注：本项最高得3分。评分依据：需提供相关证书复印件，加盖公章。 二、项目实施负责人（非项目负责人）： 1.项目实施负责人具备负责同类项目实施经验：每有1个同类项目实施经验得1分，最高5分。 同类项目是指：合理用药相关软件。需提供实施负责人所负责项目的合同关键信息和相应项目的最终用户盖章验收单复印件，项目合同或验收单应体现项目实施负责人的项目负责人或项目实施负责人身份，如未体现，还需投标人额外提供说明。证明材料加盖投标人公章。 三、拟投入项目团队成员（非项目负责人、项目实施负责人） 具有以下任一项计算机技术与软件专业技术资格证书：系统集成项目管理工程师证书、软件设计师证书、软件评测师证书，每提供1人得1分，同一人不重复计分，此项最多得2分。 评分依据：需提供团队成员相关证书复印件，加盖公章。 一、二、三项备注：除按上述要求提供证明材料外，还须同时提供投标人自2025年1月以来任意1个月为其缴纳社保（须至少体现养老保险）的证明材料的复印件为证明材料，未按要求提供相关材料或复印件不清晰导致无法识别的不计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1、2020年1月1日至今（以合同签订时间为准），投标人或投标产品制造商具有同类项目（合理用药相关软件）建设案例：每个案例得0.5分，最高3分。 评分依据：提供合同关键页及项目的最终用户的验收单复印件作为证明材料。 2、投标人或投标产品制造商具有成功通过高级别电子病历评级用户的同类项目（合理用药相关软件）建设案例： ①每提供一个5级案例得1分； ②每提供一个6级案例得2分； ③每提供一个7级或以上案例得3分； 上述案例累计计分，本项最高得7分。 评分依据：提供①国家卫生健康委公布的高级别电子病历评级通过的公告截图，截图中须清晰体现出案例医院名字和级别；②项目合同关键页和最终用户的项目验收单复印件作为证明材料。</w:t>
            </w:r>
          </w:p>
        </w:tc>
      </w:tr>
      <w:tr>
        <w:tc>
          <w:tcPr>
            <w:tcW w:type="dxa" w:w="922"/>
            <w:gridSpan w:val="2"/>
            <w:vMerge/>
          </w:tcPr>
          <w:p/>
        </w:tc>
        <w:tc>
          <w:tcPr>
            <w:tcW w:type="dxa" w:w="2307"/>
          </w:tcPr>
          <w:p>
            <w:pPr>
              <w:pStyle w:val="null3"/>
              <w:jc w:val="left"/>
            </w:pPr>
            <w:r>
              <w:rPr/>
              <w:t>资质证明 (2.0分)</w:t>
            </w:r>
          </w:p>
        </w:tc>
        <w:tc>
          <w:tcPr>
            <w:tcW w:type="dxa" w:w="5076"/>
          </w:tcPr>
          <w:p>
            <w:pPr>
              <w:pStyle w:val="null3"/>
              <w:jc w:val="left"/>
            </w:pPr>
            <w:r>
              <w:rPr/>
              <w:t>所投产品制造商具备质量管理体系认证证书（得2分）（认证范围信息系统相关） 须同时提供认证证书复印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对应采购需求“维保要求”部分，针对本项目服务特点制定符合实际的服务响应方案： （1）完全满足且优于项目需求的得3分； （2）完全满足项目需求的得2分； （3）不完全满足项目要求的得1分； （4）无方案的不得分。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 同 书</w:t>
      </w:r>
    </w:p>
    <w:p>
      <w:pPr>
        <w:pStyle w:val="null3"/>
        <w:jc w:val="center"/>
      </w:pPr>
      <w:r>
        <w:rPr>
          <w:sz w:val="44"/>
          <w:b/>
        </w:rPr>
        <w:t>（货物类）</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32"/>
                <w:b/>
              </w:rPr>
              <w:t>采购项目编号：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32"/>
                <w:b/>
              </w:rPr>
              <w:t>采购项目名称：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注：本合同仅为合同的参考文本，合同签订双方可根据项目的具体要求进行修订。</w:t>
      </w:r>
    </w:p>
    <w:p>
      <w:pPr>
        <w:pStyle w:val="null3"/>
      </w:pPr>
      <w:r>
        <w:rPr>
          <w:sz w:val="24"/>
        </w:rPr>
        <w:t xml:space="preserve">甲    方：                  </w:t>
      </w:r>
    </w:p>
    <w:p>
      <w:pPr>
        <w:pStyle w:val="null3"/>
        <w:jc w:val="both"/>
      </w:pPr>
      <w:r>
        <w:rPr>
          <w:sz w:val="24"/>
        </w:rPr>
        <w:t>电    话：           　   传  真：           地  址：</w:t>
      </w:r>
    </w:p>
    <w:p>
      <w:pPr>
        <w:pStyle w:val="null3"/>
        <w:jc w:val="both"/>
      </w:pPr>
      <w:r>
        <w:rPr>
          <w:sz w:val="24"/>
        </w:rPr>
        <w:t xml:space="preserve">乙    方：                   </w:t>
      </w:r>
      <w:r>
        <w:br/>
      </w:r>
      <w:r>
        <w:rPr/>
        <w:t xml:space="preserve">  </w:t>
      </w:r>
    </w:p>
    <w:p>
      <w:pPr>
        <w:pStyle w:val="null3"/>
        <w:jc w:val="both"/>
      </w:pPr>
      <w:r>
        <w:rPr>
          <w:sz w:val="24"/>
        </w:rPr>
        <w:t xml:space="preserve">电    话：                传  真：           地  址：  </w:t>
      </w:r>
    </w:p>
    <w:p>
      <w:pPr>
        <w:pStyle w:val="null3"/>
        <w:jc w:val="both"/>
      </w:pPr>
      <w:r>
        <w:rPr>
          <w:sz w:val="21"/>
        </w:rPr>
        <w:t xml:space="preserve">采购项目名称：                                 </w:t>
      </w:r>
    </w:p>
    <w:p>
      <w:pPr>
        <w:pStyle w:val="null3"/>
        <w:jc w:val="both"/>
      </w:pPr>
      <w:r>
        <w:rPr>
          <w:sz w:val="21"/>
        </w:rPr>
        <w:t>采购项目编号：</w:t>
      </w:r>
    </w:p>
    <w:p>
      <w:pPr>
        <w:pStyle w:val="null3"/>
        <w:jc w:val="both"/>
      </w:pPr>
      <w:r>
        <w:rPr>
          <w:sz w:val="21"/>
        </w:rPr>
        <w:t xml:space="preserve">    </w:t>
      </w:r>
      <w:r>
        <w:rPr>
          <w:sz w:val="21"/>
        </w:rPr>
        <w:t>根据___________________________的采购结果，按照《中华人民共和国政府采购法》、《中华人民共和国合同法》的规定，经双方协商，本着平等互利和诚实信用的原则，一致同意签订本合同如下。</w:t>
      </w:r>
    </w:p>
    <w:p>
      <w:pPr>
        <w:pStyle w:val="null3"/>
        <w:numPr>
          <w:ilvl w:val="0"/>
          <w:numId w:val="1"/>
        </w:numPr>
        <w:jc w:val="both"/>
      </w:pPr>
      <w:r>
        <w:rPr>
          <w:sz w:val="24"/>
          <w:b/>
        </w:rPr>
        <w:t>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单价(元)</w:t>
            </w: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金额(元)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r>
              <w:rPr>
                <w:sz w:val="21"/>
              </w:rPr>
              <w:t xml:space="preserve">合计总额：￥       元；    大写：        </w:t>
            </w:r>
          </w:p>
        </w:tc>
      </w:tr>
    </w:tbl>
    <w:p>
      <w:pPr>
        <w:pStyle w:val="null3"/>
        <w:jc w:val="both"/>
      </w:pPr>
      <w:r>
        <w:rPr>
          <w:sz w:val="21"/>
        </w:rPr>
        <w:t>合同总额包括乙方设计、安装、随机零配件、标配工具、运输保险、调试、培训、质保期服务、各项税费及合同实施过程中不可预见费用等。</w:t>
      </w:r>
    </w:p>
    <w:p>
      <w:pPr>
        <w:pStyle w:val="null3"/>
        <w:jc w:val="both"/>
      </w:pPr>
      <w:r>
        <w:rPr>
          <w:sz w:val="21"/>
        </w:rPr>
        <w:t>注：货物名称内容必须与投标文件中货物名称内容一致。</w:t>
      </w:r>
    </w:p>
    <w:p>
      <w:pPr>
        <w:pStyle w:val="null3"/>
        <w:jc w:val="both"/>
      </w:pPr>
      <w:r>
        <w:rPr>
          <w:sz w:val="24"/>
          <w:b/>
        </w:rPr>
        <w:t>二、合同金额</w:t>
      </w:r>
    </w:p>
    <w:p>
      <w:pPr>
        <w:pStyle w:val="null3"/>
        <w:jc w:val="both"/>
      </w:pPr>
      <w:r>
        <w:rPr>
          <w:sz w:val="21"/>
        </w:rPr>
        <w:t>合同金额为（大写）：</w:t>
      </w:r>
      <w:r>
        <w:rPr>
          <w:sz w:val="21"/>
          <w:u w:val="single"/>
        </w:rPr>
        <w:t>_________________</w:t>
      </w:r>
      <w:r>
        <w:rPr>
          <w:sz w:val="21"/>
        </w:rPr>
        <w:t>元（￥</w:t>
      </w:r>
      <w:r>
        <w:rPr>
          <w:sz w:val="21"/>
          <w:u w:val="single"/>
        </w:rPr>
        <w:t>_______________</w:t>
      </w:r>
      <w:r>
        <w:rPr>
          <w:sz w:val="21"/>
        </w:rPr>
        <w:t>元）人民币。</w:t>
      </w:r>
    </w:p>
    <w:p>
      <w:pPr>
        <w:pStyle w:val="null3"/>
        <w:jc w:val="both"/>
      </w:pPr>
      <w:r>
        <w:rPr>
          <w:sz w:val="24"/>
          <w:b/>
        </w:rPr>
        <w:t>三、货物要求</w:t>
      </w:r>
    </w:p>
    <w:p>
      <w:pPr>
        <w:pStyle w:val="null3"/>
        <w:jc w:val="both"/>
      </w:pPr>
      <w:r>
        <w:rPr>
          <w:sz w:val="21"/>
        </w:rPr>
        <w:t>1.</w:t>
      </w:r>
      <w:r>
        <w:rPr>
          <w:sz w:val="21"/>
        </w:rPr>
        <w:t>货物为</w:t>
      </w:r>
      <w:r>
        <w:rPr>
          <w:sz w:val="21"/>
        </w:rPr>
        <w:t>本次招标/谈判前</w:t>
      </w:r>
      <w:r>
        <w:rPr>
          <w:sz w:val="21"/>
        </w:rPr>
        <w:t>原制造商制造的</w:t>
      </w:r>
      <w:r>
        <w:rPr>
          <w:sz w:val="21"/>
        </w:rPr>
        <w:t>非淘汰类</w:t>
      </w:r>
      <w:r>
        <w:rPr>
          <w:sz w:val="21"/>
        </w:rPr>
        <w:t>全新产品，整机无污染，无侵权行为、表面无划损、无任何缺陷隐患，在中国境内可依常规安全合法使用。</w:t>
      </w:r>
    </w:p>
    <w:p>
      <w:pPr>
        <w:pStyle w:val="null3"/>
        <w:jc w:val="both"/>
      </w:pPr>
      <w:r>
        <w:rPr>
          <w:sz w:val="21"/>
        </w:rPr>
        <w:t>2.</w:t>
      </w:r>
      <w:r>
        <w:rPr>
          <w:sz w:val="21"/>
        </w:rPr>
        <w:t xml:space="preserve">交付验收标准依次序对照适用标准为：①符合中华人民共和国国家安全质量标准、环保标准或行业标准；②符合招标文件和响应承诺中甲方认可的合理最佳配置、参数及各项要求；③货物来源国官方标准。   </w:t>
      </w:r>
    </w:p>
    <w:p>
      <w:pPr>
        <w:pStyle w:val="null3"/>
        <w:jc w:val="both"/>
      </w:pPr>
      <w:r>
        <w:rPr>
          <w:sz w:val="21"/>
        </w:rPr>
        <w:t>3.</w:t>
      </w:r>
      <w:r>
        <w:rPr>
          <w:sz w:val="21"/>
        </w:rPr>
        <w:t>进口产品必须具备原产地证明和商检局的检验证明及合法进货渠道证明。</w:t>
      </w:r>
    </w:p>
    <w:p>
      <w:pPr>
        <w:pStyle w:val="null3"/>
        <w:jc w:val="both"/>
      </w:pPr>
      <w:r>
        <w:rPr>
          <w:sz w:val="21"/>
        </w:rPr>
        <w:t>4.</w:t>
      </w:r>
      <w:r>
        <w:rPr>
          <w:sz w:val="21"/>
        </w:rPr>
        <w:t>货物为原厂商未启封全新包装，具出厂合格证，序列号、包装箱号与出厂批号一致，并可追索查阅。</w:t>
      </w:r>
    </w:p>
    <w:p>
      <w:pPr>
        <w:pStyle w:val="null3"/>
        <w:jc w:val="both"/>
      </w:pPr>
      <w:r>
        <w:rPr>
          <w:sz w:val="21"/>
        </w:rPr>
        <w:t>5.</w:t>
      </w:r>
      <w:r>
        <w:rPr>
          <w:sz w:val="21"/>
        </w:rPr>
        <w:t>乙方应将关键主机货物的用户手册、保修手册、有关单证资料及配备件、随机工具等交付给甲方，使用操作及安全须知等重要资料应附有中文说明。</w:t>
      </w:r>
    </w:p>
    <w:p>
      <w:pPr>
        <w:pStyle w:val="null3"/>
        <w:jc w:val="both"/>
      </w:pPr>
      <w:r>
        <w:rPr>
          <w:sz w:val="24"/>
          <w:b/>
        </w:rPr>
        <w:t>四、交货期、交货方式及交货地点</w:t>
      </w:r>
    </w:p>
    <w:p>
      <w:pPr>
        <w:pStyle w:val="null3"/>
        <w:jc w:val="both"/>
      </w:pPr>
      <w:r>
        <w:rPr>
          <w:sz w:val="21"/>
          <w:b/>
        </w:rPr>
        <w:t>（按照招标文件要求及中标人投标文件的响应确定）</w:t>
      </w:r>
    </w:p>
    <w:p>
      <w:pPr>
        <w:pStyle w:val="null3"/>
        <w:jc w:val="both"/>
      </w:pPr>
      <w:r>
        <w:rPr>
          <w:sz w:val="24"/>
          <w:b/>
        </w:rPr>
        <w:t>五、付款方式</w:t>
      </w:r>
    </w:p>
    <w:p>
      <w:pPr>
        <w:pStyle w:val="null3"/>
        <w:jc w:val="both"/>
      </w:pPr>
      <w:r>
        <w:rPr>
          <w:sz w:val="21"/>
          <w:b/>
        </w:rPr>
        <w:t>（按照招标文件要求确定）</w:t>
      </w:r>
    </w:p>
    <w:p>
      <w:pPr>
        <w:pStyle w:val="null3"/>
        <w:jc w:val="both"/>
      </w:pPr>
      <w:r>
        <w:rPr>
          <w:sz w:val="24"/>
          <w:b/>
        </w:rPr>
        <w:t>六、质保期及售后服务要求</w:t>
      </w:r>
    </w:p>
    <w:p>
      <w:pPr>
        <w:pStyle w:val="null3"/>
        <w:jc w:val="both"/>
      </w:pPr>
      <w:r>
        <w:rPr>
          <w:sz w:val="21"/>
        </w:rPr>
        <w:t>1.</w:t>
      </w:r>
      <w:r>
        <w:rPr>
          <w:sz w:val="21"/>
        </w:rPr>
        <w:t>所投货物从验收合格之日起承诺：软件系统不少于年</w:t>
      </w:r>
      <w:r>
        <w:rPr>
          <w:sz w:val="21"/>
          <w:b/>
        </w:rPr>
        <w:t>（按照招标文件要求及中标人投标文件的响应确定）</w:t>
      </w:r>
      <w:r>
        <w:rPr>
          <w:sz w:val="21"/>
        </w:rPr>
        <w:t>的全免费售后服务质量保证期，硬件不少于年</w:t>
      </w:r>
      <w:r>
        <w:rPr>
          <w:sz w:val="21"/>
          <w:b/>
        </w:rPr>
        <w:t>（按照招标文件要求及中标人投标文件的响应确定）</w:t>
      </w:r>
      <w:r>
        <w:rPr>
          <w:sz w:val="21"/>
        </w:rPr>
        <w:t>的原厂保修（除招标文件另有要求）,保质保用期内非甲方的人为原因而出现产品质量及安装问题，由中标人负责包修、包换或包退，并承担因此而产生的一切费用。</w:t>
      </w:r>
    </w:p>
    <w:p>
      <w:pPr>
        <w:pStyle w:val="null3"/>
        <w:jc w:val="both"/>
      </w:pPr>
      <w:r>
        <w:rPr>
          <w:sz w:val="21"/>
        </w:rPr>
        <w:t>2.</w:t>
      </w:r>
      <w:r>
        <w:rPr>
          <w:sz w:val="21"/>
        </w:rPr>
        <w:t>在质保期内乙方免费提供货物正常使用情况下的维保服务。软件有最新版本，需提供免费升级，信息系统需与医院所有信息系统集成，需免费开放所属功能范围内的接口，并承担所有与其他系统集成的费用。</w:t>
      </w:r>
    </w:p>
    <w:p>
      <w:pPr>
        <w:pStyle w:val="null3"/>
        <w:jc w:val="both"/>
      </w:pPr>
      <w:r>
        <w:rPr>
          <w:sz w:val="21"/>
        </w:rPr>
        <w:t>3.</w:t>
      </w:r>
      <w:r>
        <w:rPr>
          <w:sz w:val="21"/>
        </w:rPr>
        <w:t>软件系统验收上线完成后，在质保期内须派专业工程师至少1 人常驻甲方现场，负责需求更改及运行服务，每月至少对系统巡检一次，提供响应巡检报告，保证系统在最优化的状态下稳定运行。</w:t>
      </w:r>
      <w:r>
        <w:rPr>
          <w:sz w:val="21"/>
        </w:rPr>
        <w:t>法定节假日时，须提供值班工程师名单、当值地点及联系电话。保障实时响应故障呼叫，需要时及时赶到现场。</w:t>
      </w:r>
    </w:p>
    <w:p>
      <w:pPr>
        <w:pStyle w:val="null3"/>
        <w:jc w:val="both"/>
      </w:pPr>
      <w:r>
        <w:rPr>
          <w:sz w:val="21"/>
        </w:rPr>
        <w:t>4.</w:t>
      </w:r>
      <w:r>
        <w:rPr>
          <w:sz w:val="21"/>
        </w:rPr>
        <w:t>质保期内，出现影响用户业务的故障时，按医院信息故障分级乙方须保证在规定的时间内派能处理故障的工程师赶到现场解决。根据问题情况划分为三种现场处理级别：</w:t>
      </w:r>
    </w:p>
    <w:p>
      <w:pPr>
        <w:pStyle w:val="null3"/>
        <w:jc w:val="both"/>
      </w:pPr>
      <w:r>
        <w:rPr>
          <w:sz w:val="21"/>
        </w:rPr>
        <w:t xml:space="preserve">a)1 </w:t>
      </w:r>
      <w:r>
        <w:rPr>
          <w:sz w:val="21"/>
        </w:rPr>
        <w:t>级：系统宕机，业务停止。</w:t>
      </w:r>
    </w:p>
    <w:p>
      <w:pPr>
        <w:pStyle w:val="null3"/>
        <w:jc w:val="both"/>
      </w:pPr>
      <w:r>
        <w:rPr>
          <w:sz w:val="21"/>
        </w:rPr>
        <w:t>处理方式：立即响应，分钟内前往设备使用现场，分钟内解决故障。软件系统出现故障时，应进行紧急响应，保证业务的正常运行。</w:t>
      </w:r>
      <w:r>
        <w:rPr>
          <w:sz w:val="21"/>
          <w:b/>
        </w:rPr>
        <w:t>（按照招标文件要求及中标人投标文件的响应确定）</w:t>
      </w:r>
    </w:p>
    <w:p>
      <w:pPr>
        <w:pStyle w:val="null3"/>
        <w:jc w:val="both"/>
      </w:pPr>
      <w:r>
        <w:rPr>
          <w:sz w:val="21"/>
        </w:rPr>
        <w:t xml:space="preserve">b)2 </w:t>
      </w:r>
      <w:r>
        <w:rPr>
          <w:sz w:val="21"/>
        </w:rPr>
        <w:t>级：系统能够工作，但部分功能失效。性能下降，但不至中断业务。</w:t>
      </w:r>
    </w:p>
    <w:p>
      <w:pPr>
        <w:pStyle w:val="null3"/>
        <w:jc w:val="both"/>
      </w:pPr>
      <w:r>
        <w:rPr>
          <w:sz w:val="21"/>
        </w:rPr>
        <w:t>处理方式：分钟响应，小时内前往现场，在小时内解决故障。</w:t>
      </w:r>
      <w:r>
        <w:rPr>
          <w:sz w:val="21"/>
          <w:b/>
        </w:rPr>
        <w:t>（按照招标文件要求及中标人投标文件的响应确定）</w:t>
      </w:r>
    </w:p>
    <w:p>
      <w:pPr>
        <w:pStyle w:val="null3"/>
        <w:jc w:val="both"/>
      </w:pPr>
      <w:r>
        <w:rPr>
          <w:sz w:val="21"/>
        </w:rPr>
        <w:t xml:space="preserve">c)3 </w:t>
      </w:r>
      <w:r>
        <w:rPr>
          <w:sz w:val="21"/>
        </w:rPr>
        <w:t>级：系统可以运行，但出现系统报错或出现问题。</w:t>
      </w:r>
    </w:p>
    <w:p>
      <w:pPr>
        <w:pStyle w:val="null3"/>
        <w:jc w:val="both"/>
      </w:pPr>
      <w:r>
        <w:rPr>
          <w:sz w:val="21"/>
        </w:rPr>
        <w:t>处理方式：小时响应，个工作日内解决故障。</w:t>
      </w:r>
      <w:r>
        <w:rPr>
          <w:sz w:val="21"/>
          <w:b/>
        </w:rPr>
        <w:t>（按照招标文件要求及中标人投标文件的响应确定）</w:t>
      </w:r>
    </w:p>
    <w:p>
      <w:pPr>
        <w:pStyle w:val="null3"/>
        <w:ind w:left="315"/>
        <w:jc w:val="both"/>
      </w:pPr>
      <w:r>
        <w:rPr>
          <w:sz w:val="21"/>
        </w:rPr>
        <w:t>5.</w:t>
      </w:r>
      <w:r>
        <w:rPr>
          <w:sz w:val="21"/>
        </w:rPr>
        <w:t>提供7×24 小时专人应急服务热线，依据故障分级实时响应并提供响应维保服务。</w:t>
      </w:r>
    </w:p>
    <w:p>
      <w:pPr>
        <w:pStyle w:val="null3"/>
        <w:jc w:val="both"/>
      </w:pPr>
      <w:r>
        <w:rPr>
          <w:sz w:val="21"/>
        </w:rPr>
        <w:t>6.</w:t>
      </w:r>
      <w:r>
        <w:rPr>
          <w:sz w:val="21"/>
        </w:rPr>
        <w:t>故障处理机制措施：制定应急处理专项预案，应急处理预案主要分为：网络结构现状、应急方案启动条件、应急方案执行原则、故障原因及故障结果分析、预防保障措施、应急措施、工作流程图、应急资源配备、知晓范围、相关人员联系表。故障排除后个工作日内</w:t>
      </w:r>
      <w:r>
        <w:rPr>
          <w:sz w:val="21"/>
          <w:b/>
        </w:rPr>
        <w:t>（按照招标文件要求及中标人投标文件的响应确定）</w:t>
      </w:r>
      <w:r>
        <w:rPr>
          <w:sz w:val="21"/>
        </w:rPr>
        <w:t>向甲方提交《故障应急处理报告》</w:t>
      </w:r>
    </w:p>
    <w:p>
      <w:pPr>
        <w:pStyle w:val="null3"/>
        <w:jc w:val="both"/>
      </w:pPr>
      <w:r>
        <w:rPr>
          <w:sz w:val="21"/>
        </w:rPr>
        <w:t>7.</w:t>
      </w:r>
      <w:r>
        <w:rPr>
          <w:sz w:val="21"/>
        </w:rPr>
        <w:t>定期检查硬件设备，对硬件设备做安全检查，制定设备巡检计划，计划包括巡检起止时间、联络人员和方式、双方巡检人员及联络方式、巡检内容目录等；提供《设备巡检手册》，并在设备巡检完成后三个工作日内提交设备巡检报告，医院可以根据需要要求增加或修改设备巡检内容。为医院建立设备档案，并根据设备运行情况向医院提供设备升级、改造、更换的建议和方案。以上服务周期：每半年一次并出具书面报告。</w:t>
      </w:r>
    </w:p>
    <w:p>
      <w:pPr>
        <w:pStyle w:val="null3"/>
        <w:jc w:val="both"/>
      </w:pPr>
      <w:r>
        <w:rPr>
          <w:sz w:val="24"/>
          <w:b/>
        </w:rPr>
        <w:t>七、培训要求：</w:t>
      </w:r>
    </w:p>
    <w:p>
      <w:pPr>
        <w:pStyle w:val="null3"/>
        <w:jc w:val="both"/>
      </w:pPr>
      <w:r>
        <w:rPr>
          <w:sz w:val="21"/>
        </w:rPr>
        <w:t>1.</w:t>
      </w:r>
      <w:r>
        <w:rPr>
          <w:sz w:val="21"/>
        </w:rPr>
        <w:t>培训地点：甲方指定地点。</w:t>
      </w:r>
    </w:p>
    <w:p>
      <w:pPr>
        <w:pStyle w:val="null3"/>
        <w:jc w:val="both"/>
      </w:pPr>
      <w:r>
        <w:rPr>
          <w:sz w:val="21"/>
        </w:rPr>
        <w:t>2.</w:t>
      </w:r>
      <w:r>
        <w:rPr>
          <w:sz w:val="21"/>
        </w:rPr>
        <w:t>乙方须提供相关的硬件及软件应用系统的维护及管理培训，须有3名以上专职培训人员。</w:t>
      </w:r>
    </w:p>
    <w:p>
      <w:pPr>
        <w:pStyle w:val="null3"/>
        <w:jc w:val="both"/>
      </w:pPr>
      <w:r>
        <w:rPr>
          <w:sz w:val="21"/>
        </w:rPr>
        <w:t>3.</w:t>
      </w:r>
      <w:r>
        <w:rPr>
          <w:sz w:val="21"/>
        </w:rPr>
        <w:t>乙方</w:t>
      </w:r>
      <w:r>
        <w:rPr>
          <w:sz w:val="21"/>
        </w:rPr>
        <w:t>无偿培训采购人操作使用与维修，主要内容包括但不限于货物的基本结构、性能、操作使用方法、主要部件的构造及修理，日常使用保养与管理，安全防范，常见故障的排除，紧急情况的处理等。</w:t>
      </w:r>
    </w:p>
    <w:p>
      <w:pPr>
        <w:pStyle w:val="null3"/>
        <w:jc w:val="both"/>
      </w:pPr>
      <w:r>
        <w:rPr>
          <w:sz w:val="21"/>
        </w:rPr>
        <w:t>4.</w:t>
      </w:r>
      <w:r>
        <w:rPr>
          <w:sz w:val="21"/>
        </w:rPr>
        <w:t>乙方</w:t>
      </w:r>
      <w:r>
        <w:rPr>
          <w:sz w:val="21"/>
        </w:rPr>
        <w:t>须</w:t>
      </w:r>
      <w:r>
        <w:rPr>
          <w:sz w:val="21"/>
        </w:rPr>
        <w:t>安排详细的培圳计划，有详细的培训安排和课程表，并提供书面培训教材，</w:t>
      </w:r>
      <w:r>
        <w:rPr>
          <w:sz w:val="21"/>
        </w:rPr>
        <w:t>培训时间按</w:t>
      </w:r>
      <w:r>
        <w:rPr>
          <w:sz w:val="21"/>
        </w:rPr>
        <w:t>甲方</w:t>
      </w:r>
      <w:r>
        <w:rPr>
          <w:sz w:val="21"/>
        </w:rPr>
        <w:t>要求，培训地点主要在设备安装现场或按</w:t>
      </w:r>
      <w:r>
        <w:rPr>
          <w:sz w:val="21"/>
        </w:rPr>
        <w:t>甲方</w:t>
      </w:r>
      <w:r>
        <w:rPr>
          <w:sz w:val="21"/>
        </w:rPr>
        <w:t>安排，</w:t>
      </w:r>
      <w:r>
        <w:rPr>
          <w:sz w:val="21"/>
        </w:rPr>
        <w:t>培训要求为</w:t>
      </w:r>
      <w:r>
        <w:rPr>
          <w:sz w:val="21"/>
        </w:rPr>
        <w:t>甲方</w:t>
      </w:r>
      <w:r>
        <w:rPr>
          <w:sz w:val="21"/>
        </w:rPr>
        <w:t>及相关人员能够正确操作使用。</w:t>
      </w:r>
    </w:p>
    <w:p>
      <w:pPr>
        <w:pStyle w:val="null3"/>
        <w:jc w:val="both"/>
      </w:pPr>
      <w:r>
        <w:rPr>
          <w:sz w:val="24"/>
          <w:b/>
        </w:rPr>
        <w:t>八、项目团队要求：</w:t>
      </w:r>
    </w:p>
    <w:p>
      <w:pPr>
        <w:pStyle w:val="null3"/>
        <w:jc w:val="both"/>
      </w:pPr>
      <w:r>
        <w:rPr>
          <w:sz w:val="21"/>
        </w:rPr>
        <w:t>1.</w:t>
      </w:r>
      <w:r>
        <w:rPr>
          <w:sz w:val="21"/>
        </w:rPr>
        <w:t>乙方须为本项目构建稳定的技术人员团队，包括系统的开发和实施团队，</w:t>
      </w:r>
    </w:p>
    <w:p>
      <w:pPr>
        <w:pStyle w:val="null3"/>
        <w:jc w:val="both"/>
      </w:pPr>
      <w:r>
        <w:rPr>
          <w:sz w:val="21"/>
        </w:rPr>
        <w:t>2.</w:t>
      </w:r>
      <w:r>
        <w:rPr>
          <w:sz w:val="21"/>
        </w:rPr>
        <w:t>在本项目实施期间，未经甲方同意，乙方不得调整在投标文件中所承诺的项目实施人员，否则乙方赔偿由此给甲方造成的全部损失。</w:t>
      </w:r>
    </w:p>
    <w:p>
      <w:pPr>
        <w:pStyle w:val="null3"/>
        <w:jc w:val="both"/>
      </w:pPr>
      <w:r>
        <w:rPr>
          <w:sz w:val="24"/>
          <w:b/>
        </w:rPr>
        <w:t>九、版权要求：</w:t>
      </w:r>
    </w:p>
    <w:p>
      <w:pPr>
        <w:pStyle w:val="null3"/>
        <w:jc w:val="both"/>
      </w:pPr>
      <w:r>
        <w:rPr>
          <w:sz w:val="21"/>
        </w:rPr>
        <w:t>若项目软件部分所涉及服务器操作系统、数据库、软件，均要求提供正版授权，不接受OEM 版本等其它版本，若产生版权纠纷，由乙方承担全部责任。乙方应保证提供的所有产品不侵犯任何第三方的版权、知识产权和其他合法权利。</w:t>
      </w:r>
    </w:p>
    <w:p>
      <w:pPr>
        <w:pStyle w:val="null3"/>
        <w:jc w:val="both"/>
      </w:pPr>
      <w:r>
        <w:rPr>
          <w:sz w:val="24"/>
          <w:b/>
        </w:rPr>
        <w:t>十、安装与调试:</w:t>
      </w:r>
      <w:r>
        <w:rPr>
          <w:sz w:val="21"/>
        </w:rPr>
        <w:t>乙方必须依照招标文件的要求和投标文件的承诺，将货物、系统安装并调试至正常运行的最佳状态。</w:t>
      </w:r>
    </w:p>
    <w:p>
      <w:pPr>
        <w:pStyle w:val="null3"/>
        <w:jc w:val="both"/>
      </w:pPr>
      <w:r>
        <w:rPr>
          <w:sz w:val="24"/>
          <w:b/>
        </w:rPr>
        <w:t>十一、验收：</w:t>
      </w:r>
    </w:p>
    <w:p>
      <w:pPr>
        <w:pStyle w:val="null3"/>
        <w:jc w:val="both"/>
      </w:pPr>
      <w:r>
        <w:rPr>
          <w:sz w:val="21"/>
        </w:rPr>
        <w:t>1.</w:t>
      </w:r>
      <w:r>
        <w:rPr>
          <w:sz w:val="21"/>
        </w:rPr>
        <w:t>依文件要求对全部货物、产品、型号、规格、数量、外型、外观、包装及资料、文件（如装箱单、保修单、随箱介质等）的验收。</w:t>
      </w:r>
      <w:r>
        <w:rPr>
          <w:sz w:val="21"/>
        </w:rPr>
        <w:t>乙方必须为使用单位设计、安装、调试、维修、使用提供足够的技术资料和技术保障。提供货物的有关证明。</w:t>
      </w:r>
    </w:p>
    <w:p>
      <w:pPr>
        <w:pStyle w:val="null3"/>
        <w:jc w:val="both"/>
      </w:pPr>
      <w:r>
        <w:rPr>
          <w:sz w:val="21"/>
        </w:rPr>
        <w:t>2.</w:t>
      </w:r>
      <w:r>
        <w:rPr>
          <w:sz w:val="21"/>
        </w:rPr>
        <w:t>拆箱后，应对其全部产品、零件、配件、用户许可证书、资料、介质进行登记，并与装箱单对比，如有出入应立即书面记录，由乙方解决，如影响安装则按合同有关条款处理。</w:t>
      </w:r>
      <w:r>
        <w:rPr>
          <w:sz w:val="21"/>
        </w:rPr>
        <w:t>乙方必须派技术人员到现场安装调试，货物安装完毕乙方派专业人员检查安装质量。</w:t>
      </w:r>
    </w:p>
    <w:p>
      <w:pPr>
        <w:pStyle w:val="null3"/>
        <w:jc w:val="both"/>
      </w:pPr>
      <w:r>
        <w:rPr>
          <w:sz w:val="21"/>
        </w:rPr>
        <w:t>3.</w:t>
      </w:r>
      <w:r>
        <w:rPr>
          <w:sz w:val="21"/>
        </w:rPr>
        <w:t>如商检或货物测试中发现货物性能指标或功能上不符合招标文件和合同要求时，将被看作性能不合格，甲方有权拒收并要求赔偿。</w:t>
      </w:r>
    </w:p>
    <w:p>
      <w:pPr>
        <w:pStyle w:val="null3"/>
        <w:jc w:val="both"/>
      </w:pPr>
      <w:r>
        <w:rPr>
          <w:sz w:val="21"/>
        </w:rPr>
        <w:t>4.</w:t>
      </w:r>
      <w:r>
        <w:rPr>
          <w:sz w:val="21"/>
        </w:rPr>
        <w:t>验收时供应商负责将全部有关技术文件、资料、安装、测试、验收报告等到文档汇集成册交付甲方。</w:t>
      </w:r>
    </w:p>
    <w:p>
      <w:pPr>
        <w:pStyle w:val="null3"/>
        <w:jc w:val="both"/>
      </w:pPr>
      <w:r>
        <w:rPr>
          <w:sz w:val="21"/>
        </w:rPr>
        <w:t>5.</w:t>
      </w:r>
      <w:r>
        <w:rPr>
          <w:sz w:val="21"/>
        </w:rPr>
        <w:t>乙方投标时所提供的货物如在实际供货时已经废型（不列入该厂家当时的产品系统），如果未能按原价提供更高配置的货物，则按违约处理。</w:t>
      </w:r>
    </w:p>
    <w:p>
      <w:pPr>
        <w:pStyle w:val="null3"/>
        <w:jc w:val="both"/>
      </w:pPr>
      <w:r>
        <w:rPr>
          <w:sz w:val="24"/>
          <w:b/>
        </w:rPr>
        <w:t>十二、违约责任与赔偿损失</w:t>
      </w:r>
    </w:p>
    <w:p>
      <w:pPr>
        <w:pStyle w:val="null3"/>
        <w:jc w:val="both"/>
      </w:pPr>
      <w:r>
        <w:rPr>
          <w:sz w:val="21"/>
        </w:rPr>
        <w:t xml:space="preserve">1) </w:t>
      </w:r>
      <w:r>
        <w:rPr>
          <w:sz w:val="21"/>
        </w:rPr>
        <w:t>乙方交付的货物提供的服务不符合招标文件、投标文件或本合同规定的，甲方有权拒收，并且乙方须向甲方支付本合同总价5%的违约金。</w:t>
      </w:r>
    </w:p>
    <w:p>
      <w:pPr>
        <w:pStyle w:val="null3"/>
        <w:jc w:val="both"/>
      </w:pPr>
      <w:r>
        <w:rPr>
          <w:sz w:val="21"/>
        </w:rPr>
        <w:t xml:space="preserve">2) </w:t>
      </w:r>
      <w:r>
        <w:rPr>
          <w:sz w:val="21"/>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jc w:val="both"/>
      </w:pPr>
      <w:r>
        <w:rPr>
          <w:sz w:val="21"/>
        </w:rPr>
        <w:t xml:space="preserve">3) </w:t>
      </w:r>
      <w:r>
        <w:rPr>
          <w:sz w:val="21"/>
        </w:rPr>
        <w:t>甲方无正当理由拒收货物/接受服务，到期拒付货物/服务款项的，甲方向乙方偿付本合同总的5%的违约金。甲方人逾期付款，则每日按本合同总价的3‰向乙方偿付违约金。</w:t>
      </w:r>
    </w:p>
    <w:p>
      <w:pPr>
        <w:pStyle w:val="null3"/>
        <w:jc w:val="both"/>
      </w:pPr>
      <w:r>
        <w:rPr>
          <w:sz w:val="21"/>
        </w:rPr>
        <w:t xml:space="preserve">4) </w:t>
      </w:r>
      <w:r>
        <w:rPr>
          <w:sz w:val="21"/>
        </w:rPr>
        <w:t>其它违约责任按《中华人民共和国合同法》处理。</w:t>
      </w:r>
    </w:p>
    <w:p>
      <w:pPr>
        <w:pStyle w:val="null3"/>
        <w:jc w:val="both"/>
      </w:pPr>
      <w:r>
        <w:rPr>
          <w:sz w:val="24"/>
          <w:b/>
        </w:rPr>
        <w:t>十三、争议的解决</w:t>
      </w:r>
    </w:p>
    <w:p>
      <w:pPr>
        <w:pStyle w:val="null3"/>
        <w:jc w:val="both"/>
      </w:pPr>
      <w:r>
        <w:rPr>
          <w:sz w:val="21"/>
        </w:rPr>
        <w:t>1)</w:t>
      </w:r>
      <w:r>
        <w:rPr>
          <w:sz w:val="21"/>
        </w:rPr>
        <w:t>合同执行过程中发生的任何争议，如双方不能通过友好协商解决，按相关法律法规处理。</w:t>
      </w:r>
    </w:p>
    <w:p>
      <w:pPr>
        <w:pStyle w:val="null3"/>
        <w:jc w:val="both"/>
      </w:pPr>
      <w:r>
        <w:rPr>
          <w:sz w:val="24"/>
          <w:b/>
        </w:rPr>
        <w:t>十四、不可抗力：</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十五、税费：</w:t>
      </w:r>
      <w:r>
        <w:rPr>
          <w:sz w:val="21"/>
        </w:rPr>
        <w:t>在中国境内、外发生的与本合同执行有关的一切税费均由乙方负担。</w:t>
      </w:r>
    </w:p>
    <w:p>
      <w:pPr>
        <w:pStyle w:val="null3"/>
        <w:jc w:val="both"/>
      </w:pPr>
      <w:r>
        <w:rPr>
          <w:sz w:val="24"/>
          <w:b/>
        </w:rPr>
        <w:t>十六、其它</w:t>
      </w:r>
    </w:p>
    <w:p>
      <w:pPr>
        <w:pStyle w:val="null3"/>
        <w:jc w:val="both"/>
      </w:pPr>
      <w:r>
        <w:rPr>
          <w:sz w:val="21"/>
        </w:rPr>
        <w:t xml:space="preserve">1) </w:t>
      </w:r>
      <w:r>
        <w:rPr>
          <w:sz w:val="21"/>
        </w:rPr>
        <w:t>本合同所有附件、招标文件、投标文件、中标通知书均为合同的有效组成部分，与本合同具有同等法律效力。</w:t>
      </w:r>
    </w:p>
    <w:p>
      <w:pPr>
        <w:pStyle w:val="null3"/>
        <w:jc w:val="both"/>
      </w:pPr>
      <w:r>
        <w:rPr>
          <w:sz w:val="21"/>
        </w:rPr>
        <w:t xml:space="preserve">2) </w:t>
      </w:r>
      <w:r>
        <w:rPr>
          <w:sz w:val="21"/>
        </w:rPr>
        <w:t>在执行本合同的过程中，所有经双方签署确认的文件（包括会议纪要、补充协议、往来信函）即成为本合同的有效组成部分。</w:t>
      </w:r>
    </w:p>
    <w:p>
      <w:pPr>
        <w:pStyle w:val="null3"/>
        <w:jc w:val="both"/>
      </w:pPr>
      <w:r>
        <w:rPr>
          <w:sz w:val="21"/>
        </w:rPr>
        <w:t xml:space="preserve">3) </w:t>
      </w:r>
      <w:r>
        <w:rPr>
          <w:sz w:val="21"/>
        </w:rPr>
        <w:t>如一方地址、电话、传真号码有变更，应在变更当日内书面通知对方，否则，应承担相应责任。</w:t>
      </w:r>
    </w:p>
    <w:p>
      <w:pPr>
        <w:pStyle w:val="null3"/>
        <w:jc w:val="both"/>
      </w:pPr>
      <w:r>
        <w:rPr>
          <w:sz w:val="21"/>
        </w:rPr>
        <w:t xml:space="preserve">4) </w:t>
      </w:r>
      <w:r>
        <w:rPr>
          <w:sz w:val="21"/>
        </w:rPr>
        <w:t>除甲方事先书面同意外，乙方不得部分或全部转让其应履行的合同项下的义务。</w:t>
      </w:r>
    </w:p>
    <w:p>
      <w:pPr>
        <w:pStyle w:val="null3"/>
        <w:jc w:val="both"/>
      </w:pPr>
      <w:r>
        <w:rPr>
          <w:sz w:val="24"/>
          <w:b/>
        </w:rPr>
        <w:t>十七、合同生效：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w:t>
      </w:r>
      <w:r>
        <w:rPr>
          <w:sz w:val="21"/>
        </w:rPr>
        <w:t>本合同一式份，具有同等法律效力，双方各执份，___管理办公室份，___招标代理有限公司</w:t>
      </w:r>
      <w:r>
        <w:rPr>
          <w:sz w:val="21"/>
          <w:u w:val="single"/>
        </w:rPr>
        <w:t>1</w:t>
      </w:r>
      <w:r>
        <w:rPr>
          <w:sz w:val="21"/>
        </w:rPr>
        <w:t>份，合同自签字之日起即时生效。</w:t>
      </w:r>
    </w:p>
    <w:p>
      <w:pPr>
        <w:pStyle w:val="null3"/>
        <w:jc w:val="both"/>
      </w:pPr>
      <w:r>
        <w:rPr>
          <w:sz w:val="24"/>
          <w:b/>
        </w:rPr>
        <w:t>甲方（盖章）：                         乙方（盖章）：</w:t>
      </w:r>
    </w:p>
    <w:p>
      <w:pPr>
        <w:pStyle w:val="null3"/>
        <w:jc w:val="both"/>
      </w:pPr>
      <w:r>
        <w:rPr>
          <w:sz w:val="24"/>
          <w:b/>
        </w:rPr>
        <w:t>代表：                                 代表：</w:t>
      </w:r>
    </w:p>
    <w:p>
      <w:pPr>
        <w:pStyle w:val="null3"/>
        <w:jc w:val="both"/>
      </w:pPr>
      <w:r>
        <w:rPr>
          <w:sz w:val="21"/>
        </w:rPr>
        <w:t>签定地点：</w:t>
      </w:r>
    </w:p>
    <w:p>
      <w:pPr>
        <w:pStyle w:val="null3"/>
        <w:jc w:val="both"/>
      </w:pPr>
      <w:r>
        <w:rPr>
          <w:sz w:val="21"/>
        </w:rPr>
        <w:t xml:space="preserve">签定日期：        年     月    日             签定日期：        年     月     日   </w:t>
      </w:r>
    </w:p>
    <w:p>
      <w:pPr>
        <w:pStyle w:val="null3"/>
        <w:ind w:firstLine="4830"/>
        <w:jc w:val="both"/>
      </w:pPr>
      <w:r>
        <w:rPr>
          <w:sz w:val="21"/>
        </w:rPr>
        <w:t>开户名称：</w:t>
      </w:r>
    </w:p>
    <w:p>
      <w:pPr>
        <w:pStyle w:val="null3"/>
        <w:ind w:firstLine="4830"/>
        <w:jc w:val="both"/>
      </w:pPr>
      <w:r>
        <w:rPr>
          <w:sz w:val="21"/>
        </w:rPr>
        <w:t>银行账号：</w:t>
      </w:r>
    </w:p>
    <w:p>
      <w:pPr>
        <w:pStyle w:val="null3"/>
        <w:ind w:firstLine="4830"/>
        <w:jc w:val="both"/>
      </w:pPr>
      <w:r>
        <w:rPr>
          <w:sz w:val="21"/>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440001-2025-06384</w:t>
      </w:r>
    </w:p>
    <w:p>
      <w:pPr>
        <w:pStyle w:val="null3"/>
        <w:jc w:val="center"/>
        <w:outlineLvl w:val="3"/>
      </w:pPr>
      <w:r>
        <w:rPr>
          <w:sz w:val="24"/>
          <w:b/>
        </w:rPr>
        <w:t>采购项目编号：</w:t>
      </w:r>
      <w:r>
        <w:rPr>
          <w:sz w:val="24"/>
          <w:b/>
        </w:rPr>
        <w:t>GPCGD253174HC052F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广东省县域医共体医疗设备更新项目（原中央苏区）——远程诊疗系统</w:t>
      </w:r>
      <w:r>
        <w:rPr>
          <w:u w:val="single"/>
        </w:rPr>
        <w:t>”</w:t>
      </w:r>
      <w:r>
        <w:rPr/>
        <w:t>项目的竞争性磋商[采购项目编号为：</w:t>
      </w:r>
      <w:r>
        <w:rPr>
          <w:u w:val="single"/>
        </w:rPr>
        <w:t>GPCGD253174HC052F</w:t>
      </w:r>
      <w:r>
        <w:rPr/>
        <w:t>]，我方愿参与响应。</w:t>
      </w:r>
    </w:p>
    <w:p>
      <w:pPr>
        <w:pStyle w:val="null3"/>
        <w:ind w:firstLine="480"/>
      </w:pPr>
      <w:r>
        <w:rPr/>
        <w:t>我方确认收到贵方提供的</w:t>
      </w:r>
      <w:r>
        <w:rPr>
          <w:u w:val="single"/>
        </w:rPr>
        <w:t>“</w:t>
      </w:r>
      <w:r>
        <w:rPr>
          <w:u w:val="single"/>
        </w:rPr>
        <w:t>广东省县域医共体医疗设备更新项目（原中央苏区）——远程诊疗系统</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广东省县域医共体医疗设备更新项目（原中央苏区）——远程诊疗系统</w:t>
      </w:r>
      <w:r>
        <w:rPr/>
        <w:t>”项目采购[采购项目编号为</w:t>
      </w:r>
      <w:r>
        <w:rPr/>
        <w:t>GPCGD253174HC052F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广东省县域医共体医疗设备更新项目（原中央苏区）——远程诊疗系统</w:t>
      </w:r>
      <w:r>
        <w:rPr/>
        <w:t>（采购项目编号：</w:t>
      </w:r>
      <w:r>
        <w:rPr/>
        <w:t>GPCGD253174HC052F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广东省县域医共体医疗设备更新项目（原中央苏区）——远程诊疗系统</w:t>
      </w:r>
      <w:r>
        <w:rPr/>
        <w:t>”项目（采购项目编号：</w:t>
      </w:r>
      <w:r>
        <w:rPr/>
        <w:t>GPCGD253174HC052F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