
<file path=[Content_Types].xml><?xml version="1.0" encoding="utf-8"?>
<Types xmlns="http://schemas.openxmlformats.org/package/2006/content-types">
  <Default ContentType="image/jpeg" Extension="jpeg"/>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440001-2025-03113</w:t>
      </w:r>
    </w:p>
    <w:p>
      <w:pPr>
        <w:pStyle w:val="null3"/>
        <w:jc w:val="center"/>
        <w:outlineLvl w:val="3"/>
      </w:pPr>
      <w:r>
        <w:rPr>
          <w:sz w:val="24"/>
          <w:b/>
        </w:rPr>
        <w:t>采购项目编号：</w:t>
      </w:r>
      <w:r>
        <w:rPr>
          <w:sz w:val="24"/>
          <w:b/>
        </w:rPr>
        <w:t>GPCGD253185HG006F</w:t>
      </w:r>
    </w:p>
    <w:p>
      <w:pPr>
        <w:pStyle w:val="null3"/>
        <w:jc w:val="center"/>
        <w:outlineLvl w:val="3"/>
      </w:pPr>
      <w:r>
        <w:rPr>
          <w:sz w:val="24"/>
          <w:b/>
        </w:rPr>
        <w:t>项目名称：</w:t>
      </w:r>
      <w:r>
        <w:rPr>
          <w:sz w:val="24"/>
          <w:b/>
        </w:rPr>
        <w:t>广东卫视4K超高清频道播出系统建设项目（标段3：视音频播出通道系统）</w:t>
      </w:r>
    </w:p>
    <w:p>
      <w:pPr>
        <w:pStyle w:val="null3"/>
        <w:jc w:val="center"/>
        <w:outlineLvl w:val="3"/>
      </w:pPr>
      <w:r>
        <w:rPr>
          <w:sz w:val="24"/>
          <w:b/>
        </w:rPr>
        <w:t>采购人：</w:t>
      </w:r>
      <w:r>
        <w:rPr>
          <w:sz w:val="24"/>
          <w:b/>
        </w:rPr>
        <w:t>广东广播电视台</w:t>
      </w:r>
    </w:p>
    <w:p>
      <w:pPr>
        <w:pStyle w:val="null3"/>
        <w:jc w:val="center"/>
        <w:outlineLvl w:val="3"/>
      </w:pPr>
      <w:r>
        <w:rPr>
          <w:sz w:val="24"/>
          <w:b/>
        </w:rPr>
        <w:t>采购代理机构：</w:t>
      </w:r>
      <w:r>
        <w:rPr>
          <w:sz w:val="24"/>
          <w:b/>
        </w:rPr>
        <w:t>广东省政府采购中心</w:t>
      </w:r>
    </w:p>
    <w:p>
      <w:pPr>
        <w:pStyle w:val="null3"/>
        <w:ind w:firstLine="480"/>
      </w:pPr>
      <w:r>
        <w:rPr/>
        <w:t xml:space="preserve">  </w:t>
      </w:r>
      <w:r>
        <w:br/>
      </w:r>
    </w:p>
    <w:p>
      <w:pPr>
        <w:pStyle w:val="null3"/>
        <w:jc w:val="center"/>
        <w:outlineLvl w:val="1"/>
      </w:pPr>
      <w:r>
        <w:rPr>
          <w:sz w:val="36"/>
          <w:b/>
        </w:rPr>
        <w:t>第一章投标邀请</w:t>
      </w:r>
    </w:p>
    <w:p>
      <w:pPr>
        <w:pStyle w:val="null3"/>
        <w:ind w:firstLine="480"/>
      </w:pPr>
      <w:r>
        <w:rPr/>
        <w:t>广东省政府采购中心</w:t>
      </w:r>
      <w:r>
        <w:rPr/>
        <w:t>受</w:t>
      </w:r>
      <w:r>
        <w:rPr/>
        <w:t>广东广播电视台</w:t>
      </w:r>
      <w:r>
        <w:rPr/>
        <w:t>的委托，采用</w:t>
      </w:r>
      <w:r>
        <w:rPr/>
        <w:t>公开招标</w:t>
      </w:r>
      <w:r>
        <w:rPr/>
        <w:t>方式组织采购</w:t>
      </w:r>
      <w:r>
        <w:rPr/>
        <w:t>广东卫视4K超高清频道播出系统建设项目（标段3：视音频播出通道系统）</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广东卫视4K超高清频道播出系统建设项目（标段3：视音频播出通道系统）</w:t>
      </w:r>
    </w:p>
    <w:p>
      <w:pPr>
        <w:pStyle w:val="null3"/>
        <w:ind w:firstLine="480"/>
      </w:pPr>
      <w:r>
        <w:rPr/>
        <w:t>采购计划编号：</w:t>
      </w:r>
      <w:r>
        <w:rPr/>
        <w:t>440001-2025-03113</w:t>
      </w:r>
    </w:p>
    <w:p>
      <w:pPr>
        <w:pStyle w:val="null3"/>
        <w:ind w:firstLine="480"/>
      </w:pPr>
      <w:r>
        <w:rPr/>
        <w:t>采购项目编号：</w:t>
      </w:r>
      <w:r>
        <w:rPr/>
        <w:t>GPCGD253185HG006F</w:t>
      </w:r>
    </w:p>
    <w:p>
      <w:pPr>
        <w:pStyle w:val="null3"/>
        <w:ind w:firstLine="480"/>
      </w:pPr>
      <w:r>
        <w:rPr/>
        <w:t>采购方式：</w:t>
      </w:r>
      <w:r>
        <w:rPr/>
        <w:t>公开招标</w:t>
      </w:r>
    </w:p>
    <w:p>
      <w:pPr>
        <w:pStyle w:val="null3"/>
        <w:ind w:firstLine="480"/>
      </w:pPr>
      <w:r>
        <w:rPr/>
        <w:t>预算金额：</w:t>
      </w:r>
      <w:r>
        <w:rPr/>
        <w:t>5,200,000.00</w:t>
      </w:r>
      <w:r>
        <w:rPr/>
        <w:t>元</w:t>
      </w:r>
    </w:p>
    <w:p>
      <w:pPr>
        <w:pStyle w:val="null3"/>
        <w:outlineLvl w:val="3"/>
      </w:pPr>
      <w:r>
        <w:rPr>
          <w:sz w:val="24"/>
          <w:b/>
        </w:rPr>
        <w:t>2.项目内容及需求情况（采购项目技术规格、参数及要求）</w:t>
      </w:r>
    </w:p>
    <w:p>
      <w:pPr>
        <w:pStyle w:val="null3"/>
      </w:pPr>
      <w:r>
        <w:rPr/>
        <w:t>采购包1(广东卫视4K超高清频道播出系统建设项目（标段3：视音频播出通道系统）):</w:t>
      </w:r>
    </w:p>
    <w:p>
      <w:pPr>
        <w:pStyle w:val="null3"/>
      </w:pPr>
      <w:r>
        <w:rPr/>
        <w:t>采购包预算金额：5,200,000.00元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1-1</w:t>
            </w:r>
          </w:p>
        </w:tc>
        <w:tc>
          <w:tcPr>
            <w:tcW w:type="dxa" w:w="1424"/>
          </w:tcPr>
          <w:p>
            <w:pPr>
              <w:pStyle w:val="null3"/>
            </w:pPr>
            <w:r>
              <w:rPr/>
              <w:t>电视录制及电视播出中心设备</w:t>
            </w:r>
          </w:p>
        </w:tc>
        <w:tc>
          <w:tcPr>
            <w:tcW w:type="dxa" w:w="2136"/>
          </w:tcPr>
          <w:p>
            <w:pPr>
              <w:pStyle w:val="null3"/>
            </w:pPr>
            <w:r>
              <w:rPr/>
              <w:t>广东卫视4K超高清频道播出系统建设项目（标段3：视音频播出通道系统）(除核心产品外,详见采购需求清单）</w:t>
            </w:r>
          </w:p>
        </w:tc>
        <w:tc>
          <w:tcPr>
            <w:tcW w:type="dxa" w:w="1187"/>
          </w:tcPr>
          <w:p>
            <w:pPr>
              <w:pStyle w:val="null3"/>
            </w:pPr>
            <w:r>
              <w:rPr/>
              <w:t>1(批)</w:t>
            </w:r>
          </w:p>
        </w:tc>
        <w:tc>
          <w:tcPr>
            <w:tcW w:type="dxa" w:w="1187"/>
          </w:tcPr>
          <w:p>
            <w:pPr>
              <w:pStyle w:val="null3"/>
            </w:pPr>
            <w:r>
              <w:rPr/>
              <w:t>详见第二章</w:t>
            </w:r>
          </w:p>
        </w:tc>
        <w:tc>
          <w:tcPr>
            <w:tcW w:type="dxa" w:w="1187"/>
          </w:tcPr>
          <w:p>
            <w:pPr>
              <w:pStyle w:val="null3"/>
            </w:pPr>
            <w:r>
              <w:rPr/>
              <w:t>是</w:t>
            </w:r>
          </w:p>
        </w:tc>
      </w:tr>
      <w:tr>
        <w:tc>
          <w:tcPr>
            <w:tcW w:type="dxa" w:w="1187"/>
          </w:tcPr>
          <w:p>
            <w:pPr>
              <w:pStyle w:val="null3"/>
            </w:pPr>
            <w:r>
              <w:rPr/>
              <w:t>1-2</w:t>
            </w:r>
          </w:p>
        </w:tc>
        <w:tc>
          <w:tcPr>
            <w:tcW w:type="dxa" w:w="1424"/>
          </w:tcPr>
          <w:p>
            <w:pPr>
              <w:pStyle w:val="null3"/>
            </w:pPr>
            <w:r>
              <w:rPr/>
              <w:t>电视录制及电视播出中心设备</w:t>
            </w:r>
          </w:p>
        </w:tc>
        <w:tc>
          <w:tcPr>
            <w:tcW w:type="dxa" w:w="2136"/>
          </w:tcPr>
          <w:p>
            <w:pPr>
              <w:pStyle w:val="null3"/>
            </w:pPr>
            <w:r>
              <w:rPr/>
              <w:t>4K SDI播出切换设备 （核心产品）</w:t>
            </w:r>
          </w:p>
        </w:tc>
        <w:tc>
          <w:tcPr>
            <w:tcW w:type="dxa" w:w="1187"/>
          </w:tcPr>
          <w:p>
            <w:pPr>
              <w:pStyle w:val="null3"/>
            </w:pPr>
            <w:r>
              <w:rPr/>
              <w:t>1(套)</w:t>
            </w:r>
          </w:p>
        </w:tc>
        <w:tc>
          <w:tcPr>
            <w:tcW w:type="dxa" w:w="1187"/>
          </w:tcPr>
          <w:p>
            <w:pPr>
              <w:pStyle w:val="null3"/>
            </w:pPr>
            <w:r>
              <w:rPr/>
              <w:t>详见第二章</w:t>
            </w:r>
          </w:p>
        </w:tc>
        <w:tc>
          <w:tcPr>
            <w:tcW w:type="dxa" w:w="1187"/>
          </w:tcPr>
          <w:p>
            <w:pPr>
              <w:pStyle w:val="null3"/>
            </w:pPr>
            <w:r>
              <w:rPr/>
              <w:t>是</w:t>
            </w:r>
          </w:p>
        </w:tc>
      </w:tr>
    </w:tbl>
    <w:p>
      <w:pPr>
        <w:pStyle w:val="null3"/>
      </w:pPr>
      <w:r>
        <w:rPr/>
        <w:t>本采购包不接受联合体投标</w:t>
      </w:r>
    </w:p>
    <w:p>
      <w:pPr>
        <w:pStyle w:val="null3"/>
      </w:pPr>
      <w:r>
        <w:rPr/>
        <w:t>合同分包：不允许合同分包</w:t>
      </w:r>
    </w:p>
    <w:p>
      <w:pPr>
        <w:pStyle w:val="null3"/>
      </w:pPr>
      <w:r>
        <w:rPr/>
        <w:t>合同履行期限：本合同履行期限自合同签订生效之日起至售后服务期满之日止。</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Pr>
        <w:pStyle w:val="null3"/>
      </w:pPr>
      <w:r>
        <w:rPr/>
        <w:t>2）有依法缴纳税收和社会保障资金的良好记录：提供投标截止日前6个月内任意1个月依法缴纳税收和社会保障资金的相关材料。 如依法免税或不需要缴纳社会保障资金的， 提供相应证明材料。</w:t>
      </w:r>
    </w:p>
    <w:p>
      <w:pPr>
        <w:pStyle w:val="null3"/>
      </w:pPr>
      <w:r>
        <w:rPr/>
        <w:t>3）具有良好的商业信誉和健全的财务会计制度：提供以下2种证明材料之一：①经会计师事务所审计的2023年度或2024年度财务状况报告；②同时提供a.基本开户行出具的资信证明，b.《基本存款账号信息》或《开户许可证》</w:t>
      </w:r>
    </w:p>
    <w:p>
      <w:pPr>
        <w:pStyle w:val="null3"/>
      </w:pPr>
      <w:r>
        <w:rPr/>
        <w:t>4）履行合同所必需的设备和专业技术能力：按投标（响应）文件格式填报设备及专业技术能力情况。</w:t>
      </w:r>
    </w:p>
    <w:p>
      <w:pPr>
        <w:pStyle w:val="null3"/>
      </w:pPr>
      <w:r>
        <w:rPr/>
        <w:t>5）参加采购活动前3年内，在经营活动中没有重大违法记录：参照投标函相关承诺格式内容。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outlineLvl w:val="3"/>
      </w:pPr>
      <w:r>
        <w:rPr>
          <w:sz w:val="24"/>
          <w:b/>
        </w:rPr>
        <w:t>3.本项目特定的资格要求：</w:t>
      </w:r>
    </w:p>
    <w:p>
      <w:pPr>
        <w:pStyle w:val="null3"/>
      </w:pPr>
      <w:r>
        <w:rPr/>
        <w:t>采购包1（广东卫视4K超高清频道播出系统建设项目（标段3：视音频播出通道系统））：</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广东广播电视台</w:t>
      </w:r>
    </w:p>
    <w:p>
      <w:pPr>
        <w:pStyle w:val="null3"/>
        <w:ind w:firstLine="480"/>
      </w:pPr>
      <w:r>
        <w:rPr/>
        <w:t xml:space="preserve"> 地址：</w:t>
      </w:r>
      <w:r>
        <w:rPr/>
        <w:t>广州市越秀区环市东路331、333号自编22号</w:t>
      </w:r>
    </w:p>
    <w:p>
      <w:pPr>
        <w:pStyle w:val="null3"/>
        <w:ind w:firstLine="480"/>
      </w:pPr>
      <w:r>
        <w:rPr/>
        <w:t xml:space="preserve"> 联系方式：</w:t>
      </w:r>
      <w:r>
        <w:rPr/>
        <w:t>020-61292948</w:t>
      </w:r>
    </w:p>
    <w:p>
      <w:pPr>
        <w:pStyle w:val="null3"/>
        <w:outlineLvl w:val="3"/>
      </w:pPr>
      <w:r>
        <w:rPr>
          <w:sz w:val="24"/>
          <w:b/>
        </w:rPr>
        <w:t xml:space="preserve"> 2.采购代理机构信息</w:t>
      </w:r>
    </w:p>
    <w:p>
      <w:pPr>
        <w:pStyle w:val="null3"/>
        <w:ind w:firstLine="480"/>
      </w:pPr>
      <w:r>
        <w:rPr/>
        <w:t xml:space="preserve"> 名称：</w:t>
      </w:r>
      <w:r>
        <w:rPr/>
        <w:t>广东省政府采购中心</w:t>
      </w:r>
    </w:p>
    <w:p>
      <w:pPr>
        <w:pStyle w:val="null3"/>
        <w:ind w:firstLine="480"/>
      </w:pPr>
      <w:r>
        <w:rPr/>
        <w:t xml:space="preserve"> 地址：</w:t>
      </w:r>
      <w:r>
        <w:rPr/>
        <w:t>广东省广州市越秀区越华路112号珠江国际大厦3楼</w:t>
      </w:r>
    </w:p>
    <w:p>
      <w:pPr>
        <w:pStyle w:val="null3"/>
        <w:ind w:firstLine="480"/>
      </w:pPr>
      <w:r>
        <w:rPr/>
        <w:t xml:space="preserve"> 联系方式：</w:t>
      </w:r>
      <w:r>
        <w:rPr/>
        <w:t>020-83187191</w:t>
      </w:r>
    </w:p>
    <w:p>
      <w:pPr>
        <w:pStyle w:val="null3"/>
        <w:outlineLvl w:val="3"/>
      </w:pPr>
      <w:r>
        <w:rPr>
          <w:sz w:val="24"/>
          <w:b/>
        </w:rPr>
        <w:t xml:space="preserve"> 3.项目联系方式</w:t>
      </w:r>
    </w:p>
    <w:p>
      <w:pPr>
        <w:pStyle w:val="null3"/>
        <w:ind w:firstLine="480"/>
      </w:pPr>
      <w:r>
        <w:rPr/>
        <w:t xml:space="preserve"> 项目联系人：</w:t>
      </w:r>
      <w:r>
        <w:rPr/>
        <w:t>王工</w:t>
      </w:r>
    </w:p>
    <w:p>
      <w:pPr>
        <w:pStyle w:val="null3"/>
        <w:ind w:firstLine="480"/>
      </w:pPr>
      <w:r>
        <w:rPr/>
        <w:t xml:space="preserve"> 电话：</w:t>
      </w:r>
      <w:r>
        <w:rPr/>
        <w:t>020-83187191</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广东省政府采购中心</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4"/>
          <w:b/>
        </w:rPr>
        <w:t xml:space="preserve">     1.名称与编号</w:t>
      </w:r>
    </w:p>
    <w:p>
      <w:pPr>
        <w:pStyle w:val="null3"/>
        <w:ind w:firstLine="420"/>
        <w:jc w:val="both"/>
      </w:pPr>
      <w:r>
        <w:rPr>
          <w:sz w:val="24"/>
        </w:rPr>
        <w:t>项目名称：广东卫视4K超高清频道播出系统建设项目（标段3：视音频播出通道系统）采购项目编号：</w:t>
      </w:r>
    </w:p>
    <w:p>
      <w:pPr>
        <w:pStyle w:val="null3"/>
        <w:ind w:firstLine="420"/>
        <w:jc w:val="both"/>
      </w:pPr>
      <w:r>
        <w:rPr>
          <w:sz w:val="24"/>
        </w:rPr>
        <w:t>采购方式：公开招标</w:t>
      </w:r>
    </w:p>
    <w:p>
      <w:pPr>
        <w:pStyle w:val="null3"/>
        <w:ind w:firstLine="420"/>
        <w:jc w:val="both"/>
      </w:pPr>
      <w:r>
        <w:rPr>
          <w:sz w:val="24"/>
        </w:rPr>
        <w:t>预算金额：¥5200000元。</w:t>
      </w:r>
    </w:p>
    <w:p>
      <w:pPr>
        <w:pStyle w:val="null3"/>
        <w:ind w:firstLine="482"/>
        <w:jc w:val="both"/>
      </w:pPr>
      <w:r>
        <w:rPr>
          <w:sz w:val="24"/>
          <w:b/>
        </w:rPr>
        <w:t>2.项目内容及需求情况（采购项目技术规格、参数及要求）</w:t>
      </w:r>
    </w:p>
    <w:p>
      <w:pPr>
        <w:pStyle w:val="null3"/>
        <w:ind w:firstLine="420"/>
        <w:jc w:val="both"/>
      </w:pPr>
      <w:r>
        <w:rPr>
          <w:sz w:val="24"/>
        </w:rPr>
        <w:t>本项目属于货物类项目，不分包</w:t>
      </w:r>
    </w:p>
    <w:tbl>
      <w:tblPr>
        <w:tblW w:w="0" w:type="auto"/>
        <w:tblBorders>
          <w:top w:val="none" w:color="000000" w:sz="4"/>
          <w:left w:val="none" w:color="000000" w:sz="4"/>
          <w:bottom w:val="none" w:color="000000" w:sz="4"/>
          <w:right w:val="none" w:color="000000" w:sz="4"/>
          <w:insideH w:val="none"/>
          <w:insideV w:val="none"/>
        </w:tblBorders>
      </w:tblPr>
      <w:tblGrid>
        <w:gridCol w:w="779"/>
        <w:gridCol w:w="3374"/>
        <w:gridCol w:w="1644"/>
        <w:gridCol w:w="1471"/>
        <w:gridCol w:w="1038"/>
      </w:tblGrid>
      <w:tr>
        <w:tc>
          <w:tcPr>
            <w:tcW w:type="dxa" w:w="77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序号</w:t>
            </w:r>
          </w:p>
        </w:tc>
        <w:tc>
          <w:tcPr>
            <w:tcW w:type="dxa" w:w="337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采购标的</w:t>
            </w:r>
          </w:p>
        </w:tc>
        <w:tc>
          <w:tcPr>
            <w:tcW w:type="dxa" w:w="164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数量（单位）</w:t>
            </w:r>
          </w:p>
        </w:tc>
        <w:tc>
          <w:tcPr>
            <w:tcW w:type="dxa" w:w="147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技术规格、参数及要求</w:t>
            </w:r>
          </w:p>
        </w:tc>
        <w:tc>
          <w:tcPr>
            <w:tcW w:type="dxa" w:w="103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预算（元）</w:t>
            </w:r>
          </w:p>
        </w:tc>
      </w:tr>
      <w:tr>
        <w:tc>
          <w:tcPr>
            <w:tcW w:type="dxa" w:w="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1</w:t>
            </w:r>
          </w:p>
        </w:tc>
        <w:tc>
          <w:tcPr>
            <w:tcW w:type="dxa" w:w="33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广东卫视4K超高清频道播出系统视音频播出通道设备</w:t>
            </w:r>
          </w:p>
        </w:tc>
        <w:tc>
          <w:tcPr>
            <w:tcW w:type="dxa" w:w="16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一批</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详见用户需求书</w:t>
            </w:r>
          </w:p>
        </w:tc>
        <w:tc>
          <w:tcPr>
            <w:tcW w:type="dxa" w:w="10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¥5200000</w:t>
            </w:r>
          </w:p>
        </w:tc>
      </w:tr>
    </w:tbl>
    <w:p>
      <w:pPr>
        <w:pStyle w:val="null3"/>
        <w:ind w:firstLine="420"/>
        <w:jc w:val="both"/>
      </w:pPr>
      <w:r>
        <w:rPr>
          <w:sz w:val="24"/>
        </w:rPr>
        <w:t>本采购包不接受联合体投标。中小企业划分标准所属行业为：工业。</w:t>
      </w:r>
    </w:p>
    <w:p>
      <w:pPr>
        <w:pStyle w:val="null3"/>
        <w:ind w:firstLine="420"/>
        <w:jc w:val="both"/>
      </w:pPr>
      <w:r>
        <w:rPr>
          <w:sz w:val="24"/>
        </w:rPr>
        <w:t>合同履行期限：本合同履行期限自合同签订生效之日起至售后服务期满之日止。具体为：</w:t>
      </w:r>
    </w:p>
    <w:p>
      <w:pPr>
        <w:pStyle w:val="null3"/>
        <w:ind w:firstLine="420"/>
        <w:jc w:val="both"/>
      </w:pPr>
      <w:r>
        <w:rPr>
          <w:sz w:val="24"/>
        </w:rPr>
        <w:t>1、交货及系统集成验收期。具体交付时间及验收见设备交货及系统集成及验收条款约定。2、售后服务期限。以正式合同约定的年限为准，自最终验收合格之日起算。乙方应提供维修、技术支持和配件更换等服务。具体服务内容见相关售后服务条款约定。</w:t>
      </w:r>
    </w:p>
    <w:p>
      <w:pPr>
        <w:pStyle w:val="null3"/>
        <w:jc w:val="center"/>
      </w:pPr>
      <w:r>
        <w:rPr>
          <w:sz w:val="24"/>
          <w:b/>
        </w:rPr>
        <w:t>用户需求书</w:t>
      </w:r>
    </w:p>
    <w:p>
      <w:pPr>
        <w:pStyle w:val="null3"/>
        <w:ind w:firstLine="422"/>
        <w:jc w:val="both"/>
      </w:pPr>
      <w:r>
        <w:rPr>
          <w:sz w:val="24"/>
          <w:b/>
        </w:rPr>
        <w:t>说明：</w:t>
      </w:r>
    </w:p>
    <w:p>
      <w:pPr>
        <w:pStyle w:val="null3"/>
        <w:ind w:firstLine="422"/>
        <w:jc w:val="both"/>
      </w:pPr>
      <w:r>
        <w:rPr>
          <w:sz w:val="24"/>
          <w:b/>
          <w:u w:val="single"/>
        </w:rPr>
        <w:t>1.本招标文件中，凡标有“★”的地方，投标人要特别加以注意，必须对此做出一一响应。若有一项带“★”的指标未响应或不满足，将导致其废标或投标无效。</w:t>
      </w:r>
    </w:p>
    <w:p>
      <w:pPr>
        <w:pStyle w:val="null3"/>
        <w:ind w:firstLine="422"/>
        <w:jc w:val="both"/>
      </w:pPr>
      <w:r>
        <w:rPr>
          <w:sz w:val="24"/>
          <w:b/>
          <w:u w:val="single"/>
        </w:rPr>
        <w:t>2.本招标文件中，凡标有“▲”号条款为重要技术参数，但不作为无效响应条款。</w:t>
      </w:r>
    </w:p>
    <w:p>
      <w:pPr>
        <w:pStyle w:val="null3"/>
        <w:ind w:firstLine="422"/>
        <w:jc w:val="both"/>
      </w:pPr>
      <w:r>
        <w:rPr>
          <w:sz w:val="24"/>
          <w:b/>
          <w:u w:val="single"/>
        </w:rPr>
        <w:t>3.供应商所投的产品，符合节能产品、环境标志产品政策要求的，按附件中《政策适用性说明》格式提供说明。</w:t>
      </w:r>
    </w:p>
    <w:p>
      <w:pPr>
        <w:pStyle w:val="null3"/>
        <w:ind w:firstLine="422"/>
        <w:jc w:val="both"/>
      </w:pPr>
      <w:r>
        <w:rPr>
          <w:sz w:val="24"/>
          <w:b/>
          <w:u w:val="single"/>
        </w:rPr>
        <w:t>★4.投标人须承诺所投货物均符合国家强制性要求。（投标时提供承诺，可参照“投标（响应）文件格式”中《承诺函》格式）。</w:t>
      </w:r>
    </w:p>
    <w:p>
      <w:pPr>
        <w:pStyle w:val="null3"/>
        <w:ind w:firstLine="422"/>
        <w:jc w:val="both"/>
      </w:pPr>
      <w:r>
        <w:rPr>
          <w:sz w:val="24"/>
          <w:b/>
          <w:u w:val="single"/>
        </w:rPr>
        <w:t>★5.供应商须保证，如中标，投标文件所提供的材料，如果有效期（包括需要年审、继续教育等完成后才能执业的行政许可、人员证书等情形）未能覆盖项目（包组）合同履行期的，将提前按规定办理延期手续，确保合同顺利履行。（投标时提供承诺，可参照“投标文件格式”中《承诺函》格式）</w:t>
      </w:r>
    </w:p>
    <w:p>
      <w:pPr>
        <w:pStyle w:val="null3"/>
        <w:ind w:firstLine="422"/>
        <w:jc w:val="both"/>
      </w:pPr>
      <w:r>
        <w:rPr>
          <w:sz w:val="24"/>
          <w:b/>
        </w:rPr>
        <w:t>一. 项目概况</w:t>
      </w:r>
    </w:p>
    <w:p>
      <w:pPr>
        <w:pStyle w:val="null3"/>
        <w:ind w:firstLine="420"/>
        <w:jc w:val="both"/>
      </w:pPr>
      <w:r>
        <w:rPr>
          <w:sz w:val="24"/>
        </w:rPr>
        <w:t>本项目充分考虑广东卫视频道 4K 超高清播出高安全性和高质量的要求，计划采用先进且成熟的技术来建设一套基于IP + 12G-SDI架构4K 超高清播出视音频通道系统，包含主、备、二备链路及其周边设备。</w:t>
      </w:r>
    </w:p>
    <w:p>
      <w:pPr>
        <w:pStyle w:val="null3"/>
        <w:ind w:firstLine="420"/>
        <w:jc w:val="both"/>
      </w:pPr>
      <w:r>
        <w:rPr>
          <w:sz w:val="24"/>
        </w:rPr>
        <w:t>其中主、备通道产生SMPTE ST 2110标准IP信号分别通过主、备IPG网关转成12G-SDI信号，二备通道产生12G-SDI信号，三个通道同时进入两路12G的4X1末级倒换开关，从技术架构上和冗余备份上，提高安全播出快速处置能力。</w:t>
      </w:r>
    </w:p>
    <w:p>
      <w:pPr>
        <w:pStyle w:val="null3"/>
        <w:ind w:firstLine="420"/>
        <w:jc w:val="both"/>
      </w:pPr>
      <w:r>
        <w:drawing>
          <wp:inline distT="0" distR="0" distB="0" distL="0">
            <wp:extent cx="5274310" cy="3652641"/>
            <wp:docPr id="1" name="Drawing 1" descr="img"/>
            <a:graphic xmlns:a="http://schemas.openxmlformats.org/drawingml/2006/main">
              <a:graphicData uri="http://schemas.openxmlformats.org/drawingml/2006/picture">
                <pic:pic xmlns:pic="http://schemas.openxmlformats.org/drawingml/2006/picture">
                  <pic:nvPicPr>
                    <pic:cNvPr id="0" name="Picture 1" descr="img"/>
                    <pic:cNvPicPr>
                      <a:picLocks noChangeAspect="true"/>
                    </pic:cNvPicPr>
                  </pic:nvPicPr>
                  <pic:blipFill>
                    <a:blip r:embed="rId6"/>
                    <a:stretch>
                      <a:fillRect/>
                    </a:stretch>
                  </pic:blipFill>
                  <pic:spPr>
                    <a:xfrm>
                      <a:off x="0" y="0"/>
                      <a:ext cx="5274310" cy="3652641"/>
                    </a:xfrm>
                    <a:prstGeom prst="rect">
                      <a:avLst/>
                    </a:prstGeom>
                  </pic:spPr>
                </pic:pic>
              </a:graphicData>
            </a:graphic>
          </wp:inline>
        </w:drawing>
      </w:r>
    </w:p>
    <w:p>
      <w:pPr>
        <w:pStyle w:val="null3"/>
        <w:ind w:firstLine="420"/>
        <w:jc w:val="both"/>
      </w:pPr>
      <w:r>
        <w:rPr>
          <w:sz w:val="24"/>
        </w:rPr>
        <w:t>为满足系统搭建需求，本分包须提供包含垫播信号源设备的“4K信号源系统”，包含基带切换设备、基带切换矩阵、视频分配器、上下变换器、IPG网关、跳线架等设备的“视音频播出通道系统”，包含监视器、监听器、多画面分割器、Tally系统、技术指标监测等设备的“技术监看监听系统”</w:t>
      </w:r>
    </w:p>
    <w:p>
      <w:pPr>
        <w:pStyle w:val="null3"/>
      </w:pPr>
      <w:r>
        <w:rPr>
          <w:sz w:val="24"/>
          <w:b/>
        </w:rPr>
        <w:t xml:space="preserve">      ★投标人必须承诺，签订合同后提供货物来源合法的证明。（投标时提交承诺，可参照“格式”中《承诺函》格式）。</w:t>
      </w:r>
    </w:p>
    <w:p>
      <w:pPr>
        <w:pStyle w:val="null3"/>
        <w:ind w:firstLine="420"/>
        <w:jc w:val="both"/>
      </w:pPr>
      <w:r>
        <w:rPr>
          <w:sz w:val="24"/>
        </w:rPr>
        <w:t>★本包组不允许分包，如供应商在投标/响应文件中未出现《分包协议意向书》，则视为未采取分包</w:t>
      </w:r>
    </w:p>
    <w:p>
      <w:pPr>
        <w:pStyle w:val="null3"/>
        <w:spacing w:before="45" w:after="45"/>
        <w:ind w:firstLine="422"/>
        <w:jc w:val="both"/>
      </w:pPr>
      <w:r>
        <w:rPr>
          <w:sz w:val="24"/>
          <w:b/>
        </w:rPr>
        <w:t>二. 主要商务要求</w:t>
      </w:r>
    </w:p>
    <w:tbl>
      <w:tblPr>
        <w:tblW w:w="0" w:type="auto"/>
        <w:tblBorders>
          <w:top w:val="none" w:color="000000" w:sz="4"/>
          <w:left w:val="none" w:color="000000" w:sz="4"/>
          <w:bottom w:val="none" w:color="000000" w:sz="4"/>
          <w:right w:val="none" w:color="000000" w:sz="4"/>
          <w:insideH w:val="none"/>
          <w:insideV w:val="none"/>
        </w:tblBorders>
      </w:tblPr>
      <w:tblGrid>
        <w:gridCol w:w="1594"/>
        <w:gridCol w:w="6712"/>
      </w:tblGrid>
      <w:tr>
        <w:tc>
          <w:tcPr>
            <w:tcW w:type="dxa" w:w="1594"/>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4"/>
              </w:rPr>
              <w:t>标的提供的时间</w:t>
            </w:r>
          </w:p>
        </w:tc>
        <w:tc>
          <w:tcPr>
            <w:tcW w:type="dxa" w:w="6712"/>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r>
              <w:rPr>
                <w:sz w:val="24"/>
              </w:rPr>
              <w:t>系统及设备交货时间为合同生效后30日历天内</w:t>
            </w:r>
          </w:p>
        </w:tc>
      </w:tr>
      <w:tr>
        <w:tc>
          <w:tcPr>
            <w:tcW w:type="dxa" w:w="15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4"/>
              </w:rPr>
              <w:t>标的提供的地点</w:t>
            </w:r>
          </w:p>
        </w:tc>
        <w:tc>
          <w:tcPr>
            <w:tcW w:type="dxa" w:w="671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r>
              <w:rPr>
                <w:sz w:val="24"/>
              </w:rPr>
              <w:t>广州市越秀区环市东路331号广东电视中心</w:t>
            </w:r>
          </w:p>
        </w:tc>
      </w:tr>
      <w:tr>
        <w:tc>
          <w:tcPr>
            <w:tcW w:type="dxa" w:w="15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4"/>
              </w:rPr>
              <w:t>投标有效期</w:t>
            </w:r>
          </w:p>
        </w:tc>
        <w:tc>
          <w:tcPr>
            <w:tcW w:type="dxa" w:w="671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r>
              <w:rPr>
                <w:sz w:val="24"/>
              </w:rPr>
              <w:t>从提交投标（响应）文件的截止之日起90日历天</w:t>
            </w:r>
          </w:p>
        </w:tc>
      </w:tr>
      <w:tr>
        <w:tc>
          <w:tcPr>
            <w:tcW w:type="dxa" w:w="15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4"/>
              </w:rPr>
              <w:t>付款方式</w:t>
            </w:r>
          </w:p>
        </w:tc>
        <w:tc>
          <w:tcPr>
            <w:tcW w:type="dxa" w:w="671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r>
              <w:rPr>
                <w:sz w:val="24"/>
              </w:rPr>
              <w:t>1、合同生效后10个工作日内，采购人向中标人支付合同总价的30%。</w:t>
            </w:r>
          </w:p>
          <w:p>
            <w:pPr>
              <w:pStyle w:val="null3"/>
            </w:pPr>
            <w:r>
              <w:rPr>
                <w:sz w:val="24"/>
              </w:rPr>
              <w:t>2、中标人收到合同首期款后10个工作日内，向采购人提交金额为本合同总额5%的履约保证金。在系统及设备最终验收合格，合同全部履行完毕且供应商不存在违约情形的10个工作日内采购人无息退还履约保证金。中标人应在约定时间内提交履约保证金，否则采购人有权延期支付应付未付的款项。（履约保证金的退还按法律规定处理。采购人无正当理由逾期退还履约保证金，导致供应商权益受损的，采购人除应退还履约保证金外，应赔偿中标供应商的损失。）</w:t>
            </w:r>
          </w:p>
          <w:p>
            <w:pPr>
              <w:pStyle w:val="null3"/>
            </w:pPr>
            <w:r>
              <w:rPr>
                <w:sz w:val="24"/>
              </w:rPr>
              <w:t>3、中标人按时按质向采购人交付本项目合同及附件约定的全部系统及设备，完成安装调试和系统集成，经采购人初步验收合格后10个工作日内，采购人向中标人支付合同总价的50%。</w:t>
            </w:r>
          </w:p>
          <w:p>
            <w:pPr>
              <w:pStyle w:val="null3"/>
            </w:pPr>
            <w:r>
              <w:rPr>
                <w:sz w:val="24"/>
              </w:rPr>
              <w:t>4、广东卫视4K超高清播出系统建设项目整体经采购人最终验收合格后10个工作日内，采购人向中标人支付合同总价的20%。</w:t>
            </w:r>
          </w:p>
        </w:tc>
      </w:tr>
      <w:tr>
        <w:tc>
          <w:tcPr>
            <w:tcW w:type="dxa" w:w="15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4"/>
              </w:rPr>
              <w:t>验收要求</w:t>
            </w:r>
          </w:p>
        </w:tc>
        <w:tc>
          <w:tcPr>
            <w:tcW w:type="dxa" w:w="671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r>
              <w:rPr>
                <w:sz w:val="24"/>
              </w:rPr>
              <w:t>按照采购需求及合同验收要求执行。</w:t>
            </w:r>
          </w:p>
        </w:tc>
      </w:tr>
    </w:tbl>
    <w:p>
      <w:pPr>
        <w:pStyle w:val="null3"/>
        <w:ind w:firstLine="420"/>
        <w:jc w:val="both"/>
      </w:pPr>
      <w:r>
        <w:rPr>
          <w:sz w:val="24"/>
        </w:rPr>
        <w:t>说明：（1）采购人以电汇或者银行承兑汇票方式向中标人支付合同款项；（2）要求投标人应为一般纳税人，能开具增值税专用发票；若投标人获得中标后无法向采购人开具增值税专用发票的，由此产生的后果及经济损失由投标人承担。</w:t>
      </w:r>
    </w:p>
    <w:p>
      <w:pPr>
        <w:pStyle w:val="null3"/>
        <w:jc w:val="both"/>
      </w:pPr>
      <w:r>
        <w:rPr>
          <w:sz w:val="24"/>
        </w:rPr>
        <w:t xml:space="preserve">三. </w:t>
      </w:r>
      <w:r>
        <w:rPr>
          <w:sz w:val="24"/>
          <w:b/>
        </w:rPr>
        <w:t>采购需求</w:t>
      </w:r>
    </w:p>
    <w:tbl>
      <w:tblPr>
        <w:tblW w:w="0" w:type="auto"/>
        <w:tblBorders>
          <w:top w:val="none" w:color="000000" w:sz="4"/>
          <w:left w:val="none" w:color="000000" w:sz="4"/>
          <w:bottom w:val="none" w:color="000000" w:sz="4"/>
          <w:right w:val="none" w:color="000000" w:sz="4"/>
          <w:insideH w:val="none"/>
          <w:insideV w:val="none"/>
        </w:tblBorders>
      </w:tblPr>
      <w:tblGrid>
        <w:gridCol w:w="1102"/>
        <w:gridCol w:w="3983"/>
        <w:gridCol w:w="848"/>
        <w:gridCol w:w="678"/>
        <w:gridCol w:w="1695"/>
      </w:tblGrid>
      <w:tr>
        <w:tc>
          <w:tcPr>
            <w:tcW w:type="dxa" w:w="1102"/>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rPr>
              <w:t>序号</w:t>
            </w:r>
          </w:p>
        </w:tc>
        <w:tc>
          <w:tcPr>
            <w:tcW w:type="dxa" w:w="3983"/>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设备设施</w:t>
            </w:r>
          </w:p>
        </w:tc>
        <w:tc>
          <w:tcPr>
            <w:tcW w:type="dxa" w:w="848"/>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单位</w:t>
            </w:r>
          </w:p>
        </w:tc>
        <w:tc>
          <w:tcPr>
            <w:tcW w:type="dxa" w:w="678"/>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数量</w:t>
            </w:r>
          </w:p>
        </w:tc>
        <w:tc>
          <w:tcPr>
            <w:tcW w:type="dxa" w:w="1695"/>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是否接受进口</w:t>
            </w:r>
          </w:p>
        </w:tc>
      </w:tr>
      <w:tr>
        <w:tc>
          <w:tcPr>
            <w:tcW w:type="dxa" w:w="110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rPr>
              <w:t>1</w:t>
            </w:r>
          </w:p>
        </w:tc>
        <w:tc>
          <w:tcPr>
            <w:tcW w:type="dxa" w:w="39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4K信号源系统</w:t>
            </w:r>
          </w:p>
        </w:tc>
        <w:tc>
          <w:tcPr>
            <w:tcW w:type="dxa" w:w="84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695"/>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110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rPr>
              <w:t>1.1</w:t>
            </w:r>
          </w:p>
        </w:tc>
        <w:tc>
          <w:tcPr>
            <w:tcW w:type="dxa" w:w="39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rPr>
              <w:t>4K垫片系统</w:t>
            </w:r>
          </w:p>
        </w:tc>
        <w:tc>
          <w:tcPr>
            <w:tcW w:type="dxa" w:w="84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台</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1</w:t>
            </w:r>
          </w:p>
        </w:tc>
        <w:tc>
          <w:tcPr>
            <w:tcW w:type="dxa" w:w="16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否</w:t>
            </w:r>
          </w:p>
        </w:tc>
      </w:tr>
      <w:tr>
        <w:tc>
          <w:tcPr>
            <w:tcW w:type="dxa" w:w="110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rPr>
              <w:t>2</w:t>
            </w:r>
          </w:p>
        </w:tc>
        <w:tc>
          <w:tcPr>
            <w:tcW w:type="dxa" w:w="39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视音频播出通道系统</w:t>
            </w:r>
          </w:p>
        </w:tc>
        <w:tc>
          <w:tcPr>
            <w:tcW w:type="dxa" w:w="84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695"/>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110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rPr>
              <w:t>2.1</w:t>
            </w:r>
          </w:p>
        </w:tc>
        <w:tc>
          <w:tcPr>
            <w:tcW w:type="dxa" w:w="39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rPr>
              <w:t>4K SDI播出切换设备</w:t>
            </w:r>
          </w:p>
        </w:tc>
        <w:tc>
          <w:tcPr>
            <w:tcW w:type="dxa" w:w="84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套</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1</w:t>
            </w:r>
          </w:p>
        </w:tc>
        <w:tc>
          <w:tcPr>
            <w:tcW w:type="dxa" w:w="16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接受进口</w:t>
            </w:r>
          </w:p>
        </w:tc>
      </w:tr>
      <w:tr>
        <w:tc>
          <w:tcPr>
            <w:tcW w:type="dxa" w:w="110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rPr>
              <w:t>2.2.1</w:t>
            </w:r>
          </w:p>
        </w:tc>
        <w:tc>
          <w:tcPr>
            <w:tcW w:type="dxa" w:w="39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rPr>
              <w:t>4K播出调度矩阵</w:t>
            </w:r>
          </w:p>
        </w:tc>
        <w:tc>
          <w:tcPr>
            <w:tcW w:type="dxa" w:w="84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套</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1</w:t>
            </w:r>
          </w:p>
        </w:tc>
        <w:tc>
          <w:tcPr>
            <w:tcW w:type="dxa" w:w="16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接受进口</w:t>
            </w:r>
          </w:p>
        </w:tc>
      </w:tr>
      <w:tr>
        <w:tc>
          <w:tcPr>
            <w:tcW w:type="dxa" w:w="110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rPr>
              <w:t>2.2.2</w:t>
            </w:r>
          </w:p>
        </w:tc>
        <w:tc>
          <w:tcPr>
            <w:tcW w:type="dxa" w:w="39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rPr>
              <w:t>4K格式转换器</w:t>
            </w:r>
          </w:p>
        </w:tc>
        <w:tc>
          <w:tcPr>
            <w:tcW w:type="dxa" w:w="84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台</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8</w:t>
            </w:r>
          </w:p>
        </w:tc>
        <w:tc>
          <w:tcPr>
            <w:tcW w:type="dxa" w:w="16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否</w:t>
            </w:r>
          </w:p>
        </w:tc>
      </w:tr>
      <w:tr>
        <w:tc>
          <w:tcPr>
            <w:tcW w:type="dxa" w:w="110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rPr>
              <w:t>2.3</w:t>
            </w:r>
          </w:p>
        </w:tc>
        <w:tc>
          <w:tcPr>
            <w:tcW w:type="dxa" w:w="39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rPr>
              <w:t>4K信号4x1静净倒换器</w:t>
            </w:r>
          </w:p>
        </w:tc>
        <w:tc>
          <w:tcPr>
            <w:tcW w:type="dxa" w:w="84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台</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3</w:t>
            </w:r>
          </w:p>
        </w:tc>
        <w:tc>
          <w:tcPr>
            <w:tcW w:type="dxa" w:w="16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接受进口</w:t>
            </w:r>
          </w:p>
        </w:tc>
      </w:tr>
      <w:tr>
        <w:tc>
          <w:tcPr>
            <w:tcW w:type="dxa" w:w="110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rPr>
              <w:t>2.4.1</w:t>
            </w:r>
          </w:p>
        </w:tc>
        <w:tc>
          <w:tcPr>
            <w:tcW w:type="dxa" w:w="39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rPr>
              <w:t>4K视频分配器（带旁通）</w:t>
            </w:r>
          </w:p>
        </w:tc>
        <w:tc>
          <w:tcPr>
            <w:tcW w:type="dxa" w:w="84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台</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8</w:t>
            </w:r>
          </w:p>
        </w:tc>
        <w:tc>
          <w:tcPr>
            <w:tcW w:type="dxa" w:w="16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接受进口</w:t>
            </w:r>
          </w:p>
        </w:tc>
      </w:tr>
      <w:tr>
        <w:tc>
          <w:tcPr>
            <w:tcW w:type="dxa" w:w="110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rPr>
              <w:t>2.4.2</w:t>
            </w:r>
          </w:p>
        </w:tc>
        <w:tc>
          <w:tcPr>
            <w:tcW w:type="dxa" w:w="39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rPr>
              <w:t>4K视频分配器</w:t>
            </w:r>
          </w:p>
        </w:tc>
        <w:tc>
          <w:tcPr>
            <w:tcW w:type="dxa" w:w="84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台</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20</w:t>
            </w:r>
          </w:p>
        </w:tc>
        <w:tc>
          <w:tcPr>
            <w:tcW w:type="dxa" w:w="16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接受进口</w:t>
            </w:r>
          </w:p>
        </w:tc>
      </w:tr>
      <w:tr>
        <w:tc>
          <w:tcPr>
            <w:tcW w:type="dxa" w:w="110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rPr>
              <w:t>2.5.1</w:t>
            </w:r>
          </w:p>
        </w:tc>
        <w:tc>
          <w:tcPr>
            <w:tcW w:type="dxa" w:w="39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rPr>
              <w:t>主4K/HD上下变换器</w:t>
            </w:r>
          </w:p>
        </w:tc>
        <w:tc>
          <w:tcPr>
            <w:tcW w:type="dxa" w:w="84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套</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1</w:t>
            </w:r>
          </w:p>
        </w:tc>
        <w:tc>
          <w:tcPr>
            <w:tcW w:type="dxa" w:w="16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接受进口</w:t>
            </w:r>
          </w:p>
        </w:tc>
      </w:tr>
      <w:tr>
        <w:tc>
          <w:tcPr>
            <w:tcW w:type="dxa" w:w="110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rPr>
              <w:t>2.5.2</w:t>
            </w:r>
          </w:p>
        </w:tc>
        <w:tc>
          <w:tcPr>
            <w:tcW w:type="dxa" w:w="39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rPr>
              <w:t>备4K/HD上下变换器</w:t>
            </w:r>
          </w:p>
        </w:tc>
        <w:tc>
          <w:tcPr>
            <w:tcW w:type="dxa" w:w="84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台</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1</w:t>
            </w:r>
          </w:p>
        </w:tc>
        <w:tc>
          <w:tcPr>
            <w:tcW w:type="dxa" w:w="16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接受进口</w:t>
            </w:r>
          </w:p>
        </w:tc>
      </w:tr>
      <w:tr>
        <w:tc>
          <w:tcPr>
            <w:tcW w:type="dxa" w:w="110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rPr>
              <w:t>2.6.1</w:t>
            </w:r>
          </w:p>
        </w:tc>
        <w:tc>
          <w:tcPr>
            <w:tcW w:type="dxa" w:w="39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rPr>
              <w:t>主12G/IP信号网关</w:t>
            </w:r>
          </w:p>
        </w:tc>
        <w:tc>
          <w:tcPr>
            <w:tcW w:type="dxa" w:w="84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套</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2</w:t>
            </w:r>
          </w:p>
        </w:tc>
        <w:tc>
          <w:tcPr>
            <w:tcW w:type="dxa" w:w="16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接受进口</w:t>
            </w:r>
          </w:p>
        </w:tc>
      </w:tr>
      <w:tr>
        <w:tc>
          <w:tcPr>
            <w:tcW w:type="dxa" w:w="110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rPr>
              <w:t>2.6.2</w:t>
            </w:r>
          </w:p>
        </w:tc>
        <w:tc>
          <w:tcPr>
            <w:tcW w:type="dxa" w:w="39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rPr>
              <w:t>备12G/IP信号网关</w:t>
            </w:r>
          </w:p>
        </w:tc>
        <w:tc>
          <w:tcPr>
            <w:tcW w:type="dxa" w:w="84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套</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1</w:t>
            </w:r>
          </w:p>
        </w:tc>
        <w:tc>
          <w:tcPr>
            <w:tcW w:type="dxa" w:w="16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接受进口</w:t>
            </w:r>
          </w:p>
        </w:tc>
      </w:tr>
      <w:tr>
        <w:tc>
          <w:tcPr>
            <w:tcW w:type="dxa" w:w="110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rPr>
              <w:t>2.7</w:t>
            </w:r>
          </w:p>
        </w:tc>
        <w:tc>
          <w:tcPr>
            <w:tcW w:type="dxa" w:w="39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rPr>
              <w:t>模拟视分</w:t>
            </w:r>
          </w:p>
        </w:tc>
        <w:tc>
          <w:tcPr>
            <w:tcW w:type="dxa" w:w="84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台</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6</w:t>
            </w:r>
          </w:p>
        </w:tc>
        <w:tc>
          <w:tcPr>
            <w:tcW w:type="dxa" w:w="16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接受进口</w:t>
            </w:r>
          </w:p>
        </w:tc>
      </w:tr>
      <w:tr>
        <w:tc>
          <w:tcPr>
            <w:tcW w:type="dxa" w:w="110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rPr>
              <w:t>2.8</w:t>
            </w:r>
          </w:p>
        </w:tc>
        <w:tc>
          <w:tcPr>
            <w:tcW w:type="dxa" w:w="39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rPr>
              <w:t>跳线架</w:t>
            </w:r>
          </w:p>
        </w:tc>
        <w:tc>
          <w:tcPr>
            <w:tcW w:type="dxa" w:w="84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条</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4</w:t>
            </w:r>
          </w:p>
        </w:tc>
        <w:tc>
          <w:tcPr>
            <w:tcW w:type="dxa" w:w="16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接受进口</w:t>
            </w:r>
          </w:p>
        </w:tc>
      </w:tr>
      <w:tr>
        <w:tc>
          <w:tcPr>
            <w:tcW w:type="dxa" w:w="110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rPr>
              <w:t>3</w:t>
            </w:r>
          </w:p>
        </w:tc>
        <w:tc>
          <w:tcPr>
            <w:tcW w:type="dxa" w:w="39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技术监看监听系统</w:t>
            </w:r>
          </w:p>
        </w:tc>
        <w:tc>
          <w:tcPr>
            <w:tcW w:type="dxa" w:w="84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695"/>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110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rPr>
              <w:t>3.1</w:t>
            </w:r>
          </w:p>
        </w:tc>
        <w:tc>
          <w:tcPr>
            <w:tcW w:type="dxa" w:w="39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rPr>
              <w:t>24寸桌面4K技术监视器</w:t>
            </w:r>
          </w:p>
        </w:tc>
        <w:tc>
          <w:tcPr>
            <w:tcW w:type="dxa" w:w="84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台</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4</w:t>
            </w:r>
          </w:p>
        </w:tc>
        <w:tc>
          <w:tcPr>
            <w:tcW w:type="dxa" w:w="16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否</w:t>
            </w:r>
          </w:p>
        </w:tc>
      </w:tr>
      <w:tr>
        <w:tc>
          <w:tcPr>
            <w:tcW w:type="dxa" w:w="110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rPr>
              <w:t>3.2</w:t>
            </w:r>
          </w:p>
        </w:tc>
        <w:tc>
          <w:tcPr>
            <w:tcW w:type="dxa" w:w="39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rPr>
              <w:t>四联超高清监视器</w:t>
            </w:r>
          </w:p>
        </w:tc>
        <w:tc>
          <w:tcPr>
            <w:tcW w:type="dxa" w:w="84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台</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2</w:t>
            </w:r>
          </w:p>
        </w:tc>
        <w:tc>
          <w:tcPr>
            <w:tcW w:type="dxa" w:w="16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否</w:t>
            </w:r>
          </w:p>
        </w:tc>
      </w:tr>
      <w:tr>
        <w:tc>
          <w:tcPr>
            <w:tcW w:type="dxa" w:w="110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rPr>
              <w:t>3.3</w:t>
            </w:r>
          </w:p>
        </w:tc>
        <w:tc>
          <w:tcPr>
            <w:tcW w:type="dxa" w:w="39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rPr>
              <w:t>双联超高清监视器</w:t>
            </w:r>
          </w:p>
        </w:tc>
        <w:tc>
          <w:tcPr>
            <w:tcW w:type="dxa" w:w="84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台</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2</w:t>
            </w:r>
          </w:p>
        </w:tc>
        <w:tc>
          <w:tcPr>
            <w:tcW w:type="dxa" w:w="16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否</w:t>
            </w:r>
          </w:p>
        </w:tc>
      </w:tr>
      <w:tr>
        <w:tc>
          <w:tcPr>
            <w:tcW w:type="dxa" w:w="110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rPr>
              <w:t>3.4</w:t>
            </w:r>
          </w:p>
        </w:tc>
        <w:tc>
          <w:tcPr>
            <w:tcW w:type="dxa" w:w="39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rPr>
              <w:t>4K 多画面系统</w:t>
            </w:r>
          </w:p>
        </w:tc>
        <w:tc>
          <w:tcPr>
            <w:tcW w:type="dxa" w:w="84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套</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1</w:t>
            </w:r>
          </w:p>
        </w:tc>
        <w:tc>
          <w:tcPr>
            <w:tcW w:type="dxa" w:w="16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接受进口</w:t>
            </w:r>
          </w:p>
        </w:tc>
      </w:tr>
      <w:tr>
        <w:tc>
          <w:tcPr>
            <w:tcW w:type="dxa" w:w="110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rPr>
              <w:t>3.5</w:t>
            </w:r>
          </w:p>
        </w:tc>
        <w:tc>
          <w:tcPr>
            <w:tcW w:type="dxa" w:w="39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rPr>
              <w:t>Tally系统</w:t>
            </w:r>
          </w:p>
        </w:tc>
        <w:tc>
          <w:tcPr>
            <w:tcW w:type="dxa" w:w="84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套</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1</w:t>
            </w:r>
          </w:p>
        </w:tc>
        <w:tc>
          <w:tcPr>
            <w:tcW w:type="dxa" w:w="16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否</w:t>
            </w:r>
          </w:p>
        </w:tc>
      </w:tr>
      <w:tr>
        <w:tc>
          <w:tcPr>
            <w:tcW w:type="dxa" w:w="110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rPr>
              <w:t>3.6</w:t>
            </w:r>
          </w:p>
        </w:tc>
        <w:tc>
          <w:tcPr>
            <w:tcW w:type="dxa" w:w="39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rPr>
              <w:t>85寸广电级HDR电视墙</w:t>
            </w:r>
          </w:p>
        </w:tc>
        <w:tc>
          <w:tcPr>
            <w:tcW w:type="dxa" w:w="84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台</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1</w:t>
            </w:r>
          </w:p>
        </w:tc>
        <w:tc>
          <w:tcPr>
            <w:tcW w:type="dxa" w:w="16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否</w:t>
            </w:r>
          </w:p>
        </w:tc>
      </w:tr>
      <w:tr>
        <w:tc>
          <w:tcPr>
            <w:tcW w:type="dxa" w:w="110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rPr>
              <w:t>3.7</w:t>
            </w:r>
          </w:p>
        </w:tc>
        <w:tc>
          <w:tcPr>
            <w:tcW w:type="dxa" w:w="39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rPr>
              <w:t>技术指标监测平台</w:t>
            </w:r>
          </w:p>
        </w:tc>
        <w:tc>
          <w:tcPr>
            <w:tcW w:type="dxa" w:w="84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台</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1</w:t>
            </w:r>
          </w:p>
        </w:tc>
        <w:tc>
          <w:tcPr>
            <w:tcW w:type="dxa" w:w="16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接受进口</w:t>
            </w:r>
          </w:p>
        </w:tc>
      </w:tr>
      <w:tr>
        <w:tc>
          <w:tcPr>
            <w:tcW w:type="dxa" w:w="110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rPr>
              <w:t>3.8</w:t>
            </w:r>
          </w:p>
        </w:tc>
        <w:tc>
          <w:tcPr>
            <w:tcW w:type="dxa" w:w="39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rPr>
              <w:t>IP/SDI技术监听器</w:t>
            </w:r>
          </w:p>
        </w:tc>
        <w:tc>
          <w:tcPr>
            <w:tcW w:type="dxa" w:w="84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台</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5</w:t>
            </w:r>
          </w:p>
        </w:tc>
        <w:tc>
          <w:tcPr>
            <w:tcW w:type="dxa" w:w="16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否</w:t>
            </w:r>
          </w:p>
        </w:tc>
      </w:tr>
    </w:tbl>
    <w:p>
      <w:pPr>
        <w:pStyle w:val="null3"/>
      </w:pPr>
      <w:r>
        <w:rPr>
          <w:sz w:val="24"/>
        </w:rPr>
        <w:t>其中2.1项《4K SDI播出切换设备》为核心产品</w:t>
      </w:r>
    </w:p>
    <w:p>
      <w:pPr>
        <w:pStyle w:val="null3"/>
        <w:jc w:val="both"/>
      </w:pPr>
      <w:r>
        <w:rPr>
          <w:sz w:val="24"/>
          <w:b/>
        </w:rPr>
        <w:t>四. 标准和规范化要求</w:t>
      </w:r>
    </w:p>
    <w:p>
      <w:pPr>
        <w:pStyle w:val="null3"/>
        <w:ind w:firstLine="420"/>
        <w:jc w:val="both"/>
      </w:pPr>
      <w:r>
        <w:rPr>
          <w:sz w:val="24"/>
        </w:rPr>
        <w:t>GB/T 41808-2022 高动态范围电视节目制作和交换图像参数</w:t>
      </w:r>
    </w:p>
    <w:p>
      <w:pPr>
        <w:pStyle w:val="null3"/>
        <w:ind w:firstLine="420"/>
        <w:jc w:val="both"/>
      </w:pPr>
      <w:r>
        <w:rPr>
          <w:sz w:val="24"/>
        </w:rPr>
        <w:t>GB/T 41809-2022 超高清晰度电视系统节目制作和交换参数值</w:t>
      </w:r>
    </w:p>
    <w:p>
      <w:pPr>
        <w:pStyle w:val="null3"/>
        <w:ind w:firstLine="420"/>
        <w:jc w:val="both"/>
      </w:pPr>
      <w:r>
        <w:rPr>
          <w:sz w:val="24"/>
        </w:rPr>
        <w:t>4K 超高清电视技术应用实施指南(2023 版)</w:t>
      </w:r>
    </w:p>
    <w:p>
      <w:pPr>
        <w:pStyle w:val="null3"/>
        <w:ind w:firstLine="420"/>
        <w:jc w:val="both"/>
      </w:pPr>
      <w:r>
        <w:rPr>
          <w:sz w:val="24"/>
        </w:rPr>
        <w:t>GY/T 368-2023 先进高效视频编码</w:t>
      </w:r>
    </w:p>
    <w:p>
      <w:pPr>
        <w:pStyle w:val="null3"/>
        <w:ind w:firstLine="420"/>
        <w:jc w:val="both"/>
      </w:pPr>
      <w:r>
        <w:rPr>
          <w:sz w:val="24"/>
        </w:rPr>
        <w:t>GY/T 375-2023 有线数字电视音视频技术质量要求和测量方法</w:t>
      </w:r>
    </w:p>
    <w:p>
      <w:pPr>
        <w:pStyle w:val="null3"/>
        <w:ind w:firstLine="420"/>
        <w:jc w:val="both"/>
      </w:pPr>
      <w:r>
        <w:rPr>
          <w:sz w:val="24"/>
        </w:rPr>
        <w:t>GY/T 363-2023 三维声编解码及渲染</w:t>
      </w:r>
    </w:p>
    <w:p>
      <w:pPr>
        <w:pStyle w:val="null3"/>
        <w:ind w:firstLine="420"/>
        <w:jc w:val="both"/>
      </w:pPr>
      <w:r>
        <w:rPr>
          <w:sz w:val="24"/>
        </w:rPr>
        <w:t>三维菁彩声(Audio Vivid)技术白皮书(V1.0)</w:t>
      </w:r>
    </w:p>
    <w:p>
      <w:pPr>
        <w:pStyle w:val="null3"/>
        <w:ind w:firstLine="420"/>
        <w:jc w:val="both"/>
      </w:pPr>
      <w:r>
        <w:rPr>
          <w:sz w:val="24"/>
        </w:rPr>
        <w:t>GY/T 358-2022 高动态范围电视系统显示适配元数据技术要求</w:t>
      </w:r>
    </w:p>
    <w:p>
      <w:pPr>
        <w:pStyle w:val="null3"/>
        <w:ind w:firstLine="420"/>
        <w:jc w:val="both"/>
      </w:pPr>
      <w:r>
        <w:rPr>
          <w:sz w:val="24"/>
        </w:rPr>
        <w:t>GY/T 347.3-2021 超高清晰度电视信号实时串行数字接口第3部分:单链路和多链路6Gbit/s、12Gbit/s和24Gbits光和电接口</w:t>
      </w:r>
    </w:p>
    <w:p>
      <w:pPr>
        <w:pStyle w:val="null3"/>
        <w:ind w:firstLine="420"/>
        <w:jc w:val="both"/>
      </w:pPr>
      <w:r>
        <w:rPr>
          <w:sz w:val="24"/>
        </w:rPr>
        <w:t>GY/T 340-2020 超高清电视图像质量主观评价方法</w:t>
      </w:r>
    </w:p>
    <w:p>
      <w:pPr>
        <w:pStyle w:val="null3"/>
        <w:ind w:firstLine="420"/>
        <w:jc w:val="both"/>
      </w:pPr>
      <w:r>
        <w:rPr>
          <w:sz w:val="24"/>
        </w:rPr>
        <w:t>GY/T 329-2020 4K超高清视频图像质量主观评价用测试图像</w:t>
      </w:r>
    </w:p>
    <w:p>
      <w:pPr>
        <w:pStyle w:val="null3"/>
        <w:ind w:firstLine="420"/>
        <w:jc w:val="both"/>
      </w:pPr>
      <w:r>
        <w:rPr>
          <w:sz w:val="24"/>
        </w:rPr>
        <w:t>GY/T 324-2019 AVS2 4K 超高清专业卫星综合接收解码器技术要求和测量方法</w:t>
      </w:r>
    </w:p>
    <w:p>
      <w:pPr>
        <w:pStyle w:val="null3"/>
        <w:ind w:firstLine="420"/>
        <w:jc w:val="both"/>
      </w:pPr>
      <w:r>
        <w:rPr>
          <w:sz w:val="24"/>
        </w:rPr>
        <w:t>GY/T 323-2019 AVS2 4K 超高清编码器技术要求和测量方法</w:t>
      </w:r>
    </w:p>
    <w:p>
      <w:pPr>
        <w:pStyle w:val="null3"/>
        <w:ind w:firstLine="420"/>
        <w:jc w:val="both"/>
      </w:pPr>
      <w:r>
        <w:rPr>
          <w:sz w:val="24"/>
        </w:rPr>
        <w:t>GY/T 315-2018 高动态范围电视节目制作和交换图像参数值</w:t>
      </w:r>
    </w:p>
    <w:p>
      <w:pPr>
        <w:pStyle w:val="null3"/>
        <w:ind w:firstLine="420"/>
        <w:jc w:val="both"/>
      </w:pPr>
      <w:r>
        <w:rPr>
          <w:sz w:val="24"/>
        </w:rPr>
        <w:t>GY/T 307-2017 超高清晰度电视系统节目制作和交换参数值</w:t>
      </w:r>
    </w:p>
    <w:p>
      <w:pPr>
        <w:pStyle w:val="null3"/>
        <w:ind w:firstLine="420"/>
        <w:jc w:val="both"/>
      </w:pPr>
      <w:r>
        <w:rPr>
          <w:sz w:val="24"/>
        </w:rPr>
        <w:t>GY/T 299.1-2016 高效音视频编码第1部分:视频</w:t>
      </w:r>
    </w:p>
    <w:p>
      <w:pPr>
        <w:pStyle w:val="null3"/>
        <w:ind w:firstLine="420"/>
        <w:jc w:val="both"/>
      </w:pPr>
      <w:r>
        <w:rPr>
          <w:sz w:val="24"/>
        </w:rPr>
        <w:t>GY/T 155-2000 高清晰度电视节目制作及交换用视频参数值</w:t>
      </w:r>
    </w:p>
    <w:p>
      <w:pPr>
        <w:pStyle w:val="null3"/>
        <w:ind w:firstLine="420"/>
        <w:jc w:val="both"/>
      </w:pPr>
      <w:r>
        <w:rPr>
          <w:sz w:val="24"/>
        </w:rPr>
        <w:t>GY/T 157-2000 演播室高清晰度电视数字视频信号接口</w:t>
      </w:r>
    </w:p>
    <w:p>
      <w:pPr>
        <w:pStyle w:val="null3"/>
        <w:ind w:firstLine="420"/>
        <w:jc w:val="both"/>
      </w:pPr>
      <w:r>
        <w:rPr>
          <w:sz w:val="24"/>
        </w:rPr>
        <w:t>GY/T 160-2000 数字分量演播室接口中的附属数据信号格式</w:t>
      </w:r>
    </w:p>
    <w:p>
      <w:pPr>
        <w:pStyle w:val="null3"/>
        <w:ind w:firstLine="420"/>
        <w:jc w:val="both"/>
      </w:pPr>
      <w:r>
        <w:rPr>
          <w:sz w:val="24"/>
        </w:rPr>
        <w:t>GY/T 161-2000 数字电视附属数据空间内数字音频和辅助数据的传输规范</w:t>
      </w:r>
    </w:p>
    <w:p>
      <w:pPr>
        <w:pStyle w:val="null3"/>
        <w:ind w:firstLine="420"/>
        <w:jc w:val="both"/>
      </w:pPr>
      <w:r>
        <w:rPr>
          <w:sz w:val="24"/>
        </w:rPr>
        <w:t>ITU-R BT.711 供分量数字演播室使用的同步基准信号</w:t>
      </w:r>
    </w:p>
    <w:p>
      <w:pPr>
        <w:pStyle w:val="null3"/>
        <w:ind w:firstLine="420"/>
        <w:jc w:val="both"/>
      </w:pPr>
      <w:r>
        <w:rPr>
          <w:sz w:val="24"/>
        </w:rPr>
        <w:t>《广播电视安全播出管理规定》（国家广播电影电视总局令第62号）国家广播电视总局其他有关数字电视设备系统及省级电视台建设的标准</w:t>
      </w:r>
    </w:p>
    <w:p>
      <w:pPr>
        <w:pStyle w:val="null3"/>
        <w:ind w:firstLine="420"/>
        <w:jc w:val="both"/>
      </w:pPr>
      <w:r>
        <w:rPr>
          <w:sz w:val="24"/>
        </w:rPr>
        <w:t>设计标准包含但不限于以上所提标准，所有标准均需符合国家规定的行业相关标准。</w:t>
      </w:r>
    </w:p>
    <w:p>
      <w:pPr>
        <w:pStyle w:val="null3"/>
        <w:ind w:firstLine="420"/>
        <w:jc w:val="both"/>
      </w:pPr>
      <w:r>
        <w:rPr>
          <w:sz w:val="24"/>
          <w:b/>
        </w:rPr>
        <w:t>五. 技术要求</w:t>
      </w:r>
    </w:p>
    <w:p>
      <w:pPr>
        <w:pStyle w:val="null3"/>
        <w:ind w:left="840"/>
        <w:jc w:val="both"/>
      </w:pPr>
      <w:r>
        <w:rPr>
          <w:sz w:val="24"/>
        </w:rPr>
        <w:t>1.      模块机箱要求</w:t>
      </w:r>
    </w:p>
    <w:p>
      <w:pPr>
        <w:pStyle w:val="null3"/>
        <w:ind w:left="1275"/>
        <w:jc w:val="both"/>
      </w:pPr>
      <w:r>
        <w:rPr>
          <w:sz w:val="24"/>
        </w:rPr>
        <w:t>★1.1.         主、备、二备通道内所有的“4K视频分配器（带旁通）”（技术需求表2.4.1项）和“4K视频分配器”（技术需求表2.4.2项）、模拟视分必须能够安装在任一个模块机箱内。（投标人提供承诺函，可参照“投标文件格式”中《承诺函》格式）</w:t>
      </w:r>
    </w:p>
    <w:p>
      <w:pPr>
        <w:pStyle w:val="null3"/>
        <w:ind w:left="1275"/>
        <w:jc w:val="both"/>
      </w:pPr>
      <w:r>
        <w:rPr>
          <w:sz w:val="24"/>
        </w:rPr>
        <w:t>★1.2.         每个模块机箱在安装完本包2.4.1项、2.4.2项、2.7项所有的板卡以及机箱控制板卡等其他必要的周边板卡后，还须留有自身最大容量20%或以上的插槽位空余。（投标人提供承诺函，可参照“投标文件格式”中《承诺函》格式）</w:t>
      </w:r>
    </w:p>
    <w:p>
      <w:pPr>
        <w:pStyle w:val="null3"/>
        <w:ind w:left="1275"/>
        <w:jc w:val="both"/>
      </w:pPr>
      <w:r>
        <w:rPr>
          <w:sz w:val="24"/>
        </w:rPr>
        <w:t>★1.3.         每个机箱配置主备冗余电源、风扇。（投标人提供承诺函，可参照“投标文件格式”中《承诺函》格式）</w:t>
      </w:r>
    </w:p>
    <w:p>
      <w:pPr>
        <w:pStyle w:val="null3"/>
        <w:ind w:left="1275"/>
        <w:jc w:val="both"/>
      </w:pPr>
      <w:r>
        <w:rPr>
          <w:sz w:val="24"/>
        </w:rPr>
        <w:t>1.4.    模块机箱提供统一的实时状态监测软件，以便及时发现板卡设备的故障报警。</w:t>
      </w:r>
    </w:p>
    <w:p>
      <w:pPr>
        <w:pStyle w:val="null3"/>
        <w:ind w:left="840"/>
        <w:jc w:val="both"/>
      </w:pPr>
      <w:r>
        <w:rPr>
          <w:sz w:val="24"/>
        </w:rPr>
        <w:t>2.      本项目“4K信号源系统”和“视音频播出通道系统”中所有设备（2.8项跳线架除外）均需支持SNMP2.0网络监控协议，并提供相应MIB库作为第三方的监控软件适配视音频周边设备报警信息的开发依据，监控内容包括但不限于设备的报警信息。</w:t>
      </w:r>
    </w:p>
    <w:p>
      <w:pPr>
        <w:pStyle w:val="null3"/>
        <w:ind w:left="840"/>
        <w:jc w:val="both"/>
      </w:pPr>
      <w:r>
        <w:rPr>
          <w:sz w:val="24"/>
        </w:rPr>
        <w:t>3.      技术需求表</w:t>
      </w:r>
    </w:p>
    <w:tbl>
      <w:tblPr>
        <w:tblW w:w="0" w:type="auto"/>
        <w:tblBorders>
          <w:top w:val="none" w:color="000000" w:sz="4"/>
          <w:left w:val="none" w:color="000000" w:sz="4"/>
          <w:bottom w:val="none" w:color="000000" w:sz="4"/>
          <w:right w:val="none" w:color="000000" w:sz="4"/>
          <w:insideH w:val="none"/>
          <w:insideV w:val="none"/>
        </w:tblBorders>
      </w:tblPr>
      <w:tblGrid>
        <w:gridCol w:w="763"/>
        <w:gridCol w:w="1271"/>
        <w:gridCol w:w="5170"/>
        <w:gridCol w:w="509"/>
        <w:gridCol w:w="593"/>
      </w:tblGrid>
      <w:tr>
        <w:tc>
          <w:tcPr>
            <w:tcW w:type="dxa" w:w="763"/>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sz w:val="24"/>
              </w:rPr>
              <w:t>序号</w:t>
            </w:r>
          </w:p>
        </w:tc>
        <w:tc>
          <w:tcPr>
            <w:tcW w:type="dxa" w:w="1271"/>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设备设施</w:t>
            </w:r>
          </w:p>
        </w:tc>
        <w:tc>
          <w:tcPr>
            <w:tcW w:type="dxa" w:w="5170"/>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主要性能指标</w:t>
            </w:r>
          </w:p>
        </w:tc>
        <w:tc>
          <w:tcPr>
            <w:tcW w:type="dxa" w:w="509"/>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单位</w:t>
            </w:r>
          </w:p>
        </w:tc>
        <w:tc>
          <w:tcPr>
            <w:tcW w:type="dxa" w:w="593"/>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数量</w:t>
            </w:r>
          </w:p>
        </w:tc>
      </w:tr>
      <w:tr>
        <w:tc>
          <w:tcPr>
            <w:tcW w:type="dxa" w:w="76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rPr>
              <w:t>1</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4K信号源系统</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c>
          <w:tcPr>
            <w:tcW w:type="dxa" w:w="50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593"/>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76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rPr>
              <w:t>1.1</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rPr>
              <w:t>4K垫片系统</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rPr>
              <w:t>1.标准机架式安装，不大于3RU；</w:t>
            </w:r>
          </w:p>
          <w:p>
            <w:pPr>
              <w:pStyle w:val="null3"/>
              <w:jc w:val="left"/>
            </w:pPr>
            <w:r>
              <w:rPr>
                <w:sz w:val="24"/>
              </w:rPr>
              <w:t>2.支持4K UHD 3840x2160p(59.94p、50p、29.97p、25p、24p、23.98)、1920x1080p(59.94p、50p、29.97p、25p、24p、23.98p)、1920x1080i(59.94i、50i)、 1280x720p(59.94p、50p)等格式，并可在4K UHD(59.94p/50p）和HD1080(50i) 之间灵活切换工作模式；</w:t>
            </w:r>
          </w:p>
          <w:p>
            <w:pPr>
              <w:pStyle w:val="null3"/>
              <w:jc w:val="left"/>
            </w:pPr>
            <w:r>
              <w:rPr>
                <w:sz w:val="24"/>
              </w:rPr>
              <w:t>3.至少支持2个4K通道，可配置为2录、1录1播、2播工作模式；播出时，提供相同内容的2个4K输出和1个HD下变换输出；</w:t>
            </w:r>
          </w:p>
          <w:p>
            <w:pPr>
              <w:pStyle w:val="null3"/>
              <w:jc w:val="left"/>
            </w:pPr>
            <w:r>
              <w:rPr>
                <w:sz w:val="24"/>
              </w:rPr>
              <w:t>4.录制时IP或SDI输入可配置，播放时IP 和 SDI接口可同时输出；</w:t>
            </w:r>
          </w:p>
          <w:p>
            <w:pPr>
              <w:pStyle w:val="null3"/>
              <w:jc w:val="left"/>
            </w:pPr>
            <w:r>
              <w:rPr>
                <w:sz w:val="24"/>
              </w:rPr>
              <w:t>5.支持4K XAVC（Class 300 CBG/VBR、Class 480 CBG/VBR）、4K ProRes（HQ、422、LT、Proxy）格式的文件录制和播放，HD ProRes（HQ、422、LT、Proxy）、HD Mpeg2-I等格式的文件录制和播放，HD Mpeg2-IBP格式的文件播放；</w:t>
            </w:r>
          </w:p>
          <w:p>
            <w:pPr>
              <w:pStyle w:val="null3"/>
              <w:jc w:val="left"/>
            </w:pPr>
            <w:r>
              <w:rPr>
                <w:sz w:val="24"/>
              </w:rPr>
              <w:t>6.至少提供2个热插拔的SSD槽位，内置总容量不低于8TB的本地SSD硬盘存储；</w:t>
            </w:r>
          </w:p>
          <w:p>
            <w:pPr>
              <w:pStyle w:val="null3"/>
              <w:jc w:val="left"/>
            </w:pPr>
            <w:r>
              <w:rPr>
                <w:sz w:val="24"/>
              </w:rPr>
              <w:t>7.支持外接USB存储（USB 3.0或以上标准），支持直接播放USB存储中的文件；</w:t>
            </w:r>
          </w:p>
          <w:p>
            <w:pPr>
              <w:pStyle w:val="null3"/>
              <w:jc w:val="left"/>
            </w:pPr>
            <w:r>
              <w:rPr>
                <w:sz w:val="24"/>
              </w:rPr>
              <w:t>8.至少提供1个万兆网口（含SFP+模块），用于挂载NAS/传输文件，支持直接录制到NAS中或直接播放NAS中的文件；</w:t>
            </w:r>
          </w:p>
          <w:p>
            <w:pPr>
              <w:pStyle w:val="null3"/>
              <w:jc w:val="left"/>
            </w:pPr>
            <w:r>
              <w:rPr>
                <w:sz w:val="24"/>
              </w:rPr>
              <w:t>9.至少提供1个千兆管理网口（RJ45）、2个RS-422、1个带外NMOS网口（RJ45）；</w:t>
            </w:r>
          </w:p>
          <w:p>
            <w:pPr>
              <w:pStyle w:val="null3"/>
              <w:jc w:val="left"/>
            </w:pPr>
            <w:r>
              <w:rPr>
                <w:sz w:val="24"/>
              </w:rPr>
              <w:t>10.支持NMOS IS-04/05标准协议，可通过带内或带外受控，与第三方控制系统兼容；</w:t>
            </w:r>
          </w:p>
          <w:p>
            <w:pPr>
              <w:pStyle w:val="null3"/>
              <w:jc w:val="left"/>
            </w:pPr>
            <w:r>
              <w:rPr>
                <w:sz w:val="24"/>
              </w:rPr>
              <w:t>11.可受第三方软件控制进行录制、播放等操作，提供串口控制接口；</w:t>
            </w:r>
          </w:p>
          <w:p>
            <w:pPr>
              <w:pStyle w:val="null3"/>
              <w:jc w:val="left"/>
            </w:pPr>
            <w:r>
              <w:rPr>
                <w:sz w:val="24"/>
              </w:rPr>
              <w:t>12.配有双冗余热拔插电源；</w:t>
            </w:r>
          </w:p>
          <w:p>
            <w:pPr>
              <w:pStyle w:val="null3"/>
              <w:jc w:val="left"/>
            </w:pPr>
            <w:r>
              <w:rPr>
                <w:sz w:val="24"/>
              </w:rPr>
              <w:t>13.支持SMPTE ST 2059-2 PTP及BB信号同步；</w:t>
            </w:r>
          </w:p>
          <w:p>
            <w:pPr>
              <w:pStyle w:val="null3"/>
              <w:jc w:val="left"/>
            </w:pPr>
            <w:r>
              <w:rPr>
                <w:sz w:val="24"/>
              </w:rPr>
              <w:t>14.至少提供一套DVI接口（支持1080P或以上视频格式、传输距离60米以上）的KVM键鼠延长器；</w:t>
            </w:r>
          </w:p>
          <w:p>
            <w:pPr>
              <w:pStyle w:val="null3"/>
              <w:jc w:val="left"/>
            </w:pPr>
            <w:r>
              <w:rPr>
                <w:sz w:val="24"/>
              </w:rPr>
              <w:t>▲15.至少提供机身原生2个25GbE以上速率的以太网端口（每个端口均配备相应速率规格的模块），支持SMPTE ST 2022-7主备切换，支持SMPTE ST 2110-10/20/21/30/40协议；至少提供机身原生不少于2个12G-SDI输入、不少于2个12G-SDI输出、不少于2个3G-SDI输出；（提供以下任一材料:①提供具备 CMA 或 CNAS标志的检测报告复印件;②)提供产品制造商官网相应功能截图，同时提供官网链接地址;③制造商产品说明书或使用手册，或制造厂商公开发布的产品功能介绍资料;④产品对应功能的照片或产品功能操作界面图片。 ）</w:t>
            </w:r>
          </w:p>
          <w:p>
            <w:pPr>
              <w:pStyle w:val="null3"/>
              <w:jc w:val="left"/>
            </w:pPr>
            <w:r>
              <w:rPr>
                <w:sz w:val="24"/>
              </w:rPr>
              <w:t>16.支持通过鼠标键盘对设备进行录制、播放、快进、快退、挑选素材、列表编辑等操作；主机前面板具有物理控制按键，支持录制、播放、快进、快退等操作；主机前面板具有JOG/SHUTTLE搜索轮，支持逐帧和倍速播放等操作；前面板提供彩色液晶屏；</w:t>
            </w:r>
          </w:p>
          <w:p>
            <w:pPr>
              <w:pStyle w:val="null3"/>
              <w:jc w:val="left"/>
            </w:pPr>
            <w:r>
              <w:rPr>
                <w:sz w:val="24"/>
              </w:rPr>
              <w:t>▲17.到货时提供中华人民共和国广播电视和网络视听行业标准GY/T 413—2024《超高清晰度电视综合测试图》中所规定的标准动态视频文件。（投标人提供承诺函，可参照“投标文件格式”中《承诺函》格式）</w:t>
            </w:r>
          </w:p>
        </w:tc>
        <w:tc>
          <w:tcPr>
            <w:tcW w:type="dxa" w:w="5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台</w:t>
            </w:r>
          </w:p>
        </w:tc>
        <w:tc>
          <w:tcPr>
            <w:tcW w:type="dxa" w:w="5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1</w:t>
            </w:r>
          </w:p>
        </w:tc>
      </w:tr>
      <w:tr>
        <w:tc>
          <w:tcPr>
            <w:tcW w:type="dxa" w:w="76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rPr>
              <w:t>2</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视音频播出通道系统</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c>
          <w:tcPr>
            <w:tcW w:type="dxa" w:w="50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593"/>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76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rPr>
              <w:t>2.1</w:t>
            </w:r>
          </w:p>
        </w:tc>
        <w:tc>
          <w:tcPr>
            <w:tcW w:type="dxa" w:w="1271"/>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rPr>
              <w:t>4K SDI播出切换设备</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4"/>
              </w:rPr>
              <w:t>设备主机：</w:t>
            </w:r>
          </w:p>
          <w:p>
            <w:pPr>
              <w:pStyle w:val="null3"/>
              <w:jc w:val="both"/>
            </w:pPr>
            <w:r>
              <w:rPr>
                <w:sz w:val="24"/>
              </w:rPr>
              <w:t>1.设备支持2160/50P 12G-SDI信号；</w:t>
            </w:r>
          </w:p>
          <w:p>
            <w:pPr>
              <w:pStyle w:val="null3"/>
              <w:jc w:val="both"/>
            </w:pPr>
            <w:r>
              <w:rPr>
                <w:sz w:val="24"/>
              </w:rPr>
              <w:t>2.提供一个独立机箱的标准FPGA播出切换台；</w:t>
            </w:r>
          </w:p>
          <w:p>
            <w:pPr>
              <w:pStyle w:val="null3"/>
              <w:jc w:val="both"/>
            </w:pPr>
            <w:r>
              <w:rPr>
                <w:sz w:val="24"/>
              </w:rPr>
              <w:t>3.提供不少于16路12G-SDI信号输入（可外接相关的周边设备实现该功能），支持输入信号之间净静切换；</w:t>
            </w:r>
          </w:p>
          <w:p>
            <w:pPr>
              <w:pStyle w:val="null3"/>
              <w:jc w:val="both"/>
            </w:pPr>
            <w:r>
              <w:rPr>
                <w:sz w:val="24"/>
              </w:rPr>
              <w:t>4.提供不少于2路外部输入键信号及2路内键同时叠加上键，具备字幕上键叠播预览的功能；</w:t>
            </w:r>
          </w:p>
          <w:p>
            <w:pPr>
              <w:pStyle w:val="null3"/>
              <w:jc w:val="both"/>
            </w:pPr>
            <w:r>
              <w:rPr>
                <w:sz w:val="24"/>
              </w:rPr>
              <w:t>5.可播放切换设备内部存储的各类媒体文件，可灵活设置动态台标循环播放间隔；内键支持动态台标、静态台标，可以互相叠加，可以独立控制，存储与播放内存均不少于2GB；</w:t>
            </w:r>
          </w:p>
          <w:p>
            <w:pPr>
              <w:pStyle w:val="null3"/>
              <w:jc w:val="both"/>
            </w:pPr>
            <w:r>
              <w:rPr>
                <w:sz w:val="24"/>
              </w:rPr>
              <w:t>6.具有音频信号的声道变换功能；</w:t>
            </w:r>
          </w:p>
          <w:p>
            <w:pPr>
              <w:pStyle w:val="null3"/>
              <w:jc w:val="both"/>
            </w:pPr>
            <w:r>
              <w:rPr>
                <w:sz w:val="24"/>
              </w:rPr>
              <w:t>7.支持不少于16个声道PCM音频信号的响度处理（可外接相关的周边设备实现该功能）；</w:t>
            </w:r>
          </w:p>
          <w:p>
            <w:pPr>
              <w:pStyle w:val="null3"/>
              <w:jc w:val="both"/>
            </w:pPr>
            <w:r>
              <w:rPr>
                <w:sz w:val="24"/>
              </w:rPr>
              <w:t>8.具有Tally输出（GPO）、RS-232/RS-422、以太网等端口，能受第三方外部自动控制播出系统进行切换、上下键等操作，能向Tally控制器推送源名及Tally信息；</w:t>
            </w:r>
          </w:p>
          <w:p>
            <w:pPr>
              <w:pStyle w:val="null3"/>
              <w:jc w:val="both"/>
            </w:pPr>
            <w:r>
              <w:rPr>
                <w:sz w:val="24"/>
              </w:rPr>
              <w:t>9.为输出信号提供足够的延时以对齐IP播出切换设备的输出信号（可外接相关的周边设备实现该功能）；</w:t>
            </w:r>
          </w:p>
          <w:p>
            <w:pPr>
              <w:pStyle w:val="null3"/>
              <w:jc w:val="both"/>
            </w:pPr>
            <w:r>
              <w:rPr>
                <w:sz w:val="24"/>
              </w:rPr>
              <w:t>10.设备主机及相关周边设备均要求有冗余电源，并能支持热插拔更换；</w:t>
            </w:r>
          </w:p>
          <w:p>
            <w:pPr>
              <w:pStyle w:val="null3"/>
              <w:jc w:val="both"/>
            </w:pPr>
            <w:r>
              <w:rPr>
                <w:sz w:val="24"/>
              </w:rPr>
              <w:t>11.支持日志和报警功能，可对切换台及面板的各项参数和操作进行记录和日志导出；</w:t>
            </w:r>
          </w:p>
          <w:p>
            <w:pPr>
              <w:pStyle w:val="null3"/>
              <w:jc w:val="both"/>
            </w:pPr>
            <w:r>
              <w:rPr>
                <w:sz w:val="24"/>
              </w:rPr>
              <w:t>▲12.至少具有PGM、PST、CLEAN等3条以上超高清输出母线和接口（须在切换台机箱内提供，不接受外接设备）；（提供以下任一材料:①提供具备 CMA 或 CNAS标志的检测报告复印件;②)提供产品制造商官网相应功能截图，同时提供官网链接地址;③制造商产品说明书或使用手册，或制造厂商公开发布的产品功能介绍资料;④产品对应功能的照片或产品功能操作界面图片。）</w:t>
            </w:r>
          </w:p>
          <w:p>
            <w:pPr>
              <w:pStyle w:val="null3"/>
              <w:jc w:val="both"/>
            </w:pPr>
            <w:r>
              <w:rPr>
                <w:sz w:val="24"/>
              </w:rPr>
              <w:t>▲13.支持DVE数字视频特效功能，可在线状态通过PST通道调整键位置、大小、色彩（须在切换台机箱内提供，不接受外接设备）；（提供以下任一材料:①提供具备 CMA 或 CNAS标志的检测报告复印件;②)提供产品制造商官网相应功能截图，同时提供官网链接地址;③制造商产品说明书或使用手册，或制造厂商公开发布的产品功能介绍资料;④产品对应功能的照片或产品功能操作界面图片。）</w:t>
            </w:r>
          </w:p>
          <w:p>
            <w:pPr>
              <w:pStyle w:val="null3"/>
              <w:jc w:val="both"/>
            </w:pPr>
            <w:r>
              <w:rPr>
                <w:sz w:val="24"/>
              </w:rPr>
              <w:t>▲14.支持用户自定义宏指令功能，完成配置调用和多步骤操作记忆功能；如音频声道切换、DVE调用、定时上下键、PGM/PST母线切换等；宏命令可保存多个，并可指派十个以上多功能按键实现一键调用（须在切换台机箱内提供，不接受外接设备）；（提供以下任一材料:①提供具备 CMA 或 CNAS标志的检测报告复印件;②)提供产品制造商官网相应功能截图，同时提供官网链接地址;③制造商产品说明书或使用手册，或制造厂商公开发布的产品功能介绍资料;④产品对应功能的照片或产品功能操作界面图片。）</w:t>
            </w:r>
          </w:p>
          <w:p>
            <w:pPr>
              <w:pStyle w:val="null3"/>
              <w:jc w:val="both"/>
            </w:pPr>
            <w:r>
              <w:rPr>
                <w:sz w:val="24"/>
              </w:rPr>
              <w:t>★15.如所投为进口产品，需提供所投产品制造商针对本项目出具的授权函及售后服务承诺。</w:t>
            </w:r>
          </w:p>
        </w:tc>
        <w:tc>
          <w:tcPr>
            <w:tcW w:type="dxa" w:w="509"/>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套</w:t>
            </w:r>
          </w:p>
        </w:tc>
        <w:tc>
          <w:tcPr>
            <w:tcW w:type="dxa" w:w="593"/>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1</w:t>
            </w:r>
          </w:p>
        </w:tc>
      </w:tr>
      <w:tr>
        <w:tc>
          <w:tcPr>
            <w:tcW w:type="dxa" w:w="763"/>
            <w:vMerge/>
            <w:tcBorders>
              <w:top w:val="none" w:color="000000" w:sz="4"/>
              <w:left w:val="single" w:color="000000" w:sz="4"/>
              <w:bottom w:val="single" w:color="000000" w:sz="4"/>
              <w:right w:val="single" w:color="000000" w:sz="4"/>
            </w:tcBorders>
          </w:tcPr>
          <w:p/>
        </w:tc>
        <w:tc>
          <w:tcPr>
            <w:tcW w:type="dxa" w:w="1271"/>
            <w:vMerge/>
            <w:tcBorders>
              <w:top w:val="none" w:color="000000" w:sz="4"/>
              <w:left w:val="none" w:color="000000" w:sz="4"/>
              <w:bottom w:val="single" w:color="000000" w:sz="4"/>
              <w:right w:val="single" w:color="000000" w:sz="4"/>
            </w:tcBorders>
          </w:tcP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rPr>
              <w:t>控制面板：</w:t>
            </w:r>
          </w:p>
          <w:p>
            <w:pPr>
              <w:pStyle w:val="null3"/>
              <w:jc w:val="left"/>
            </w:pPr>
            <w:r>
              <w:rPr>
                <w:sz w:val="24"/>
              </w:rPr>
              <w:t>1.全功能XY控制面板，控制SDI播出切换设备进行各种功能操作；</w:t>
            </w:r>
          </w:p>
          <w:p>
            <w:pPr>
              <w:pStyle w:val="null3"/>
              <w:jc w:val="left"/>
            </w:pPr>
            <w:r>
              <w:rPr>
                <w:sz w:val="24"/>
              </w:rPr>
              <w:t>2.配备冗余电源，面板高度小于等于2RU；</w:t>
            </w:r>
          </w:p>
          <w:p>
            <w:pPr>
              <w:pStyle w:val="null3"/>
              <w:jc w:val="left"/>
            </w:pPr>
            <w:r>
              <w:rPr>
                <w:sz w:val="24"/>
              </w:rPr>
              <w:t>3.提供不少于40个按键，所有按键均为带LCD液晶显示按键；</w:t>
            </w:r>
          </w:p>
          <w:p>
            <w:pPr>
              <w:pStyle w:val="null3"/>
              <w:jc w:val="left"/>
            </w:pPr>
            <w:r>
              <w:rPr>
                <w:sz w:val="24"/>
              </w:rPr>
              <w:t>4.每个按键均可独立配置为PGM和PST母线，支持信号源直切，同时具有实体的TAKE键；</w:t>
            </w:r>
          </w:p>
          <w:p>
            <w:pPr>
              <w:pStyle w:val="null3"/>
              <w:jc w:val="left"/>
            </w:pPr>
            <w:r>
              <w:rPr>
                <w:sz w:val="24"/>
              </w:rPr>
              <w:t>5.提供独立的实体按键分别对2路内键2路外键进行直接的键控操作；</w:t>
            </w:r>
          </w:p>
          <w:p>
            <w:pPr>
              <w:pStyle w:val="null3"/>
              <w:jc w:val="left"/>
            </w:pPr>
            <w:r>
              <w:rPr>
                <w:sz w:val="24"/>
              </w:rPr>
              <w:t>6.信号输入选择键、内键、外键的控制键、功能键等分离，各自独立使用；</w:t>
            </w:r>
          </w:p>
          <w:p>
            <w:pPr>
              <w:pStyle w:val="null3"/>
              <w:jc w:val="left"/>
            </w:pPr>
            <w:r>
              <w:rPr>
                <w:sz w:val="24"/>
              </w:rPr>
              <w:t>7.控制面板所有按钮都可编程定义不同的功能，并有专门的锁定键锁定面板来防止误操作；</w:t>
            </w:r>
          </w:p>
          <w:p>
            <w:pPr>
              <w:pStyle w:val="null3"/>
              <w:jc w:val="left"/>
            </w:pPr>
            <w:r>
              <w:rPr>
                <w:sz w:val="24"/>
              </w:rPr>
              <w:t>8.面板可设置手动/自动控制的AUTO ON/OFF键，让SDI切换设备连通或断开与自动播控系统的控制；</w:t>
            </w:r>
          </w:p>
          <w:p>
            <w:pPr>
              <w:pStyle w:val="null3"/>
              <w:jc w:val="left"/>
            </w:pPr>
            <w:r>
              <w:rPr>
                <w:sz w:val="24"/>
              </w:rPr>
              <w:t>9.面板和主机的通讯具有日志记录。</w:t>
            </w:r>
          </w:p>
        </w:tc>
        <w:tc>
          <w:tcPr>
            <w:tcW w:type="dxa" w:w="509"/>
            <w:vMerge/>
            <w:tcBorders>
              <w:top w:val="none" w:color="000000" w:sz="4"/>
              <w:left w:val="none" w:color="000000" w:sz="4"/>
              <w:bottom w:val="single" w:color="000000" w:sz="4"/>
              <w:right w:val="single" w:color="000000" w:sz="4"/>
            </w:tcBorders>
          </w:tcPr>
          <w:p/>
        </w:tc>
        <w:tc>
          <w:tcPr>
            <w:tcW w:type="dxa" w:w="593"/>
            <w:vMerge/>
            <w:tcBorders>
              <w:top w:val="none" w:color="000000" w:sz="4"/>
              <w:left w:val="none" w:color="000000" w:sz="4"/>
              <w:bottom w:val="single" w:color="000000" w:sz="4"/>
              <w:right w:val="single" w:color="000000" w:sz="4"/>
            </w:tcBorders>
          </w:tcPr>
          <w:p/>
        </w:tc>
      </w:tr>
      <w:tr>
        <w:tc>
          <w:tcPr>
            <w:tcW w:type="dxa" w:w="76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rPr>
              <w:t>2.2.1</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rPr>
              <w:t>4K播出调度矩阵</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rPr>
              <w:t>1.设备支持12G-SDI 2160/50P 数字串行信号（UHD）；12G/UltraHD/HD/SD SDI信号自适应；</w:t>
            </w:r>
          </w:p>
          <w:p>
            <w:pPr>
              <w:pStyle w:val="null3"/>
              <w:jc w:val="left"/>
            </w:pPr>
            <w:r>
              <w:rPr>
                <w:sz w:val="24"/>
              </w:rPr>
              <w:t>2.提供不少于32路12G-SDI输入、32路12G-SDI输出；</w:t>
            </w:r>
          </w:p>
          <w:p>
            <w:pPr>
              <w:pStyle w:val="null3"/>
              <w:jc w:val="left"/>
            </w:pPr>
            <w:r>
              <w:rPr>
                <w:sz w:val="24"/>
              </w:rPr>
              <w:t>3.自动均衡输入；</w:t>
            </w:r>
          </w:p>
          <w:p>
            <w:pPr>
              <w:pStyle w:val="null3"/>
              <w:jc w:val="left"/>
            </w:pPr>
            <w:r>
              <w:rPr>
                <w:sz w:val="24"/>
              </w:rPr>
              <w:t>4.具有串行控制接口等接口，通信控制方式支持RS232与RS422；</w:t>
            </w:r>
          </w:p>
          <w:p>
            <w:pPr>
              <w:pStyle w:val="null3"/>
              <w:jc w:val="left"/>
            </w:pPr>
            <w:r>
              <w:rPr>
                <w:sz w:val="24"/>
              </w:rPr>
              <w:t>5.标准机架式安装，主机机箱不大于2RU；</w:t>
            </w:r>
          </w:p>
          <w:p>
            <w:pPr>
              <w:pStyle w:val="null3"/>
              <w:jc w:val="left"/>
            </w:pPr>
            <w:r>
              <w:rPr>
                <w:sz w:val="24"/>
              </w:rPr>
              <w:t>6.提供不大于2RU遥控面板，至少具有64按键独立选择每路输入输出；</w:t>
            </w:r>
          </w:p>
          <w:p>
            <w:pPr>
              <w:pStyle w:val="null3"/>
              <w:jc w:val="left"/>
            </w:pPr>
            <w:r>
              <w:rPr>
                <w:sz w:val="24"/>
              </w:rPr>
              <w:t>7.配备冗余电源，冗余风扇。</w:t>
            </w:r>
          </w:p>
        </w:tc>
        <w:tc>
          <w:tcPr>
            <w:tcW w:type="dxa" w:w="5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套</w:t>
            </w:r>
          </w:p>
        </w:tc>
        <w:tc>
          <w:tcPr>
            <w:tcW w:type="dxa" w:w="5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1</w:t>
            </w:r>
          </w:p>
        </w:tc>
      </w:tr>
      <w:tr>
        <w:tc>
          <w:tcPr>
            <w:tcW w:type="dxa" w:w="76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rPr>
              <w:t>2.2.2</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rPr>
              <w:t>4K格式转换器</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rPr>
              <w:t>1.可7X24小时运行广播级设备；</w:t>
            </w:r>
          </w:p>
          <w:p>
            <w:pPr>
              <w:pStyle w:val="null3"/>
              <w:jc w:val="left"/>
            </w:pPr>
            <w:r>
              <w:rPr>
                <w:sz w:val="24"/>
              </w:rPr>
              <w:t>2.提供至少1路的双向转换通道；</w:t>
            </w:r>
          </w:p>
          <w:p>
            <w:pPr>
              <w:pStyle w:val="null3"/>
              <w:jc w:val="left"/>
            </w:pPr>
            <w:r>
              <w:rPr>
                <w:sz w:val="24"/>
              </w:rPr>
              <w:t>3.支持12G-SDI与4×3G（SQD和2SI）之间的格式转换；</w:t>
            </w:r>
          </w:p>
          <w:p>
            <w:pPr>
              <w:pStyle w:val="null3"/>
              <w:jc w:val="left"/>
            </w:pPr>
            <w:r>
              <w:rPr>
                <w:sz w:val="24"/>
              </w:rPr>
              <w:t>4.至少同时提供1路12G-SDI输入、1路4×3G-SDI输入和1路HDMI2.0输入；</w:t>
            </w:r>
          </w:p>
          <w:p>
            <w:pPr>
              <w:pStyle w:val="null3"/>
              <w:jc w:val="left"/>
            </w:pPr>
            <w:r>
              <w:rPr>
                <w:sz w:val="24"/>
              </w:rPr>
              <w:t>5.至少同时提供1路12G-SDI输出、1路4x3G-SDI输出、1路HDMI2.0输出、1路HD-SDI输出；</w:t>
            </w:r>
          </w:p>
          <w:p>
            <w:pPr>
              <w:pStyle w:val="null3"/>
              <w:jc w:val="left"/>
            </w:pPr>
            <w:r>
              <w:rPr>
                <w:sz w:val="24"/>
              </w:rPr>
              <w:t>6.包含但不限于以下输入/输出格式：2160p60、2160p50、1080p50、1080i50；</w:t>
            </w:r>
          </w:p>
          <w:p>
            <w:pPr>
              <w:pStyle w:val="null3"/>
              <w:jc w:val="left"/>
            </w:pPr>
            <w:r>
              <w:rPr>
                <w:sz w:val="24"/>
              </w:rPr>
              <w:t>7.支持3G高清和12G超清之间的上/下变换；支持2SI/SQD输入/输出；</w:t>
            </w:r>
          </w:p>
          <w:p>
            <w:pPr>
              <w:pStyle w:val="null3"/>
              <w:jc w:val="left"/>
            </w:pPr>
            <w:r>
              <w:rPr>
                <w:sz w:val="24"/>
              </w:rPr>
              <w:t>8.支持BB同步信号输入，可对各类输入进行锁相，实现帧同步功能；</w:t>
            </w:r>
          </w:p>
          <w:p>
            <w:pPr>
              <w:pStyle w:val="null3"/>
              <w:jc w:val="left"/>
            </w:pPr>
            <w:r>
              <w:rPr>
                <w:sz w:val="24"/>
              </w:rPr>
              <w:t>支持冗余电源。</w:t>
            </w:r>
          </w:p>
        </w:tc>
        <w:tc>
          <w:tcPr>
            <w:tcW w:type="dxa" w:w="5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台</w:t>
            </w:r>
          </w:p>
        </w:tc>
        <w:tc>
          <w:tcPr>
            <w:tcW w:type="dxa" w:w="5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8</w:t>
            </w:r>
          </w:p>
        </w:tc>
      </w:tr>
      <w:tr>
        <w:tc>
          <w:tcPr>
            <w:tcW w:type="dxa" w:w="76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rPr>
              <w:t>2.3</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rPr>
              <w:t>4K信号4x1静净倒换器</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rPr>
              <w:t>1.设备支持12G-SDI,3G-SDI, HD-SDI （2160p50/60,1080i50/60）信号；</w:t>
            </w:r>
          </w:p>
          <w:p>
            <w:pPr>
              <w:pStyle w:val="null3"/>
              <w:jc w:val="left"/>
            </w:pPr>
            <w:r>
              <w:rPr>
                <w:sz w:val="24"/>
              </w:rPr>
              <w:t>2.提供4路信号源输入；</w:t>
            </w:r>
          </w:p>
          <w:p>
            <w:pPr>
              <w:pStyle w:val="null3"/>
              <w:jc w:val="left"/>
            </w:pPr>
            <w:r>
              <w:rPr>
                <w:sz w:val="24"/>
              </w:rPr>
              <w:t>3.支持至少2路12G-SDI输出；支持至少对1路输入带断电直通功能，设备断电后仍能保留当前所选择的信号源直出；</w:t>
            </w:r>
          </w:p>
          <w:p>
            <w:pPr>
              <w:pStyle w:val="null3"/>
              <w:jc w:val="left"/>
            </w:pPr>
            <w:r>
              <w:rPr>
                <w:sz w:val="24"/>
              </w:rPr>
              <w:t>4.支持输入信号的净静切换；</w:t>
            </w:r>
          </w:p>
          <w:p>
            <w:pPr>
              <w:pStyle w:val="null3"/>
              <w:jc w:val="left"/>
            </w:pPr>
            <w:r>
              <w:rPr>
                <w:sz w:val="24"/>
              </w:rPr>
              <w:t>5.支持信号异常检测报警，可设置静帧、彩条、黑场、音频过低等的阀值；对异常信号可设置自动切换；</w:t>
            </w:r>
          </w:p>
          <w:p>
            <w:pPr>
              <w:pStyle w:val="null3"/>
              <w:jc w:val="left"/>
            </w:pPr>
            <w:r>
              <w:rPr>
                <w:sz w:val="24"/>
              </w:rPr>
              <w:t>6.支持第三方GPIO控制、远程管理软件控制等多种受控方式，支持第三方GPIO面板独立按键切换信号操作；</w:t>
            </w:r>
          </w:p>
          <w:p>
            <w:pPr>
              <w:pStyle w:val="null3"/>
              <w:jc w:val="left"/>
            </w:pPr>
            <w:r>
              <w:rPr>
                <w:sz w:val="24"/>
              </w:rPr>
              <w:t>7.支持BB同步信号输入；</w:t>
            </w:r>
          </w:p>
          <w:p>
            <w:pPr>
              <w:pStyle w:val="null3"/>
              <w:jc w:val="left"/>
            </w:pPr>
            <w:r>
              <w:rPr>
                <w:sz w:val="24"/>
              </w:rPr>
              <w:t>8.每个切换设备提供独立标准机架式1RU机箱，每个机箱配备冗余电源；</w:t>
            </w:r>
          </w:p>
          <w:p>
            <w:pPr>
              <w:pStyle w:val="null3"/>
              <w:jc w:val="left"/>
            </w:pPr>
            <w:r>
              <w:rPr>
                <w:sz w:val="24"/>
              </w:rPr>
              <w:t>9.支持记录切换日志；</w:t>
            </w:r>
          </w:p>
          <w:p>
            <w:pPr>
              <w:pStyle w:val="null3"/>
              <w:jc w:val="left"/>
            </w:pPr>
            <w:r>
              <w:rPr>
                <w:sz w:val="24"/>
              </w:rPr>
              <w:t>★10.投标人如所投为进口产品，需提供所投产品制造商针对本项目出具的授权函及售后服务承诺。</w:t>
            </w:r>
          </w:p>
        </w:tc>
        <w:tc>
          <w:tcPr>
            <w:tcW w:type="dxa" w:w="5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台</w:t>
            </w:r>
          </w:p>
        </w:tc>
        <w:tc>
          <w:tcPr>
            <w:tcW w:type="dxa" w:w="5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3</w:t>
            </w:r>
          </w:p>
        </w:tc>
      </w:tr>
      <w:tr>
        <w:tc>
          <w:tcPr>
            <w:tcW w:type="dxa" w:w="76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rPr>
              <w:t>2.4.1</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rPr>
              <w:t>4K视频分配器（带旁通）</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rPr>
              <w:t>1.模块化板卡设计，支持热插拔；</w:t>
            </w:r>
          </w:p>
          <w:p>
            <w:pPr>
              <w:pStyle w:val="null3"/>
              <w:jc w:val="left"/>
            </w:pPr>
            <w:r>
              <w:rPr>
                <w:sz w:val="24"/>
              </w:rPr>
              <w:t>2.采用BNC或HD-BNC接口，支持12G/3G/HD SDI标准；</w:t>
            </w:r>
          </w:p>
          <w:p>
            <w:pPr>
              <w:pStyle w:val="null3"/>
              <w:jc w:val="left"/>
            </w:pPr>
            <w:r>
              <w:rPr>
                <w:sz w:val="24"/>
              </w:rPr>
              <w:t>3.输入输出至少支持以下格式：HD 1080i50，3G 1080p50/59.94/60，4K UHD 2160p25/29.97/30/ 50/59.94&amp;60 12G-SDI (4:2:2 YCbCR)；</w:t>
            </w:r>
          </w:p>
          <w:p>
            <w:pPr>
              <w:pStyle w:val="null3"/>
              <w:jc w:val="left"/>
            </w:pPr>
            <w:r>
              <w:rPr>
                <w:sz w:val="24"/>
              </w:rPr>
              <w:t>4.带线缆均衡和时钟再生功能；</w:t>
            </w:r>
          </w:p>
          <w:p>
            <w:pPr>
              <w:pStyle w:val="null3"/>
              <w:jc w:val="left"/>
            </w:pPr>
            <w:r>
              <w:rPr>
                <w:sz w:val="24"/>
              </w:rPr>
              <w:t>5.支持低延时处理；</w:t>
            </w:r>
          </w:p>
          <w:p>
            <w:pPr>
              <w:pStyle w:val="null3"/>
              <w:jc w:val="left"/>
            </w:pPr>
            <w:r>
              <w:rPr>
                <w:sz w:val="24"/>
              </w:rPr>
              <w:t>6.可通过机箱本地操作面板或以太网端口对板卡进行参数调整和实时状态监测</w:t>
            </w:r>
          </w:p>
          <w:p>
            <w:pPr>
              <w:pStyle w:val="null3"/>
              <w:jc w:val="left"/>
            </w:pPr>
            <w:r>
              <w:rPr>
                <w:sz w:val="24"/>
              </w:rPr>
              <w:t>▲7.不少于8路输出，不少于1路支持12G-SDI掉电旁通。（提供以下任一材料:①提供具备 CMA 或 CNAS标志的检测报告复印件;②提供产品制造商官网相应功能截图，同时提供官网链接地址;③制造商产品说明书或使用手册，或制造厂商公开发布的产品功能介绍资料;④产品对应功能的照片或产品功能操作界面图片。）</w:t>
            </w:r>
          </w:p>
        </w:tc>
        <w:tc>
          <w:tcPr>
            <w:tcW w:type="dxa" w:w="5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台</w:t>
            </w:r>
          </w:p>
        </w:tc>
        <w:tc>
          <w:tcPr>
            <w:tcW w:type="dxa" w:w="5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8</w:t>
            </w:r>
          </w:p>
        </w:tc>
      </w:tr>
      <w:tr>
        <w:tc>
          <w:tcPr>
            <w:tcW w:type="dxa" w:w="76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rPr>
              <w:t>2.4.2</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rPr>
              <w:t>4K视频分配器</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rPr>
              <w:t>1.模块化板卡设计，支持热插拔；</w:t>
            </w:r>
          </w:p>
          <w:p>
            <w:pPr>
              <w:pStyle w:val="null3"/>
              <w:jc w:val="left"/>
            </w:pPr>
            <w:r>
              <w:rPr>
                <w:sz w:val="24"/>
              </w:rPr>
              <w:t>2.采用BNC或HD-BNC接口，支持12G/3G/HD SDI标准；</w:t>
            </w:r>
          </w:p>
          <w:p>
            <w:pPr>
              <w:pStyle w:val="null3"/>
              <w:jc w:val="left"/>
            </w:pPr>
            <w:r>
              <w:rPr>
                <w:sz w:val="24"/>
              </w:rPr>
              <w:t>3.不少于10路输出；</w:t>
            </w:r>
          </w:p>
          <w:p>
            <w:pPr>
              <w:pStyle w:val="null3"/>
              <w:jc w:val="left"/>
            </w:pPr>
            <w:r>
              <w:rPr>
                <w:sz w:val="24"/>
              </w:rPr>
              <w:t>4.输入输出至少支持以下格式：HD 1080i50，3G 1080p50/59.94/60，4K UHD 2160p25/29.97/30/ 50/59.94&amp;60 12G-SDI (4:2:2 YCbCR)；</w:t>
            </w:r>
          </w:p>
          <w:p>
            <w:pPr>
              <w:pStyle w:val="null3"/>
              <w:jc w:val="left"/>
            </w:pPr>
            <w:r>
              <w:rPr>
                <w:sz w:val="24"/>
              </w:rPr>
              <w:t>5.带线缆均衡和时钟再生功能；</w:t>
            </w:r>
          </w:p>
          <w:p>
            <w:pPr>
              <w:pStyle w:val="null3"/>
              <w:jc w:val="left"/>
            </w:pPr>
            <w:r>
              <w:rPr>
                <w:sz w:val="24"/>
              </w:rPr>
              <w:t>6.支持低延时处理；</w:t>
            </w:r>
          </w:p>
          <w:p>
            <w:pPr>
              <w:pStyle w:val="null3"/>
              <w:jc w:val="left"/>
            </w:pPr>
            <w:r>
              <w:rPr>
                <w:sz w:val="24"/>
              </w:rPr>
              <w:t>7.可通过机箱本地操作面板或以太网端口对板卡进行参数调整和实时状态监测。</w:t>
            </w:r>
          </w:p>
        </w:tc>
        <w:tc>
          <w:tcPr>
            <w:tcW w:type="dxa" w:w="5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台</w:t>
            </w:r>
          </w:p>
        </w:tc>
        <w:tc>
          <w:tcPr>
            <w:tcW w:type="dxa" w:w="5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20</w:t>
            </w:r>
          </w:p>
        </w:tc>
      </w:tr>
      <w:tr>
        <w:tc>
          <w:tcPr>
            <w:tcW w:type="dxa" w:w="76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rPr>
              <w:t>2.5.1</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rPr>
              <w:t>主4K/HD上下变换器</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rPr>
              <w:t>1.标准机架式安装的单个机箱设备，主机机箱不大于2RU，冗余电源；</w:t>
            </w:r>
          </w:p>
          <w:p>
            <w:pPr>
              <w:pStyle w:val="null3"/>
              <w:jc w:val="left"/>
            </w:pPr>
            <w:r>
              <w:rPr>
                <w:sz w:val="24"/>
              </w:rPr>
              <w:t>2.提供支持12G/3G/HD SDI标准BNC或HD-BNC的输入、输出接口至少各2个；</w:t>
            </w:r>
          </w:p>
          <w:p>
            <w:pPr>
              <w:pStyle w:val="null3"/>
              <w:jc w:val="left"/>
            </w:pPr>
            <w:r>
              <w:rPr>
                <w:sz w:val="24"/>
              </w:rPr>
              <w:t>3.至少提供2个4K与高清信号之间的上/下/交叉变换实时处理通道，支持SDI和IP信号格式下的分辨率、动态范围、色彩空间、OETF转换；支持视频PAL和NTSC转换和50/59.94/60等帧率转换，支持线性运动滤波；</w:t>
            </w:r>
          </w:p>
          <w:p>
            <w:pPr>
              <w:pStyle w:val="null3"/>
              <w:jc w:val="left"/>
            </w:pPr>
            <w:r>
              <w:rPr>
                <w:sz w:val="24"/>
              </w:rPr>
              <w:t>4.输入输出至少支持以下格式：1080 50/59.94/60i，1080 50/59.94/60p (Levels A and B)，2160 23/24/25/29/30p(6G-SDIsingle-link,Level B dual stream)，2160 50/59.94/60p (12G-SDI single link Level A)；</w:t>
            </w:r>
          </w:p>
          <w:p>
            <w:pPr>
              <w:pStyle w:val="null3"/>
              <w:jc w:val="left"/>
            </w:pPr>
            <w:r>
              <w:rPr>
                <w:sz w:val="24"/>
              </w:rPr>
              <w:t>5.支持电平、黑电平、亮度、对比度、色度、Y Gamma等参数调整；</w:t>
            </w:r>
          </w:p>
          <w:p>
            <w:pPr>
              <w:pStyle w:val="null3"/>
              <w:jc w:val="left"/>
            </w:pPr>
            <w:r>
              <w:rPr>
                <w:sz w:val="24"/>
              </w:rPr>
              <w:t>6.提供包括但不限于黑场、多波群、彩条等测试图信号发生；</w:t>
            </w:r>
          </w:p>
          <w:p>
            <w:pPr>
              <w:pStyle w:val="null3"/>
              <w:jc w:val="left"/>
            </w:pPr>
            <w:r>
              <w:rPr>
                <w:sz w:val="24"/>
              </w:rPr>
              <w:t>7.支持BB同步锁相；</w:t>
            </w:r>
          </w:p>
          <w:p>
            <w:pPr>
              <w:pStyle w:val="null3"/>
              <w:jc w:val="left"/>
            </w:pPr>
            <w:r>
              <w:rPr>
                <w:sz w:val="24"/>
              </w:rPr>
              <w:t>8.支持低延时处理，延迟低于1帧；</w:t>
            </w:r>
          </w:p>
          <w:p>
            <w:pPr>
              <w:pStyle w:val="null3"/>
              <w:jc w:val="left"/>
            </w:pPr>
            <w:r>
              <w:rPr>
                <w:sz w:val="24"/>
              </w:rPr>
              <w:t>9.支持帧同步功能，对输入信号提供不少于8帧的视音频延时；</w:t>
            </w:r>
          </w:p>
          <w:p>
            <w:pPr>
              <w:pStyle w:val="null3"/>
              <w:jc w:val="left"/>
            </w:pPr>
            <w:r>
              <w:rPr>
                <w:sz w:val="24"/>
              </w:rPr>
              <w:t>10.支持web远程管理控制，支持SNMP;</w:t>
            </w:r>
          </w:p>
          <w:p>
            <w:pPr>
              <w:pStyle w:val="null3"/>
              <w:jc w:val="left"/>
            </w:pPr>
            <w:r>
              <w:rPr>
                <w:sz w:val="24"/>
              </w:rPr>
              <w:t>▲11.支持广播级HDR（HLG/PQ/Slog3）和SDR交叉变换功能，可调节HDR/SDR转换白基准；（提供以下任一材料:①提供具备 CMA 或 CNAS标志的检测报告复印件;②)提供产品制造商官网相应功能截图，同时提供官网链接地址;③制造商产品说明书或使用手册，或制造厂商公开发布的产品功能介绍资料;④产品对应功能的照片或产品功能操作界面图片。）</w:t>
            </w:r>
          </w:p>
          <w:p>
            <w:pPr>
              <w:pStyle w:val="null3"/>
              <w:jc w:val="left"/>
            </w:pPr>
            <w:r>
              <w:rPr>
                <w:sz w:val="24"/>
              </w:rPr>
              <w:t>▲12.具有LUT功能，支持用户自定义LUT导入功能，支持广播级BT709与BT2020色域信号相互转换。（提供以下任一材料:①提供具备 CMA 或 CNAS标志的检测报告复印件;②)提供产品制造商官网相应功能截图，同时提供官网链接地址;③制造商产品说明书或使用手册，或制造厂商公开发布的产品功能介绍资料;④产品对应功能的照片或产品功能操作界面图片。）</w:t>
            </w:r>
          </w:p>
        </w:tc>
        <w:tc>
          <w:tcPr>
            <w:tcW w:type="dxa" w:w="5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套</w:t>
            </w:r>
          </w:p>
        </w:tc>
        <w:tc>
          <w:tcPr>
            <w:tcW w:type="dxa" w:w="5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1</w:t>
            </w:r>
          </w:p>
        </w:tc>
      </w:tr>
      <w:tr>
        <w:tc>
          <w:tcPr>
            <w:tcW w:type="dxa" w:w="76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rPr>
              <w:t>2.5.2</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rPr>
              <w:t>备4K/HD上下变换器</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rPr>
              <w:t>1.标准机架式安装的单个机箱设备，主机机箱不大于2RU，冗余电源；</w:t>
            </w:r>
          </w:p>
          <w:p>
            <w:pPr>
              <w:pStyle w:val="null3"/>
              <w:jc w:val="left"/>
            </w:pPr>
            <w:r>
              <w:rPr>
                <w:sz w:val="24"/>
              </w:rPr>
              <w:t>2.至少提供2个4K与高清信号之间的上/下/交叉变换实时处理通道，支持SDI和IP信号格式下的分辨率、动态范围、色彩空间、OETF转换；</w:t>
            </w:r>
          </w:p>
          <w:p>
            <w:pPr>
              <w:pStyle w:val="null3"/>
              <w:jc w:val="left"/>
            </w:pPr>
            <w:r>
              <w:rPr>
                <w:sz w:val="24"/>
              </w:rPr>
              <w:t>3.每个通道均支持HD及4K（4×3G和12G）信号的输入输出接口，可同时输出经过转换的4K和HD信号；</w:t>
            </w:r>
          </w:p>
          <w:p>
            <w:pPr>
              <w:pStyle w:val="null3"/>
              <w:jc w:val="left"/>
            </w:pPr>
            <w:r>
              <w:rPr>
                <w:sz w:val="24"/>
              </w:rPr>
              <w:t>4.输入输出至少支持以下格式：1080 50/59.94/60i，1080 50/59.94/60p (Levels A and B)，2160 23/24/25/29/30p(6G-SDI single-link,Level B dual stream)，2160 50/59.94/60p (12G-SDI single link Level A，SQD/2SI Levels A and B)；</w:t>
            </w:r>
          </w:p>
          <w:p>
            <w:pPr>
              <w:pStyle w:val="null3"/>
              <w:jc w:val="left"/>
            </w:pPr>
            <w:r>
              <w:rPr>
                <w:sz w:val="24"/>
              </w:rPr>
              <w:t>5.支持电平、黑电平、亮度、对比度、色度、Y Gamma等参数调整；</w:t>
            </w:r>
          </w:p>
          <w:p>
            <w:pPr>
              <w:pStyle w:val="null3"/>
              <w:jc w:val="left"/>
            </w:pPr>
            <w:r>
              <w:rPr>
                <w:sz w:val="24"/>
              </w:rPr>
              <w:t>6.支持低延时处理，延迟低于1帧；</w:t>
            </w:r>
          </w:p>
          <w:p>
            <w:pPr>
              <w:pStyle w:val="null3"/>
              <w:jc w:val="left"/>
            </w:pPr>
            <w:r>
              <w:rPr>
                <w:sz w:val="24"/>
              </w:rPr>
              <w:t>7.支持帧同步功能，对输入信号提供不少于5帧的视音频延时；</w:t>
            </w:r>
          </w:p>
          <w:p>
            <w:pPr>
              <w:pStyle w:val="null3"/>
              <w:jc w:val="left"/>
            </w:pPr>
            <w:r>
              <w:rPr>
                <w:sz w:val="24"/>
              </w:rPr>
              <w:t>8.支持BB同步；</w:t>
            </w:r>
          </w:p>
          <w:p>
            <w:pPr>
              <w:pStyle w:val="null3"/>
              <w:jc w:val="left"/>
            </w:pPr>
            <w:r>
              <w:rPr>
                <w:sz w:val="24"/>
              </w:rPr>
              <w:t>9.具有网络访问及设置；</w:t>
            </w:r>
          </w:p>
          <w:p>
            <w:pPr>
              <w:pStyle w:val="null3"/>
              <w:jc w:val="left"/>
            </w:pPr>
            <w:r>
              <w:rPr>
                <w:sz w:val="24"/>
              </w:rPr>
              <w:t>▲10.支持广播级HDR（HLG/PQ/Slog3）和SDR交叉变换功能；可调节HDR/SDR转换白基准；（提供以下任一材料:①提供具备 CMA 或 CNAS标志的检测报告复印件;②)提供产品制造商官网相应功能截图，同时提供官网链接地址;③制造商产品说明书或使用手册，或制造厂商公开发布的产品功能介绍资料;④产品对应功能的照片或产品功能操作界面图片。）</w:t>
            </w:r>
          </w:p>
          <w:p>
            <w:pPr>
              <w:pStyle w:val="null3"/>
              <w:jc w:val="left"/>
            </w:pPr>
            <w:r>
              <w:rPr>
                <w:sz w:val="24"/>
              </w:rPr>
              <w:t>▲11.具有LUT功能，支持用户自定义LUT导入功能；支持广播级BT709与BT2020色域信号相互转换；（提供以下任一材料:①提供具备 CMA 或 CNAS标志的检测报告复印件;②)提供产品制造商官网相应功能截图，同时提供官网链接地址;③制造商产品说明书或使用手册，或制造厂商公开发布的产品功能介绍资料;④产品对应功能的照片或产品功能操作界面图片。）</w:t>
            </w:r>
          </w:p>
          <w:p>
            <w:pPr>
              <w:pStyle w:val="null3"/>
              <w:jc w:val="left"/>
            </w:pPr>
            <w:r>
              <w:rPr>
                <w:sz w:val="24"/>
              </w:rPr>
              <w:t>▲12.与2.5.1的设备采用不同品牌。（投标人提供承诺函，可参照“投标文件格式”中《承诺函》格式）</w:t>
            </w:r>
          </w:p>
        </w:tc>
        <w:tc>
          <w:tcPr>
            <w:tcW w:type="dxa" w:w="5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台</w:t>
            </w:r>
          </w:p>
        </w:tc>
        <w:tc>
          <w:tcPr>
            <w:tcW w:type="dxa" w:w="5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1</w:t>
            </w:r>
          </w:p>
        </w:tc>
      </w:tr>
      <w:tr>
        <w:tc>
          <w:tcPr>
            <w:tcW w:type="dxa" w:w="76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rPr>
              <w:t>2.6.1</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rPr>
              <w:t>主12G/IP信号网关</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rPr>
              <w:t>1.标配冗余电源，标准机架式安装设备，不大于1RU；</w:t>
            </w:r>
          </w:p>
          <w:p>
            <w:pPr>
              <w:pStyle w:val="null3"/>
              <w:jc w:val="both"/>
            </w:pPr>
            <w:r>
              <w:rPr>
                <w:sz w:val="24"/>
              </w:rPr>
              <w:t>2.提供至少8个12G-SDI接口，内嵌16声道音频，根据不同工作模式分配不同的入出方向；</w:t>
            </w:r>
          </w:p>
          <w:p>
            <w:pPr>
              <w:pStyle w:val="null3"/>
              <w:jc w:val="both"/>
            </w:pPr>
            <w:r>
              <w:rPr>
                <w:sz w:val="24"/>
              </w:rPr>
              <w:t>3.至少提供8个12G-SDI与IP之间可自定义方向的通道，所有通道能同时转换；</w:t>
            </w:r>
          </w:p>
          <w:p>
            <w:pPr>
              <w:pStyle w:val="null3"/>
              <w:jc w:val="left"/>
            </w:pPr>
            <w:r>
              <w:rPr>
                <w:sz w:val="24"/>
              </w:rPr>
              <w:t>4.提供至少2个100GbE或8个25GbE以上速率的以太网媒体数据口，支持SMPTE ST 2022-7主备切换，满配光模块；</w:t>
            </w:r>
          </w:p>
          <w:p>
            <w:pPr>
              <w:pStyle w:val="null3"/>
              <w:jc w:val="left"/>
            </w:pPr>
            <w:r>
              <w:rPr>
                <w:sz w:val="24"/>
              </w:rPr>
              <w:t>5.提供不少于1个控制网口（RJ45），1个带外NMOS网口（RJ45）；</w:t>
            </w:r>
          </w:p>
          <w:p>
            <w:pPr>
              <w:pStyle w:val="null3"/>
              <w:jc w:val="left"/>
            </w:pPr>
            <w:r>
              <w:rPr>
                <w:sz w:val="24"/>
              </w:rPr>
              <w:t>6.支持SMPTE ST 2110-10/20/21/30/40标准；</w:t>
            </w:r>
          </w:p>
          <w:p>
            <w:pPr>
              <w:pStyle w:val="null3"/>
              <w:jc w:val="left"/>
            </w:pPr>
            <w:r>
              <w:rPr>
                <w:sz w:val="24"/>
              </w:rPr>
              <w:t>7.支持的视频制式包括但不限于：3840×2160/50p/59.94p/60p，1920×1080/50i/59.94i/50p/59.94p/60p；</w:t>
            </w:r>
          </w:p>
          <w:p>
            <w:pPr>
              <w:pStyle w:val="null3"/>
              <w:jc w:val="both"/>
            </w:pPr>
            <w:r>
              <w:rPr>
                <w:sz w:val="24"/>
              </w:rPr>
              <w:t>8.支持BB和SMPTE ST 2059-2 PTP同步；</w:t>
            </w:r>
          </w:p>
          <w:p>
            <w:pPr>
              <w:pStyle w:val="null3"/>
              <w:jc w:val="both"/>
            </w:pPr>
            <w:r>
              <w:rPr>
                <w:sz w:val="24"/>
              </w:rPr>
              <w:t>9.支持对外来IP及SDI信号做帧同步处理，支持对输出的IP及SDI信号进行调节相位；</w:t>
            </w:r>
          </w:p>
          <w:p>
            <w:pPr>
              <w:pStyle w:val="null3"/>
              <w:jc w:val="both"/>
            </w:pPr>
            <w:r>
              <w:rPr>
                <w:sz w:val="24"/>
              </w:rPr>
              <w:t>10.支持NMOS IS-04/05协议，支持通过NMOS控制设备；</w:t>
            </w:r>
          </w:p>
          <w:p>
            <w:pPr>
              <w:pStyle w:val="null3"/>
              <w:jc w:val="left"/>
            </w:pPr>
            <w:r>
              <w:rPr>
                <w:sz w:val="24"/>
              </w:rPr>
              <w:t>11.支持使用BS页面或专用软件对设备进行配置和控制。</w:t>
            </w:r>
          </w:p>
        </w:tc>
        <w:tc>
          <w:tcPr>
            <w:tcW w:type="dxa" w:w="5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套</w:t>
            </w:r>
          </w:p>
        </w:tc>
        <w:tc>
          <w:tcPr>
            <w:tcW w:type="dxa" w:w="5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2</w:t>
            </w:r>
          </w:p>
        </w:tc>
      </w:tr>
      <w:tr>
        <w:tc>
          <w:tcPr>
            <w:tcW w:type="dxa" w:w="76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rPr>
              <w:t>2.6.2</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rPr>
              <w:t>备12G/IP信号网关</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rPr>
              <w:t>1.与2.6.1的设备采用不同品牌；</w:t>
            </w:r>
          </w:p>
          <w:p>
            <w:pPr>
              <w:pStyle w:val="null3"/>
              <w:jc w:val="left"/>
            </w:pPr>
            <w:r>
              <w:rPr>
                <w:sz w:val="24"/>
              </w:rPr>
              <w:t>2.标配冗余电源，标准机架式安装设备，不大于1RU；</w:t>
            </w:r>
          </w:p>
          <w:p>
            <w:pPr>
              <w:pStyle w:val="null3"/>
              <w:jc w:val="left"/>
            </w:pPr>
            <w:r>
              <w:rPr>
                <w:sz w:val="24"/>
              </w:rPr>
              <w:t>3.提供至少8个12G-SDI接口，内嵌16声道音频；</w:t>
            </w:r>
          </w:p>
          <w:p>
            <w:pPr>
              <w:pStyle w:val="null3"/>
              <w:jc w:val="left"/>
            </w:pPr>
            <w:r>
              <w:rPr>
                <w:sz w:val="24"/>
              </w:rPr>
              <w:t>4.提供至少8通道“12G-SDI转IP”和至少8通道“IP转12G-SDI”的同时转换；</w:t>
            </w:r>
          </w:p>
          <w:p>
            <w:pPr>
              <w:pStyle w:val="null3"/>
              <w:jc w:val="left"/>
            </w:pPr>
            <w:r>
              <w:rPr>
                <w:sz w:val="24"/>
              </w:rPr>
              <w:t>5.提供至少2个100GbE或8个25GbE以上速率的以太网媒体数据口，支持SMPTE ST 2022-7主备切换，满配光模块；</w:t>
            </w:r>
          </w:p>
          <w:p>
            <w:pPr>
              <w:pStyle w:val="null3"/>
              <w:jc w:val="left"/>
            </w:pPr>
            <w:r>
              <w:rPr>
                <w:sz w:val="24"/>
              </w:rPr>
              <w:t>6.提供不少于1个控制网口（RJ45），1个带外NMOS网口（RJ45）；</w:t>
            </w:r>
          </w:p>
          <w:p>
            <w:pPr>
              <w:pStyle w:val="null3"/>
              <w:jc w:val="left"/>
            </w:pPr>
            <w:r>
              <w:rPr>
                <w:sz w:val="24"/>
              </w:rPr>
              <w:t>7.支持SMPTE ST 2110-10/20/21/30/40标准；</w:t>
            </w:r>
          </w:p>
          <w:p>
            <w:pPr>
              <w:pStyle w:val="null3"/>
              <w:jc w:val="left"/>
            </w:pPr>
            <w:r>
              <w:rPr>
                <w:sz w:val="24"/>
              </w:rPr>
              <w:t>8.支持的视频制式包括但不限于：3840×2160/50p/59.94p/60p，1920×1080/50i/59.94i/50p/59.94p/60p；</w:t>
            </w:r>
          </w:p>
          <w:p>
            <w:pPr>
              <w:pStyle w:val="null3"/>
              <w:jc w:val="left"/>
            </w:pPr>
            <w:r>
              <w:rPr>
                <w:sz w:val="24"/>
              </w:rPr>
              <w:t>9.支持BB和SMPTE ST 2059-2 PTP同步；</w:t>
            </w:r>
          </w:p>
          <w:p>
            <w:pPr>
              <w:pStyle w:val="null3"/>
              <w:jc w:val="left"/>
            </w:pPr>
            <w:r>
              <w:rPr>
                <w:sz w:val="24"/>
              </w:rPr>
              <w:t>10.支持对外来IP及SDI信号做帧同步处理，支持对输出的IP及SDI信号进行调节相位；</w:t>
            </w:r>
          </w:p>
          <w:p>
            <w:pPr>
              <w:pStyle w:val="null3"/>
              <w:jc w:val="left"/>
            </w:pPr>
            <w:r>
              <w:rPr>
                <w:sz w:val="24"/>
              </w:rPr>
              <w:t>11.支持NMOS IS-04/05协议，支持通过NMOS控制设备；</w:t>
            </w:r>
          </w:p>
          <w:p>
            <w:pPr>
              <w:pStyle w:val="null3"/>
              <w:jc w:val="left"/>
            </w:pPr>
            <w:r>
              <w:rPr>
                <w:sz w:val="24"/>
              </w:rPr>
              <w:t>12.支持使用BS页面或专用软件对设备进行配置和控制。</w:t>
            </w:r>
          </w:p>
        </w:tc>
        <w:tc>
          <w:tcPr>
            <w:tcW w:type="dxa" w:w="5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套</w:t>
            </w:r>
          </w:p>
        </w:tc>
        <w:tc>
          <w:tcPr>
            <w:tcW w:type="dxa" w:w="5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1</w:t>
            </w:r>
          </w:p>
        </w:tc>
      </w:tr>
      <w:tr>
        <w:tc>
          <w:tcPr>
            <w:tcW w:type="dxa" w:w="76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rPr>
              <w:t>2.7</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rPr>
              <w:t>模拟视分</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rPr>
              <w:t>1.设备支持SMPTE 259M  576/50i 、90Mhz带宽的模拟信号；</w:t>
            </w:r>
          </w:p>
          <w:p>
            <w:pPr>
              <w:pStyle w:val="null3"/>
              <w:jc w:val="left"/>
            </w:pPr>
            <w:r>
              <w:rPr>
                <w:sz w:val="24"/>
              </w:rPr>
              <w:t>2.不少于7路75欧姆输出，其中不少于1路支持环通输出；</w:t>
            </w:r>
          </w:p>
          <w:p>
            <w:pPr>
              <w:pStyle w:val="null3"/>
              <w:jc w:val="left"/>
            </w:pPr>
            <w:r>
              <w:rPr>
                <w:sz w:val="24"/>
              </w:rPr>
              <w:t>3.具有EQ自动均衡功能；</w:t>
            </w:r>
          </w:p>
          <w:p>
            <w:pPr>
              <w:pStyle w:val="null3"/>
              <w:jc w:val="left"/>
            </w:pPr>
            <w:r>
              <w:rPr>
                <w:sz w:val="24"/>
              </w:rPr>
              <w:t>4.增益可调；</w:t>
            </w:r>
          </w:p>
          <w:p>
            <w:pPr>
              <w:pStyle w:val="null3"/>
              <w:jc w:val="left"/>
            </w:pPr>
            <w:r>
              <w:rPr>
                <w:sz w:val="24"/>
              </w:rPr>
              <w:t>5.模块化板卡设计，与本项目的其他模块化板卡共用机箱；</w:t>
            </w:r>
          </w:p>
          <w:p>
            <w:pPr>
              <w:pStyle w:val="null3"/>
              <w:jc w:val="left"/>
            </w:pPr>
            <w:r>
              <w:rPr>
                <w:sz w:val="24"/>
              </w:rPr>
              <w:t>6.可通过机箱本地操作面板或以太网端口对板卡进行参数调整和状态监测。</w:t>
            </w:r>
          </w:p>
        </w:tc>
        <w:tc>
          <w:tcPr>
            <w:tcW w:type="dxa" w:w="5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台</w:t>
            </w:r>
          </w:p>
        </w:tc>
        <w:tc>
          <w:tcPr>
            <w:tcW w:type="dxa" w:w="5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6</w:t>
            </w:r>
          </w:p>
        </w:tc>
      </w:tr>
      <w:tr>
        <w:tc>
          <w:tcPr>
            <w:tcW w:type="dxa" w:w="76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rPr>
              <w:t>2.8</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跳线架</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rPr>
              <w:t>1.支持32路12G-SDI，后接口为BNC；</w:t>
            </w:r>
          </w:p>
          <w:p>
            <w:pPr>
              <w:pStyle w:val="null3"/>
              <w:jc w:val="left"/>
            </w:pPr>
            <w:r>
              <w:rPr>
                <w:sz w:val="24"/>
              </w:rPr>
              <w:t>2.兼容SMPTE ST 2082-1；</w:t>
            </w:r>
          </w:p>
          <w:p>
            <w:pPr>
              <w:pStyle w:val="null3"/>
              <w:jc w:val="left"/>
            </w:pPr>
            <w:r>
              <w:rPr>
                <w:sz w:val="24"/>
              </w:rPr>
              <w:t>3.常通型：视频接口未接跳线时，上下常通；</w:t>
            </w:r>
          </w:p>
          <w:p>
            <w:pPr>
              <w:pStyle w:val="null3"/>
              <w:jc w:val="left"/>
            </w:pPr>
            <w:r>
              <w:rPr>
                <w:sz w:val="24"/>
              </w:rPr>
              <w:t>4.带防尘结构的机械开关；</w:t>
            </w:r>
          </w:p>
          <w:p>
            <w:pPr>
              <w:pStyle w:val="null3"/>
              <w:jc w:val="left"/>
            </w:pPr>
            <w:r>
              <w:rPr>
                <w:sz w:val="24"/>
              </w:rPr>
              <w:t>5.回波损耗：≥4dB@12Ghz，≥7dB@6Ghz，≥10dB@3Ghz，≥15dB@1.5Ghz；</w:t>
            </w:r>
          </w:p>
          <w:p>
            <w:pPr>
              <w:pStyle w:val="null3"/>
              <w:jc w:val="left"/>
            </w:pPr>
            <w:r>
              <w:rPr>
                <w:sz w:val="24"/>
              </w:rPr>
              <w:t>6.隔离度：≥45dB@6Ghz。</w:t>
            </w:r>
          </w:p>
          <w:p>
            <w:pPr>
              <w:pStyle w:val="null3"/>
              <w:jc w:val="left"/>
            </w:pPr>
            <w:r>
              <w:rPr>
                <w:sz w:val="24"/>
              </w:rPr>
              <w:t>7.每个跳线架配套至少4条不短于1米长适用的跳线。</w:t>
            </w:r>
          </w:p>
        </w:tc>
        <w:tc>
          <w:tcPr>
            <w:tcW w:type="dxa" w:w="5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4"/>
              </w:rPr>
              <w:t>条</w:t>
            </w:r>
          </w:p>
        </w:tc>
        <w:tc>
          <w:tcPr>
            <w:tcW w:type="dxa" w:w="5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4</w:t>
            </w:r>
          </w:p>
        </w:tc>
      </w:tr>
      <w:tr>
        <w:tc>
          <w:tcPr>
            <w:tcW w:type="dxa" w:w="76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rPr>
              <w:t>3</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技术监看监听系统</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c>
          <w:tcPr>
            <w:tcW w:type="dxa" w:w="50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593"/>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76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rPr>
              <w:t>3.1</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rPr>
              <w:t>24寸桌面4K技术监视器</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rPr>
              <w:t>▲1.至少提供2路12G-SDI视频输入与1路环出（向下兼容 6G/3G/HD/SD-SDI）；（提供以下任一材料:①提供具备 CMA 或 CNAS标志的检测报告复印件;②)提供产品制造商官网相应功能截图，同时提供官网链接地址;③制造商产品说明书或使用手册，或制造厂商公开发布的产品功能介绍资料;④产品对应功能的照片或产品功能操作界面图片。）</w:t>
            </w:r>
          </w:p>
          <w:p>
            <w:pPr>
              <w:pStyle w:val="null3"/>
              <w:jc w:val="left"/>
            </w:pPr>
            <w:r>
              <w:rPr>
                <w:sz w:val="24"/>
              </w:rPr>
              <w:t>2.至少达到3840×2160 4K分辨率，色深不低于1.07B，视角不小于178°H×178°V；</w:t>
            </w:r>
          </w:p>
          <w:p>
            <w:pPr>
              <w:pStyle w:val="null3"/>
              <w:jc w:val="left"/>
            </w:pPr>
            <w:r>
              <w:rPr>
                <w:sz w:val="24"/>
              </w:rPr>
              <w:t>3.峰值亮度达到1000nits。对比度达到1000:1；</w:t>
            </w:r>
          </w:p>
          <w:p>
            <w:pPr>
              <w:pStyle w:val="null3"/>
              <w:jc w:val="left"/>
            </w:pPr>
            <w:r>
              <w:rPr>
                <w:sz w:val="24"/>
              </w:rPr>
              <w:t>4.12G-SDI单链路4K SDI信号支持2160/50p格式；</w:t>
            </w:r>
          </w:p>
          <w:p>
            <w:pPr>
              <w:pStyle w:val="null3"/>
              <w:jc w:val="left"/>
            </w:pPr>
            <w:r>
              <w:rPr>
                <w:sz w:val="24"/>
              </w:rPr>
              <w:t>5.支持SQD和2SI格式4K信号；</w:t>
            </w:r>
          </w:p>
          <w:p>
            <w:pPr>
              <w:pStyle w:val="null3"/>
              <w:jc w:val="left"/>
            </w:pPr>
            <w:r>
              <w:rPr>
                <w:sz w:val="24"/>
              </w:rPr>
              <w:t>6.支持色彩空间和EOTF曲线自动识别， 匹配（REC709/Rec2020）；</w:t>
            </w:r>
          </w:p>
          <w:p>
            <w:pPr>
              <w:pStyle w:val="null3"/>
              <w:jc w:val="left"/>
            </w:pPr>
            <w:r>
              <w:rPr>
                <w:sz w:val="24"/>
              </w:rPr>
              <w:t>7.提供REC709/EBU/REC2020/Bypass等色空间选择；</w:t>
            </w:r>
          </w:p>
          <w:p>
            <w:pPr>
              <w:pStyle w:val="null3"/>
              <w:jc w:val="left"/>
            </w:pPr>
            <w:r>
              <w:rPr>
                <w:sz w:val="24"/>
              </w:rPr>
              <w:t>8.支持HDR:PQ(ST2084),HLG(1.03/1.11/1.16/1.20/1.27/1.33)；</w:t>
            </w:r>
          </w:p>
          <w:p>
            <w:pPr>
              <w:pStyle w:val="null3"/>
              <w:jc w:val="left"/>
            </w:pPr>
            <w:r>
              <w:rPr>
                <w:sz w:val="24"/>
              </w:rPr>
              <w:t>9.支持EOTF Log曲线：SONY S-log1/2/3,ARRI Log-C,Canon C-log1/2/3,Panasonic V-log/log(softroll)；</w:t>
            </w:r>
          </w:p>
          <w:p>
            <w:pPr>
              <w:pStyle w:val="null3"/>
              <w:jc w:val="left"/>
            </w:pPr>
            <w:r>
              <w:rPr>
                <w:sz w:val="24"/>
              </w:rPr>
              <w:t>10.支持多种Gamma选择：Gamma2.0,2.2,2.4,2.6；</w:t>
            </w:r>
          </w:p>
          <w:p>
            <w:pPr>
              <w:pStyle w:val="null3"/>
              <w:jc w:val="left"/>
            </w:pPr>
            <w:r>
              <w:rPr>
                <w:sz w:val="24"/>
              </w:rPr>
              <w:t>11.屏幕尺寸23寸至24寸之间；</w:t>
            </w:r>
          </w:p>
          <w:p>
            <w:pPr>
              <w:pStyle w:val="null3"/>
              <w:jc w:val="left"/>
            </w:pPr>
            <w:r>
              <w:rPr>
                <w:sz w:val="24"/>
              </w:rPr>
              <w:t>12.支持HDR下转换SDR信号，并通过SDI输出；支持4K信号下转换2K/高清信号，并通过SDI输出；</w:t>
            </w:r>
          </w:p>
          <w:p>
            <w:pPr>
              <w:pStyle w:val="null3"/>
              <w:jc w:val="left"/>
            </w:pPr>
            <w:r>
              <w:rPr>
                <w:sz w:val="24"/>
              </w:rPr>
              <w:t>13.支持4K HDR波形图，矢量图，直方图、支持标记/Box控制调节功能；</w:t>
            </w:r>
          </w:p>
          <w:p>
            <w:pPr>
              <w:pStyle w:val="null3"/>
              <w:jc w:val="left"/>
            </w:pPr>
            <w:r>
              <w:rPr>
                <w:sz w:val="24"/>
              </w:rPr>
              <w:t>14.支持水平镜像，图像旋转，图像放大，辅助聚焦，伪彩色，斑马纹，时间码；</w:t>
            </w:r>
          </w:p>
          <w:p>
            <w:pPr>
              <w:pStyle w:val="null3"/>
              <w:jc w:val="left"/>
            </w:pPr>
            <w:r>
              <w:rPr>
                <w:sz w:val="24"/>
              </w:rPr>
              <w:t>15.支持SDR/HDR 对比功能， 暗部/亮度细节查看功能；</w:t>
            </w:r>
          </w:p>
          <w:p>
            <w:pPr>
              <w:pStyle w:val="null3"/>
              <w:jc w:val="left"/>
            </w:pPr>
            <w:r>
              <w:rPr>
                <w:sz w:val="24"/>
              </w:rPr>
              <w:t>16.支持全扫描，过扫描，行场延时，全蓝/黑白模式 ；</w:t>
            </w:r>
          </w:p>
          <w:p>
            <w:pPr>
              <w:pStyle w:val="null3"/>
              <w:jc w:val="left"/>
            </w:pPr>
            <w:r>
              <w:rPr>
                <w:sz w:val="24"/>
              </w:rPr>
              <w:t>17.支持多通道嵌入式音频表，可任选两通道输出 ；</w:t>
            </w:r>
          </w:p>
          <w:p>
            <w:pPr>
              <w:pStyle w:val="null3"/>
              <w:jc w:val="left"/>
            </w:pPr>
            <w:r>
              <w:rPr>
                <w:sz w:val="24"/>
              </w:rPr>
              <w:t>18.支持静态和动态 UMD 显示（支持TSL3.1/4.0/5.0协议）；</w:t>
            </w:r>
          </w:p>
          <w:p>
            <w:pPr>
              <w:pStyle w:val="null3"/>
              <w:jc w:val="left"/>
            </w:pPr>
            <w:r>
              <w:rPr>
                <w:sz w:val="24"/>
              </w:rPr>
              <w:t>19.支持GPI远程控制开启Tally、辅助功能、用户预设；</w:t>
            </w:r>
          </w:p>
          <w:p>
            <w:pPr>
              <w:pStyle w:val="null3"/>
              <w:jc w:val="left"/>
            </w:pPr>
            <w:r>
              <w:rPr>
                <w:sz w:val="24"/>
              </w:rPr>
              <w:t>20.支持 607/608 CC 隐藏字幕功能；按键锁定功能，画面静帧功能；</w:t>
            </w:r>
          </w:p>
          <w:p>
            <w:pPr>
              <w:pStyle w:val="null3"/>
              <w:jc w:val="left"/>
            </w:pPr>
            <w:r>
              <w:rPr>
                <w:sz w:val="24"/>
              </w:rPr>
              <w:t>21.支持按键提示灯三种模式可选，全灭/预设场景常亮/双色提示；</w:t>
            </w:r>
          </w:p>
          <w:p>
            <w:pPr>
              <w:pStyle w:val="null3"/>
              <w:jc w:val="left"/>
            </w:pPr>
            <w:r>
              <w:rPr>
                <w:sz w:val="24"/>
              </w:rPr>
              <w:t>支持通过USB/网口进行软件升级和导入LUT表</w:t>
            </w:r>
          </w:p>
        </w:tc>
        <w:tc>
          <w:tcPr>
            <w:tcW w:type="dxa" w:w="5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台</w:t>
            </w:r>
          </w:p>
        </w:tc>
        <w:tc>
          <w:tcPr>
            <w:tcW w:type="dxa" w:w="5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4</w:t>
            </w:r>
          </w:p>
        </w:tc>
      </w:tr>
      <w:tr>
        <w:tc>
          <w:tcPr>
            <w:tcW w:type="dxa" w:w="76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rPr>
              <w:t>3.2</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四联超高清监视器</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rPr>
              <w:t>1.不大于2RU的机架式四联屏幕；</w:t>
            </w:r>
          </w:p>
          <w:p>
            <w:pPr>
              <w:pStyle w:val="null3"/>
              <w:jc w:val="left"/>
            </w:pPr>
            <w:r>
              <w:rPr>
                <w:sz w:val="24"/>
              </w:rPr>
              <w:t>2.屏幕尺寸≥4寸，屏显比例：16:9，屏幕分辨率达到：1280×720，色彩16.7M或以上，视角大于或等于170°H×170°V；</w:t>
            </w:r>
          </w:p>
          <w:p>
            <w:pPr>
              <w:pStyle w:val="null3"/>
              <w:jc w:val="left"/>
            </w:pPr>
            <w:r>
              <w:rPr>
                <w:sz w:val="24"/>
              </w:rPr>
              <w:t>3.亮度达到450cd/㎡，对比度达到1000:1；</w:t>
            </w:r>
          </w:p>
          <w:p>
            <w:pPr>
              <w:pStyle w:val="null3"/>
              <w:jc w:val="left"/>
            </w:pPr>
            <w:r>
              <w:rPr>
                <w:sz w:val="24"/>
              </w:rPr>
              <w:t>4.配有LED TALLY指示灯；</w:t>
            </w:r>
          </w:p>
          <w:p>
            <w:pPr>
              <w:pStyle w:val="null3"/>
              <w:jc w:val="left"/>
            </w:pPr>
            <w:r>
              <w:rPr>
                <w:sz w:val="24"/>
              </w:rPr>
              <w:t>5.内置扬声器及耳机插孔；</w:t>
            </w:r>
          </w:p>
          <w:p>
            <w:pPr>
              <w:pStyle w:val="null3"/>
              <w:jc w:val="left"/>
            </w:pPr>
            <w:r>
              <w:rPr>
                <w:sz w:val="24"/>
              </w:rPr>
              <w:t>6.支持多种扫描模式，支持波形、矢量图显示，支持TC码，UMD功能；</w:t>
            </w:r>
          </w:p>
          <w:p>
            <w:pPr>
              <w:pStyle w:val="null3"/>
              <w:jc w:val="left"/>
            </w:pPr>
            <w:r>
              <w:rPr>
                <w:sz w:val="24"/>
              </w:rPr>
              <w:t>7.支持色彩空间和EOTF曲线自动识别， 匹配（Rec709/Rec2020）；</w:t>
            </w:r>
          </w:p>
          <w:p>
            <w:pPr>
              <w:pStyle w:val="null3"/>
              <w:jc w:val="left"/>
            </w:pPr>
            <w:r>
              <w:rPr>
                <w:sz w:val="24"/>
              </w:rPr>
              <w:t>8.多种Gamma选择： Gamma 2.0, 2.2, 2.4, 2.6；</w:t>
            </w:r>
          </w:p>
          <w:p>
            <w:pPr>
              <w:pStyle w:val="null3"/>
              <w:jc w:val="left"/>
            </w:pPr>
            <w:r>
              <w:rPr>
                <w:sz w:val="24"/>
              </w:rPr>
              <w:t>9.支持HDR:PQ(ST2084),HLG(1.03/1.11/1.16/1.20/1.27/1.33)；</w:t>
            </w:r>
          </w:p>
          <w:p>
            <w:pPr>
              <w:pStyle w:val="null3"/>
              <w:jc w:val="left"/>
            </w:pPr>
            <w:r>
              <w:rPr>
                <w:sz w:val="24"/>
              </w:rPr>
              <w:t>10.多种色空间选择（Rec709/EBU/DCI-P3 D65/DCI-P3/Rec2020/Bypass）；</w:t>
            </w:r>
          </w:p>
          <w:p>
            <w:pPr>
              <w:pStyle w:val="null3"/>
              <w:jc w:val="left"/>
            </w:pPr>
            <w:r>
              <w:rPr>
                <w:sz w:val="24"/>
              </w:rPr>
              <w:t>▲11.单屏至少提供2路12G-SDI输入（向下兼容 6G/3G/HD/SD-SDI）；（提供以下任一材料:①提供具备 CMA 或 CNAS标志的检测报告复印件;②)提供产品制造商官网相应功能截图，同时提供官网链接地址;③制造商产品说明书或使用手册，或制造厂商公开发布的产品功能介绍资料;④产品对应功能的照片或产品功能操作界面图片。）</w:t>
            </w:r>
          </w:p>
          <w:p>
            <w:pPr>
              <w:pStyle w:val="null3"/>
              <w:jc w:val="left"/>
            </w:pPr>
            <w:r>
              <w:rPr>
                <w:sz w:val="24"/>
              </w:rPr>
              <w:t>▲12.每台设备包含8对传输距离达100米以上的传输设备。（提供以下任一材料:①提供具备 CMA 或 CNAS标志的检测报告复印件;②)提供产品制造商官网相应功能截图，同时提供官网链接地址;③制造商产品说明书或使用手册，或制造厂商公开发布的产品功能介绍资料;④产品对应功能的照片或产品功能操作界面图片。）</w:t>
            </w:r>
          </w:p>
        </w:tc>
        <w:tc>
          <w:tcPr>
            <w:tcW w:type="dxa" w:w="5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台</w:t>
            </w:r>
          </w:p>
        </w:tc>
        <w:tc>
          <w:tcPr>
            <w:tcW w:type="dxa" w:w="5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2</w:t>
            </w:r>
          </w:p>
        </w:tc>
      </w:tr>
      <w:tr>
        <w:tc>
          <w:tcPr>
            <w:tcW w:type="dxa" w:w="76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rPr>
              <w:t>3.3</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rPr>
              <w:t>双联超高清监视器</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rPr>
              <w:t>1.尺寸不大于4RU的机架式双联屏幕；</w:t>
            </w:r>
          </w:p>
          <w:p>
            <w:pPr>
              <w:pStyle w:val="null3"/>
              <w:jc w:val="left"/>
            </w:pPr>
            <w:r>
              <w:rPr>
                <w:sz w:val="24"/>
              </w:rPr>
              <w:t>2.屏幕尺寸≥10寸，屏显比例：16:10，屏幕分辨率达到：1920×1200，色彩16.7M或以上，视角大于或等于160°H×160°V；</w:t>
            </w:r>
          </w:p>
          <w:p>
            <w:pPr>
              <w:pStyle w:val="null3"/>
              <w:jc w:val="left"/>
            </w:pPr>
            <w:r>
              <w:rPr>
                <w:sz w:val="24"/>
              </w:rPr>
              <w:t>3.亮度达到450cd/㎡或以上，对比度达到1000:1；</w:t>
            </w:r>
          </w:p>
          <w:p>
            <w:pPr>
              <w:pStyle w:val="null3"/>
              <w:jc w:val="left"/>
            </w:pPr>
            <w:r>
              <w:rPr>
                <w:sz w:val="24"/>
              </w:rPr>
              <w:t>4.可支持选配双电源输入；</w:t>
            </w:r>
          </w:p>
          <w:p>
            <w:pPr>
              <w:pStyle w:val="null3"/>
              <w:jc w:val="left"/>
            </w:pPr>
            <w:r>
              <w:rPr>
                <w:sz w:val="24"/>
              </w:rPr>
              <w:t>5.配有LED TALLY指示灯；</w:t>
            </w:r>
          </w:p>
          <w:p>
            <w:pPr>
              <w:pStyle w:val="null3"/>
              <w:jc w:val="left"/>
            </w:pPr>
            <w:r>
              <w:rPr>
                <w:sz w:val="24"/>
              </w:rPr>
              <w:t>6.内置扬声器及耳机插孔；</w:t>
            </w:r>
          </w:p>
          <w:p>
            <w:pPr>
              <w:pStyle w:val="null3"/>
              <w:jc w:val="left"/>
            </w:pPr>
            <w:r>
              <w:rPr>
                <w:sz w:val="24"/>
              </w:rPr>
              <w:t>7.支持多种扫描模式，支持波形、矢量图显示，支持TC码，UMD功能；</w:t>
            </w:r>
          </w:p>
          <w:p>
            <w:pPr>
              <w:pStyle w:val="null3"/>
              <w:jc w:val="left"/>
            </w:pPr>
            <w:r>
              <w:rPr>
                <w:sz w:val="24"/>
              </w:rPr>
              <w:t>8.支持色彩空间和EOTF曲线自动识别，匹配（Rec709/Rec2020）；</w:t>
            </w:r>
          </w:p>
          <w:p>
            <w:pPr>
              <w:pStyle w:val="null3"/>
              <w:jc w:val="left"/>
            </w:pPr>
            <w:r>
              <w:rPr>
                <w:sz w:val="24"/>
              </w:rPr>
              <w:t>9.多种Gamma选择：Gamma 2.0,2.2,2.4,2.6；</w:t>
            </w:r>
          </w:p>
          <w:p>
            <w:pPr>
              <w:pStyle w:val="null3"/>
              <w:jc w:val="left"/>
            </w:pPr>
            <w:r>
              <w:rPr>
                <w:sz w:val="24"/>
              </w:rPr>
              <w:t>10.支持HDR:PQ(ST2084),HLG (1.03/1.11/1.16/1.20/1.27/1.33)；</w:t>
            </w:r>
          </w:p>
          <w:p>
            <w:pPr>
              <w:pStyle w:val="null3"/>
              <w:jc w:val="left"/>
            </w:pPr>
            <w:r>
              <w:rPr>
                <w:sz w:val="24"/>
              </w:rPr>
              <w:t>11.多种色空间选择 (Rec709/EBU/DCI-P3 D65/DCI-P3/Rec2020/Bypass)；</w:t>
            </w:r>
          </w:p>
          <w:p>
            <w:pPr>
              <w:pStyle w:val="null3"/>
              <w:jc w:val="left"/>
            </w:pPr>
            <w:r>
              <w:rPr>
                <w:sz w:val="24"/>
              </w:rPr>
              <w:t>▲12.单屏至少提供2路12G-SDI输入（向下兼容 6G/3G/HD/SD-SDI），1路12G SDI输出（向下兼容 6G/4G/HD/SD-SDI）；（提供以下任一材料:①提供具备 CMA 或 CNAS标志的检测报告复印件;②)提供产品制造商官网相应功能截图，同时提供官网链接地址;③制造商产品说明书或使用手册，或制造厂商公开发布的产品功能介绍资料;④产品对应功能的照片或产品功能操作界面图片。）</w:t>
            </w:r>
          </w:p>
          <w:p>
            <w:pPr>
              <w:pStyle w:val="null3"/>
              <w:jc w:val="left"/>
            </w:pPr>
            <w:r>
              <w:rPr>
                <w:sz w:val="24"/>
              </w:rPr>
              <w:t>▲13.每台设备包含4对传输距离达100米以上的传输设备。（提供以下任一材料:①提供具备 CMA 或 CNAS标志的检测报告复印件;②)提供产品制造商官网相应功能截图，同时提供官网链接地址;③制造商产品说明书或使用手册，或制造厂商公开发布的产品功能介绍资料;④产品对应功能的照片或产品功能操作界面图片。）</w:t>
            </w:r>
          </w:p>
        </w:tc>
        <w:tc>
          <w:tcPr>
            <w:tcW w:type="dxa" w:w="5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台</w:t>
            </w:r>
          </w:p>
        </w:tc>
        <w:tc>
          <w:tcPr>
            <w:tcW w:type="dxa" w:w="5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2</w:t>
            </w:r>
          </w:p>
        </w:tc>
      </w:tr>
      <w:tr>
        <w:tc>
          <w:tcPr>
            <w:tcW w:type="dxa" w:w="76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rPr>
              <w:t>3.4</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rPr>
              <w:t>4K多画面系统</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rPr>
              <w:t>▲1.同时支持ST 2110及12G SDI信号输入（可以提供双电源广播级转换设备实现），其中ST2110和12G均不少于8路；（提供以下任一材料:①提供具备 CMA 或 CNAS标志的检测报告复印件;②)提供产品制造商官网相应功能截图，同时提供官网链接地址;③制造商产品说明书或使用手册，或制造厂商公开发布的产品功能介绍资料;④产品对应功能的照片或产品功能操作界面图片。）</w:t>
            </w:r>
          </w:p>
          <w:p>
            <w:pPr>
              <w:pStyle w:val="null3"/>
              <w:jc w:val="left"/>
            </w:pPr>
            <w:r>
              <w:rPr>
                <w:sz w:val="24"/>
              </w:rPr>
              <w:t>2.提供不少于16路输入信号，每路输入均支持2160p50和1080i50格式可自定义，不同格式信号可以同时混合展现到同一个布局内；每个布局至少容纳16个不同输入的画面；</w:t>
            </w:r>
          </w:p>
          <w:p>
            <w:pPr>
              <w:pStyle w:val="null3"/>
              <w:jc w:val="left"/>
            </w:pPr>
            <w:r>
              <w:rPr>
                <w:sz w:val="24"/>
              </w:rPr>
              <w:t>3.至少提供2个100GbE数据口（QSFP28）；</w:t>
            </w:r>
          </w:p>
          <w:p>
            <w:pPr>
              <w:pStyle w:val="null3"/>
              <w:jc w:val="left"/>
            </w:pPr>
            <w:r>
              <w:rPr>
                <w:sz w:val="24"/>
              </w:rPr>
              <w:t>4.至少提供1个控制口（RJ45）、1个Tally接口和1个NMOS口（RJ45），支持NMOS IS-04/05标准协议，与第三方控制系统兼容；</w:t>
            </w:r>
          </w:p>
          <w:p>
            <w:pPr>
              <w:pStyle w:val="null3"/>
              <w:jc w:val="left"/>
            </w:pPr>
            <w:r>
              <w:rPr>
                <w:sz w:val="24"/>
              </w:rPr>
              <w:t>5.至少提供2个不同布局的通道输出，每通道均支持IP（可以提供双电源广播级转换设备实现）、12G-SDI形式同时输出；每通道可单独设置输出分辨率，输出支持3840×2160/50p/59.94p/60p，1920×1080/50p/59.94p/60p；</w:t>
            </w:r>
          </w:p>
          <w:p>
            <w:pPr>
              <w:pStyle w:val="null3"/>
              <w:jc w:val="left"/>
            </w:pPr>
            <w:r>
              <w:rPr>
                <w:sz w:val="24"/>
              </w:rPr>
              <w:t>6.IP信号支持SMPTE ST 2110-10/20/21/30/40标准协议；IP信号输入支持SMPTE ST 2022-7主备切换，IP信号输出支持主备网口同时输出；</w:t>
            </w:r>
          </w:p>
          <w:p>
            <w:pPr>
              <w:pStyle w:val="null3"/>
              <w:jc w:val="left"/>
            </w:pPr>
            <w:r>
              <w:rPr>
                <w:sz w:val="24"/>
              </w:rPr>
              <w:t>7.支持SMPTE ST 2059-2 PTP、BB模拟信号的同步；</w:t>
            </w:r>
          </w:p>
          <w:p>
            <w:pPr>
              <w:pStyle w:val="null3"/>
              <w:jc w:val="left"/>
            </w:pPr>
            <w:r>
              <w:rPr>
                <w:sz w:val="24"/>
              </w:rPr>
              <w:t>8.提供两套便携式广播级IPG网关设备（提供2个SFP28接口和2个匹配光模块）把多画面系统输出的ST2110信号传输到本项目技术需求表的3.6项设备“85寸广电级HDR电视墙”显示；</w:t>
            </w:r>
          </w:p>
          <w:p>
            <w:pPr>
              <w:pStyle w:val="null3"/>
              <w:jc w:val="left"/>
            </w:pPr>
            <w:r>
              <w:rPr>
                <w:sz w:val="24"/>
              </w:rPr>
              <w:t>9.提供两套便携式广播级转换设备把多画面系统的12G-SDI布局信号传输到导控台高清显示器，传输距离不低于150米，并保证传输后的信号分辨率和质量不下降；</w:t>
            </w:r>
          </w:p>
          <w:p>
            <w:pPr>
              <w:pStyle w:val="null3"/>
              <w:jc w:val="left"/>
            </w:pPr>
            <w:r>
              <w:rPr>
                <w:sz w:val="24"/>
              </w:rPr>
              <w:t>10.支持视频窗口、音频表、UMD、时钟、Tally灯等显示元素；</w:t>
            </w:r>
          </w:p>
          <w:p>
            <w:pPr>
              <w:pStyle w:val="null3"/>
              <w:jc w:val="left"/>
            </w:pPr>
            <w:r>
              <w:rPr>
                <w:sz w:val="24"/>
              </w:rPr>
              <w:t>11.支持TSL 3.1/4.0/5.0，可接受外部提供的Tally信号和动态源名信号，可通过串口或网口实现源名跟随功能（提供协议接口），源名显示可支持字符长度不少于16个；</w:t>
            </w:r>
          </w:p>
          <w:p>
            <w:pPr>
              <w:pStyle w:val="null3"/>
              <w:jc w:val="left"/>
            </w:pPr>
            <w:r>
              <w:rPr>
                <w:sz w:val="24"/>
              </w:rPr>
              <w:t>12.输入信号画面完整且各个窗口大小可以任意调整，并可以任意重复利用；</w:t>
            </w:r>
          </w:p>
          <w:p>
            <w:pPr>
              <w:pStyle w:val="null3"/>
              <w:jc w:val="left"/>
            </w:pPr>
            <w:r>
              <w:rPr>
                <w:sz w:val="24"/>
              </w:rPr>
              <w:t>13.可对所有输入信号同时做动态范围HDR（HLG）和SDR、色域BT.2020和BT.709之间的自适应转换，以实现正确的画面呈现；</w:t>
            </w:r>
          </w:p>
          <w:p>
            <w:pPr>
              <w:pStyle w:val="null3"/>
              <w:jc w:val="left"/>
            </w:pPr>
            <w:r>
              <w:rPr>
                <w:sz w:val="24"/>
              </w:rPr>
              <w:t>14.有信号检测和报警功能，并提供信息显示（如静帧、黑场、信号丢失、静音等）；画面检测范围可设置；检测门限阈值允许用户自定义；也可以将相关报警信息发送给第三方管理软件；</w:t>
            </w:r>
          </w:p>
          <w:p>
            <w:pPr>
              <w:pStyle w:val="null3"/>
              <w:jc w:val="left"/>
            </w:pPr>
            <w:r>
              <w:rPr>
                <w:sz w:val="24"/>
              </w:rPr>
              <w:t>15.每路输出可分别任意调用所有输入信号，且没有使用限制；</w:t>
            </w:r>
          </w:p>
          <w:p>
            <w:pPr>
              <w:pStyle w:val="null3"/>
              <w:jc w:val="left"/>
            </w:pPr>
            <w:r>
              <w:rPr>
                <w:sz w:val="24"/>
              </w:rPr>
              <w:t>16.提供界面对设备进行参数配置：切换布局、一键放大信号源到全屏、编辑多画面布局、配置信号来源；</w:t>
            </w:r>
          </w:p>
          <w:p>
            <w:pPr>
              <w:pStyle w:val="null3"/>
              <w:jc w:val="left"/>
            </w:pPr>
            <w:r>
              <w:rPr>
                <w:sz w:val="24"/>
              </w:rPr>
              <w:t>17.提供多按键遥控面板，通过对应按键直接切换到定义好的输出布局；</w:t>
            </w:r>
          </w:p>
          <w:p>
            <w:pPr>
              <w:pStyle w:val="null3"/>
              <w:jc w:val="left"/>
            </w:pPr>
            <w:r>
              <w:rPr>
                <w:sz w:val="24"/>
              </w:rPr>
              <w:t>18.内置标配冗余热备份双电源，有良好的散热、防尘功能，设备运行低噪声；</w:t>
            </w:r>
          </w:p>
          <w:p>
            <w:pPr>
              <w:pStyle w:val="null3"/>
              <w:jc w:val="left"/>
            </w:pPr>
            <w:r>
              <w:rPr>
                <w:sz w:val="24"/>
              </w:rPr>
              <w:t>▲19.输入信号显示延迟少于1帧。（提供以下任一材料:①提供具备 CMA 或 CNAS标志的检测报告复印件;②)提供产品制造商官网相应功能截图，同时提供官网链接地址;③制造商产品说明书或使用手册，或制造厂商公开发布的产品功能介绍资料;④产品对应功能的照片或产品功能操作界面图片。）</w:t>
            </w:r>
          </w:p>
        </w:tc>
        <w:tc>
          <w:tcPr>
            <w:tcW w:type="dxa" w:w="5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套</w:t>
            </w:r>
          </w:p>
        </w:tc>
        <w:tc>
          <w:tcPr>
            <w:tcW w:type="dxa" w:w="5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1</w:t>
            </w:r>
          </w:p>
        </w:tc>
      </w:tr>
      <w:tr>
        <w:tc>
          <w:tcPr>
            <w:tcW w:type="dxa" w:w="76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rPr>
              <w:t>3.5</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rPr>
              <w:t>Tally系统</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rPr>
              <w:t>1.</w:t>
            </w:r>
            <w:r>
              <w:rPr>
                <w:sz w:val="24"/>
              </w:rPr>
              <w:t>提供至少64路GPI/O，可以根据需要进行输入输出数量的匹配；</w:t>
            </w:r>
          </w:p>
          <w:p>
            <w:pPr>
              <w:pStyle w:val="null3"/>
              <w:jc w:val="left"/>
            </w:pPr>
            <w:r>
              <w:rPr>
                <w:sz w:val="24"/>
              </w:rPr>
              <w:t>2.</w:t>
            </w:r>
            <w:r>
              <w:rPr>
                <w:sz w:val="24"/>
              </w:rPr>
              <w:t>系统支持最少3状态Tally显示；</w:t>
            </w:r>
          </w:p>
          <w:p>
            <w:pPr>
              <w:pStyle w:val="null3"/>
              <w:jc w:val="left"/>
            </w:pPr>
            <w:r>
              <w:rPr>
                <w:sz w:val="24"/>
              </w:rPr>
              <w:t>3.</w:t>
            </w:r>
            <w:r>
              <w:rPr>
                <w:sz w:val="24"/>
              </w:rPr>
              <w:t>提供至少4个RS422接口，用于连接切换台、矩阵；</w:t>
            </w:r>
          </w:p>
          <w:p>
            <w:pPr>
              <w:pStyle w:val="null3"/>
              <w:jc w:val="left"/>
            </w:pPr>
            <w:r>
              <w:rPr>
                <w:sz w:val="24"/>
              </w:rPr>
              <w:t>4.</w:t>
            </w:r>
            <w:r>
              <w:rPr>
                <w:sz w:val="24"/>
              </w:rPr>
              <w:t>提供至少4个UMD接口，用于连接多画面分割器；</w:t>
            </w:r>
          </w:p>
          <w:p>
            <w:pPr>
              <w:pStyle w:val="null3"/>
              <w:jc w:val="left"/>
            </w:pPr>
            <w:r>
              <w:rPr>
                <w:sz w:val="24"/>
              </w:rPr>
              <w:t>5.</w:t>
            </w:r>
            <w:r>
              <w:rPr>
                <w:sz w:val="24"/>
              </w:rPr>
              <w:t>提供至少2个千兆以太网接口，用于连接矩阵、切换台、IPG、多画面、各种控制设备和计算机等；</w:t>
            </w:r>
          </w:p>
          <w:p>
            <w:pPr>
              <w:pStyle w:val="null3"/>
              <w:jc w:val="left"/>
            </w:pPr>
            <w:r>
              <w:rPr>
                <w:sz w:val="24"/>
              </w:rPr>
              <w:t>6.</w:t>
            </w:r>
            <w:r>
              <w:rPr>
                <w:sz w:val="24"/>
              </w:rPr>
              <w:t>可以实现矩阵、多画面分割器、切换台、IPG、应急倒换器等多种SDI及ST2110设备的源名跟随和Tally显示功能；</w:t>
            </w:r>
          </w:p>
          <w:p>
            <w:pPr>
              <w:pStyle w:val="null3"/>
              <w:jc w:val="left"/>
            </w:pPr>
            <w:r>
              <w:rPr>
                <w:sz w:val="24"/>
              </w:rPr>
              <w:t>7.</w:t>
            </w:r>
            <w:r>
              <w:rPr>
                <w:sz w:val="24"/>
              </w:rPr>
              <w:t>支持和兼容TSL协议，Sony S-BUS协议，以及AXON、UTAH、Imagine、GrassValley、FOR-A、ROSS、格非、奥视和大连捷成等广播电视使用的主流设备协议；</w:t>
            </w:r>
          </w:p>
          <w:p>
            <w:pPr>
              <w:pStyle w:val="null3"/>
              <w:jc w:val="left"/>
            </w:pPr>
            <w:r>
              <w:rPr>
                <w:sz w:val="24"/>
              </w:rPr>
              <w:t>8.</w:t>
            </w:r>
            <w:r>
              <w:rPr>
                <w:sz w:val="24"/>
              </w:rPr>
              <w:t>全面支持SDI-IP混合系统，支持NMOS、JS、Ember+等主流IP系统协议；</w:t>
            </w:r>
          </w:p>
          <w:p>
            <w:pPr>
              <w:pStyle w:val="null3"/>
              <w:jc w:val="left"/>
            </w:pPr>
            <w:r>
              <w:rPr>
                <w:sz w:val="24"/>
              </w:rPr>
              <w:t>9.</w:t>
            </w:r>
            <w:r>
              <w:rPr>
                <w:sz w:val="24"/>
              </w:rPr>
              <w:t>支持多个系统、多控制器级联使用，实现源名和Tally指示跨系统联动、跟踪和共享；</w:t>
            </w:r>
          </w:p>
          <w:p>
            <w:pPr>
              <w:pStyle w:val="null3"/>
              <w:jc w:val="left"/>
            </w:pPr>
            <w:r>
              <w:rPr>
                <w:sz w:val="24"/>
              </w:rPr>
              <w:t>10.</w:t>
            </w:r>
            <w:r>
              <w:rPr>
                <w:sz w:val="24"/>
              </w:rPr>
              <w:t>源名信息可来自于IP播出集中管理控制系统、矩阵、切换台，支持接受第三方厂家以标准协议（或第三方开放）推送的源名信息并应用到本系统；</w:t>
            </w:r>
          </w:p>
          <w:p>
            <w:pPr>
              <w:pStyle w:val="null3"/>
              <w:jc w:val="left"/>
            </w:pPr>
            <w:r>
              <w:rPr>
                <w:sz w:val="24"/>
              </w:rPr>
              <w:t>11.</w:t>
            </w:r>
            <w:r>
              <w:rPr>
                <w:sz w:val="24"/>
              </w:rPr>
              <w:t>冗余电源，前面板电源状态和运行状态指示。</w:t>
            </w:r>
          </w:p>
        </w:tc>
        <w:tc>
          <w:tcPr>
            <w:tcW w:type="dxa" w:w="5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套</w:t>
            </w:r>
          </w:p>
        </w:tc>
        <w:tc>
          <w:tcPr>
            <w:tcW w:type="dxa" w:w="5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1</w:t>
            </w:r>
          </w:p>
        </w:tc>
      </w:tr>
      <w:tr>
        <w:tc>
          <w:tcPr>
            <w:tcW w:type="dxa" w:w="76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rPr>
              <w:t>3.6</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rPr>
              <w:t>85寸广电级HDR电视墙</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rPr>
              <w:t>1.黑色外壳，屏幕不小于85英寸且不大于86英寸，需提供适配的壁挂支架并负责安装到当前播出系统的电视墙上；</w:t>
            </w:r>
          </w:p>
          <w:p>
            <w:pPr>
              <w:pStyle w:val="null3"/>
              <w:jc w:val="left"/>
            </w:pPr>
            <w:r>
              <w:rPr>
                <w:sz w:val="24"/>
              </w:rPr>
              <w:t>2.提供一个适用的85英寸大屏移动支架；</w:t>
            </w:r>
          </w:p>
          <w:p>
            <w:pPr>
              <w:pStyle w:val="null3"/>
              <w:jc w:val="left"/>
            </w:pPr>
            <w:r>
              <w:rPr>
                <w:sz w:val="24"/>
              </w:rPr>
              <w:t>3.屏幕宽高比16:9，分辨率支持4096x2160p(24,50,60Hz)、3840x2160p(24,30,50,60Hz)、1080p(24,30,50,60Hz)、1080i(50,60Hz)、720p(24,30,50,60Hz)、480p；</w:t>
            </w:r>
          </w:p>
          <w:p>
            <w:pPr>
              <w:pStyle w:val="null3"/>
              <w:jc w:val="left"/>
            </w:pPr>
            <w:r>
              <w:rPr>
                <w:sz w:val="24"/>
              </w:rPr>
              <w:t>4.支持的高动态范围：HDR10、HLG、杜比视界；</w:t>
            </w:r>
          </w:p>
          <w:p>
            <w:pPr>
              <w:pStyle w:val="null3"/>
              <w:jc w:val="left"/>
            </w:pPr>
            <w:r>
              <w:rPr>
                <w:sz w:val="24"/>
              </w:rPr>
              <w:t>5.采用VA类型的LCD面板及直下式的背光类型；</w:t>
            </w:r>
          </w:p>
          <w:p>
            <w:pPr>
              <w:pStyle w:val="null3"/>
              <w:jc w:val="left"/>
            </w:pPr>
            <w:r>
              <w:rPr>
                <w:sz w:val="24"/>
              </w:rPr>
              <w:t>6.色域：支持DCI-P3覆盖率92%，REC709、REC2020；</w:t>
            </w:r>
          </w:p>
          <w:p>
            <w:pPr>
              <w:pStyle w:val="null3"/>
              <w:jc w:val="left"/>
            </w:pPr>
            <w:r>
              <w:rPr>
                <w:sz w:val="24"/>
              </w:rPr>
              <w:t>7.亮度：峰值≥650 cd/m2；</w:t>
            </w:r>
          </w:p>
          <w:p>
            <w:pPr>
              <w:pStyle w:val="null3"/>
              <w:jc w:val="left"/>
            </w:pPr>
            <w:r>
              <w:rPr>
                <w:sz w:val="24"/>
              </w:rPr>
              <w:t>8.对比度：≥6,000:1；</w:t>
            </w:r>
          </w:p>
          <w:p>
            <w:pPr>
              <w:pStyle w:val="null3"/>
              <w:jc w:val="left"/>
            </w:pPr>
            <w:r>
              <w:rPr>
                <w:sz w:val="24"/>
              </w:rPr>
              <w:t>9.动态对比度：≥500,00:1；</w:t>
            </w:r>
          </w:p>
          <w:p>
            <w:pPr>
              <w:pStyle w:val="null3"/>
              <w:jc w:val="left"/>
            </w:pPr>
            <w:r>
              <w:rPr>
                <w:sz w:val="24"/>
              </w:rPr>
              <w:t>10.视角：≥178°（水平），≥178°（垂直）；</w:t>
            </w:r>
          </w:p>
          <w:p>
            <w:pPr>
              <w:pStyle w:val="null3"/>
              <w:jc w:val="left"/>
            </w:pPr>
            <w:r>
              <w:rPr>
                <w:sz w:val="24"/>
              </w:rPr>
              <w:t>11.提供至少4路HDMI输入接口；</w:t>
            </w:r>
          </w:p>
          <w:p>
            <w:pPr>
              <w:pStyle w:val="null3"/>
              <w:jc w:val="left"/>
            </w:pPr>
            <w:r>
              <w:rPr>
                <w:sz w:val="24"/>
              </w:rPr>
              <w:t>12.支持7x24小时工作；</w:t>
            </w:r>
          </w:p>
          <w:p>
            <w:pPr>
              <w:pStyle w:val="null3"/>
              <w:jc w:val="left"/>
            </w:pPr>
            <w:r>
              <w:rPr>
                <w:sz w:val="24"/>
              </w:rPr>
              <w:t>13.最大功耗不大于400W；</w:t>
            </w:r>
          </w:p>
          <w:p>
            <w:pPr>
              <w:pStyle w:val="null3"/>
              <w:jc w:val="left"/>
            </w:pPr>
            <w:r>
              <w:rPr>
                <w:sz w:val="24"/>
              </w:rPr>
              <w:t>14.具备防残像功能；</w:t>
            </w:r>
          </w:p>
          <w:p>
            <w:pPr>
              <w:pStyle w:val="null3"/>
              <w:jc w:val="left"/>
            </w:pPr>
            <w:r>
              <w:rPr>
                <w:sz w:val="24"/>
              </w:rPr>
              <w:t>15.支持专业校色仪校色功能，提供初始安装的校色服务。</w:t>
            </w:r>
          </w:p>
        </w:tc>
        <w:tc>
          <w:tcPr>
            <w:tcW w:type="dxa" w:w="5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台</w:t>
            </w:r>
          </w:p>
        </w:tc>
        <w:tc>
          <w:tcPr>
            <w:tcW w:type="dxa" w:w="5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1</w:t>
            </w:r>
          </w:p>
        </w:tc>
      </w:tr>
      <w:tr>
        <w:tc>
          <w:tcPr>
            <w:tcW w:type="dxa" w:w="76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rPr>
              <w:t>3.7</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rPr>
              <w:t>技术指标监测平台</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rPr>
              <w:t>1.主机为便携式设备（配便携式套件），同时支持半机架式安装（配安装套件）；</w:t>
            </w:r>
          </w:p>
          <w:p>
            <w:pPr>
              <w:pStyle w:val="null3"/>
              <w:jc w:val="left"/>
            </w:pPr>
            <w:r>
              <w:rPr>
                <w:sz w:val="24"/>
              </w:rPr>
              <w:t>2.提供不少于4路12G-SDI输入及1路12G-SDI接口输出；支持4x3G-SDI的输入信号；</w:t>
            </w:r>
          </w:p>
          <w:p>
            <w:pPr>
              <w:pStyle w:val="null3"/>
              <w:jc w:val="left"/>
            </w:pPr>
            <w:r>
              <w:rPr>
                <w:sz w:val="24"/>
              </w:rPr>
              <w:t>3.提供不少于两个25GE（或100GE）的以太网接口，并配备足够数量的850nm收发器模块；</w:t>
            </w:r>
          </w:p>
          <w:p>
            <w:pPr>
              <w:pStyle w:val="null3"/>
              <w:jc w:val="left"/>
            </w:pPr>
            <w:r>
              <w:rPr>
                <w:sz w:val="24"/>
              </w:rPr>
              <w:t>4.具有BB锁相（带环出）接口；</w:t>
            </w:r>
          </w:p>
          <w:p>
            <w:pPr>
              <w:pStyle w:val="null3"/>
              <w:jc w:val="left"/>
            </w:pPr>
            <w:r>
              <w:rPr>
                <w:sz w:val="24"/>
              </w:rPr>
              <w:t>5.具有DP或HDMI等视频输出接口；</w:t>
            </w:r>
          </w:p>
          <w:p>
            <w:pPr>
              <w:pStyle w:val="null3"/>
              <w:jc w:val="left"/>
            </w:pPr>
            <w:r>
              <w:rPr>
                <w:sz w:val="24"/>
              </w:rPr>
              <w:t>6.支持4:2:2采样结构，625@50i、1280X720@50/59.94/60i、1920X1080@50i/59.94i/60i/50p/59.94p/60p、SQD和2SI（4X3G）以及12G的3840X2160@50/59.94/60p等SDI视频格式；</w:t>
            </w:r>
          </w:p>
          <w:p>
            <w:pPr>
              <w:pStyle w:val="null3"/>
              <w:jc w:val="left"/>
            </w:pPr>
            <w:r>
              <w:rPr>
                <w:sz w:val="24"/>
              </w:rPr>
              <w:t>7.支持SMPTE 2022-6及SMPTE 2110-20/30下的625@50i、1280X720@50/59.94/60i、1920X1080@50i/59.94i/60i/50p/59.94p/60p等、SQD和2SI以及12G（单流）的3840X2160@50/59.94/60pUHD 4K IP视音频格式；</w:t>
            </w:r>
          </w:p>
          <w:p>
            <w:pPr>
              <w:pStyle w:val="null3"/>
              <w:jc w:val="left"/>
            </w:pPr>
            <w:r>
              <w:rPr>
                <w:sz w:val="24"/>
              </w:rPr>
              <w:t>8.支持自动测量12G-SDI/3G/HD/SD信号眼图参数，抖动及线缆均衡参数，支持抖动波形显示；</w:t>
            </w:r>
          </w:p>
          <w:p>
            <w:pPr>
              <w:pStyle w:val="null3"/>
              <w:jc w:val="left"/>
            </w:pPr>
            <w:r>
              <w:rPr>
                <w:sz w:val="24"/>
              </w:rPr>
              <w:t>9.支持12G-SDI嵌入、ST2022-6及ST2110-30（AES67）等音频检测，至少能检测16条通道的音频电平、峰值电平；</w:t>
            </w:r>
          </w:p>
          <w:p>
            <w:pPr>
              <w:pStyle w:val="null3"/>
              <w:jc w:val="left"/>
            </w:pPr>
            <w:r>
              <w:rPr>
                <w:sz w:val="24"/>
              </w:rPr>
              <w:t>10.能检测视频会话的SAV/EAV位置、场/行长度错误、VPID信息、位活动及CRC状态；</w:t>
            </w:r>
          </w:p>
          <w:p>
            <w:pPr>
              <w:pStyle w:val="null3"/>
              <w:jc w:val="left"/>
            </w:pPr>
            <w:r>
              <w:rPr>
                <w:sz w:val="24"/>
              </w:rPr>
              <w:t>11.具有记录来源和时间信息的事件/错误日志；</w:t>
            </w:r>
          </w:p>
          <w:p>
            <w:pPr>
              <w:pStyle w:val="null3"/>
              <w:jc w:val="left"/>
            </w:pPr>
            <w:r>
              <w:rPr>
                <w:sz w:val="24"/>
              </w:rPr>
              <w:t>12.支持SMPTE 2022-6/-7，SMPTE 2110-10/20/30/40/21信号检测， 支持PTP (IEEE1588/SMPTE 2059-2) 同步信号监测，要求可以解码SMPTE2110-20/30输出视音频信号；</w:t>
            </w:r>
          </w:p>
          <w:p>
            <w:pPr>
              <w:pStyle w:val="null3"/>
              <w:jc w:val="left"/>
            </w:pPr>
            <w:r>
              <w:rPr>
                <w:sz w:val="24"/>
              </w:rPr>
              <w:t>13.支持列出25GE接口中IP信号的码流和通信状态，同时监测ST2022-7两端口，包含错误检测、协议、位速率、IP地址等信息；</w:t>
            </w:r>
          </w:p>
          <w:p>
            <w:pPr>
              <w:pStyle w:val="null3"/>
              <w:jc w:val="left"/>
            </w:pPr>
            <w:r>
              <w:rPr>
                <w:sz w:val="24"/>
              </w:rPr>
              <w:t>14.支持检测IP会话的第1层端口状态、第2层度量标准指标，同时监测IP会话视频中两条ST2022-7路径的IP、UDP、RTP各项具体数值，检测PTP时间、锁定转台、主从相位滞后、主控ID等信息；</w:t>
            </w:r>
          </w:p>
          <w:p>
            <w:pPr>
              <w:pStyle w:val="null3"/>
              <w:jc w:val="left"/>
            </w:pPr>
            <w:r>
              <w:rPr>
                <w:sz w:val="24"/>
              </w:rPr>
              <w:t>15.支持通过图表同时监测ST2022-7 IP会话中两路径的总比特率、会话比特率及所选时间窗口中的最大/平均/最小值，能通过趋势图分析PIT和RTP顺序错误、视频CRC错误（ST2022-6）、TS-DF、两路数据包到达时间差；</w:t>
            </w:r>
          </w:p>
          <w:p>
            <w:pPr>
              <w:pStyle w:val="null3"/>
              <w:jc w:val="left"/>
            </w:pPr>
            <w:r>
              <w:rPr>
                <w:sz w:val="24"/>
              </w:rPr>
              <w:t>16.支持包到达间隔 (PIT) 直方图显示和EBU-TECH 3337 标准中规范的延迟因数 (TS DF) 测试和基于SMPTE 2110-21的缓冲器Cmax和VRFmax测量；</w:t>
            </w:r>
          </w:p>
          <w:p>
            <w:pPr>
              <w:pStyle w:val="null3"/>
              <w:jc w:val="left"/>
            </w:pPr>
            <w:r>
              <w:rPr>
                <w:sz w:val="24"/>
              </w:rPr>
              <w:t>17.支持通过PTP图表检测主从延迟、延迟方差和相位滞后；</w:t>
            </w:r>
          </w:p>
          <w:p>
            <w:pPr>
              <w:pStyle w:val="null3"/>
              <w:jc w:val="left"/>
            </w:pPr>
            <w:r>
              <w:rPr>
                <w:sz w:val="24"/>
              </w:rPr>
              <w:t>18.支持定时Timing测试显示画面；</w:t>
            </w:r>
          </w:p>
          <w:p>
            <w:pPr>
              <w:pStyle w:val="null3"/>
              <w:jc w:val="left"/>
            </w:pPr>
            <w:r>
              <w:rPr>
                <w:sz w:val="24"/>
              </w:rPr>
              <w:t>19.支持使用PTP 或BB 的混合环境内调节信号定时SMPTE2022-7输入时两条码流的定时偏移，检测针对PTP的视频流定时、视频/音频/数据包时延；</w:t>
            </w:r>
          </w:p>
          <w:p>
            <w:pPr>
              <w:pStyle w:val="null3"/>
              <w:jc w:val="left"/>
            </w:pPr>
            <w:r>
              <w:rPr>
                <w:sz w:val="24"/>
              </w:rPr>
              <w:t>20.支持PTP或者BB同步信号输入，可以显示PTP包信息的元数据，支持PTP和模拟BB或者三电平同步测量以及PTP主从时钟延迟的测量；</w:t>
            </w:r>
          </w:p>
          <w:p>
            <w:pPr>
              <w:pStyle w:val="null3"/>
              <w:jc w:val="left"/>
            </w:pPr>
            <w:r>
              <w:rPr>
                <w:sz w:val="24"/>
              </w:rPr>
              <w:t>21.支持使用NMOS/SDP 和 API 允许IP系统管理软件管理本示波器设备，包括设备的发现、注册、配置输入，选择要监测的有源输入；</w:t>
            </w:r>
          </w:p>
          <w:p>
            <w:pPr>
              <w:pStyle w:val="null3"/>
              <w:jc w:val="left"/>
            </w:pPr>
            <w:r>
              <w:rPr>
                <w:sz w:val="24"/>
              </w:rPr>
              <w:t>22.支持单屏的全屏、2、3、4区域等自定义布局的画面显示，支持至少双屏8画面，自定义应用选择菜单；</w:t>
            </w:r>
          </w:p>
          <w:p>
            <w:pPr>
              <w:pStyle w:val="null3"/>
              <w:jc w:val="left"/>
            </w:pPr>
            <w:r>
              <w:rPr>
                <w:sz w:val="24"/>
              </w:rPr>
              <w:t>23.支持WCG/HDR和Stop波形显示；HDR波形显示支持Nits，Stops和Reflection %；</w:t>
            </w:r>
          </w:p>
          <w:p>
            <w:pPr>
              <w:pStyle w:val="null3"/>
              <w:jc w:val="left"/>
            </w:pPr>
            <w:r>
              <w:rPr>
                <w:sz w:val="24"/>
              </w:rPr>
              <w:t>24.支持符合钻石显示和CIE显示，HDR图像显示提供满足SMPTE 2408标准和用户自定义的伪彩色显示；能够提供最亮和最暗的1%亮度值读数，以及动态范围值读数，能够提供色域空间超过709的告警显示，图像上至少可以提供1个尼特值读数；</w:t>
            </w:r>
          </w:p>
          <w:p>
            <w:pPr>
              <w:pStyle w:val="null3"/>
              <w:jc w:val="left"/>
            </w:pPr>
            <w:r>
              <w:rPr>
                <w:sz w:val="24"/>
              </w:rPr>
              <w:t>25.提供网络访问和控制，支持VNC和WebRTC的实时远程操作和显示；</w:t>
            </w:r>
          </w:p>
          <w:p>
            <w:pPr>
              <w:pStyle w:val="null3"/>
              <w:jc w:val="left"/>
            </w:pPr>
            <w:r>
              <w:rPr>
                <w:sz w:val="24"/>
              </w:rPr>
              <w:t>26.支持4K格式的SDI和SMPTE 2110测试信号输出功能；</w:t>
            </w:r>
          </w:p>
          <w:p>
            <w:pPr>
              <w:pStyle w:val="null3"/>
              <w:jc w:val="left"/>
            </w:pPr>
            <w:r>
              <w:rPr>
                <w:sz w:val="24"/>
              </w:rPr>
              <w:t>27.至少提供一对DVI接口（支持1080P或以上视频格式）、传输距离60米以上的KVM键鼠延长器；</w:t>
            </w:r>
          </w:p>
          <w:p>
            <w:pPr>
              <w:pStyle w:val="null3"/>
              <w:jc w:val="left"/>
            </w:pPr>
            <w:r>
              <w:rPr>
                <w:sz w:val="24"/>
              </w:rPr>
              <w:t>▲28.支持信号波形、矢量、菱形显示等检测，支持至少四个通道4K UHD的SDI/IP信号同时监看。（提供以下任一材料:①提供具备 CMA 或 CNAS标志的检测报告复印件;②)提供产品制造商官网相应功能截图，同时提供官网链接地址;③制造商产品说明书或使用手册，或制造厂商公开发布的产品功能介绍资料;④产品对应功能的照片或产品功能操作界面图片。）</w:t>
            </w:r>
          </w:p>
        </w:tc>
        <w:tc>
          <w:tcPr>
            <w:tcW w:type="dxa" w:w="5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台</w:t>
            </w:r>
          </w:p>
        </w:tc>
        <w:tc>
          <w:tcPr>
            <w:tcW w:type="dxa" w:w="5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1</w:t>
            </w:r>
          </w:p>
        </w:tc>
      </w:tr>
      <w:tr>
        <w:tc>
          <w:tcPr>
            <w:tcW w:type="dxa" w:w="76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rPr>
              <w:t>3.8</w:t>
            </w: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IP/SDI技术监听器</w:t>
            </w:r>
          </w:p>
        </w:tc>
        <w:tc>
          <w:tcPr>
            <w:tcW w:type="dxa" w:w="5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rPr>
              <w:t>1.支持8声道以上的监听并同时显示出来；</w:t>
            </w:r>
          </w:p>
          <w:p>
            <w:pPr>
              <w:pStyle w:val="null3"/>
              <w:jc w:val="left"/>
            </w:pPr>
            <w:r>
              <w:rPr>
                <w:sz w:val="24"/>
              </w:rPr>
              <w:t>2.支持ST2110,12G-SDI，3G-SDI信号输入监听；</w:t>
            </w:r>
          </w:p>
          <w:p>
            <w:pPr>
              <w:pStyle w:val="null3"/>
              <w:jc w:val="left"/>
            </w:pPr>
            <w:r>
              <w:rPr>
                <w:sz w:val="24"/>
              </w:rPr>
              <w:t>3.支持混合，立体声和单声道监听；</w:t>
            </w:r>
          </w:p>
          <w:p>
            <w:pPr>
              <w:pStyle w:val="null3"/>
              <w:jc w:val="left"/>
            </w:pPr>
            <w:r>
              <w:rPr>
                <w:sz w:val="24"/>
              </w:rPr>
              <w:t>4.支持Ember+或支持NMOS控制协议支持12G SDI，3G SDI，AES，Analog各种信号输入监听；</w:t>
            </w:r>
          </w:p>
          <w:p>
            <w:pPr>
              <w:pStyle w:val="null3"/>
              <w:jc w:val="left"/>
            </w:pPr>
            <w:r>
              <w:rPr>
                <w:sz w:val="24"/>
              </w:rPr>
              <w:t>5.Volume和Balance可调；</w:t>
            </w:r>
          </w:p>
          <w:p>
            <w:pPr>
              <w:pStyle w:val="null3"/>
              <w:jc w:val="left"/>
            </w:pPr>
            <w:r>
              <w:rPr>
                <w:sz w:val="24"/>
              </w:rPr>
              <w:t>6.SDI数字音频能够自动识别和选择采样率；</w:t>
            </w:r>
          </w:p>
          <w:p>
            <w:pPr>
              <w:pStyle w:val="null3"/>
              <w:jc w:val="left"/>
            </w:pPr>
            <w:r>
              <w:rPr>
                <w:sz w:val="24"/>
              </w:rPr>
              <w:t>7.1RU机架式广播级音频监听器；</w:t>
            </w:r>
          </w:p>
          <w:p>
            <w:pPr>
              <w:pStyle w:val="null3"/>
              <w:jc w:val="left"/>
            </w:pPr>
            <w:r>
              <w:rPr>
                <w:sz w:val="24"/>
              </w:rPr>
              <w:t>8.支持1个10G光纤输入接口用于ST2110，每个接口配置一个SFP模块。</w:t>
            </w:r>
          </w:p>
        </w:tc>
        <w:tc>
          <w:tcPr>
            <w:tcW w:type="dxa" w:w="5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台</w:t>
            </w:r>
          </w:p>
        </w:tc>
        <w:tc>
          <w:tcPr>
            <w:tcW w:type="dxa" w:w="5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5</w:t>
            </w:r>
          </w:p>
        </w:tc>
      </w:tr>
    </w:tbl>
    <w:p>
      <w:pPr>
        <w:pStyle w:val="null3"/>
        <w:ind w:left="840"/>
        <w:jc w:val="both"/>
      </w:pPr>
      <w:r>
        <w:rPr>
          <w:sz w:val="24"/>
        </w:rPr>
        <w:t>4.      多画面系统灾备服务</w:t>
      </w:r>
    </w:p>
    <w:p>
      <w:pPr>
        <w:pStyle w:val="null3"/>
        <w:ind w:firstLine="420"/>
        <w:jc w:val="both"/>
      </w:pPr>
      <w:r>
        <w:rPr>
          <w:sz w:val="24"/>
        </w:rPr>
        <w:t>提供多画面系统灾备服务（包括设备硬件和相关软件），灾备服务要求为：在一个布局内同时显示至少6路4K ST2110-20 IP和6路4K 12G-SDI的输入信号，提供至少1路4K ST2110-20 IP 或1路4K 12G-SDI输出；灾备服务可在60分钟内完全启用；提供的灾备服务期限从合同生效后到系统最终验收后五年之内，服务期满后中标人可回收灾备服务相关的软硬件。（投标人须出具书面承诺函和服务方案，并加盖投标人公章）</w:t>
      </w:r>
    </w:p>
    <w:p>
      <w:pPr>
        <w:pStyle w:val="null3"/>
        <w:ind w:firstLine="420"/>
        <w:jc w:val="both"/>
      </w:pPr>
      <w:r>
        <w:rPr>
          <w:sz w:val="24"/>
          <w:b/>
        </w:rPr>
        <w:t>六. 验收要求</w:t>
      </w:r>
    </w:p>
    <w:p>
      <w:pPr>
        <w:pStyle w:val="null3"/>
        <w:ind w:firstLine="420"/>
        <w:jc w:val="both"/>
      </w:pPr>
      <w:r>
        <w:rPr>
          <w:sz w:val="24"/>
        </w:rPr>
        <w:t>1.设备到货验收</w:t>
      </w:r>
    </w:p>
    <w:p>
      <w:pPr>
        <w:pStyle w:val="null3"/>
        <w:ind w:firstLine="420"/>
        <w:jc w:val="both"/>
      </w:pPr>
      <w:r>
        <w:rPr>
          <w:sz w:val="24"/>
        </w:rPr>
        <w:t>(1)中标人需提供对应此项目出货清单。中标人将合同清单设备交付到招标人所在的指定地点后，中标人配合招标人依照标书要求对全部设备、产品、型号、规格、数量、外形、外观、包装及资料、文件（如装箱单、保修单、随箱介质等）共同进行</w:t>
      </w:r>
      <w:r>
        <w:rPr>
          <w:sz w:val="24"/>
          <w:b/>
        </w:rPr>
        <w:t>设备检验</w:t>
      </w:r>
      <w:r>
        <w:rPr>
          <w:sz w:val="24"/>
        </w:rPr>
        <w:t>。如有损坏、缺件等情况，中标人应负责按合同设备清单予以更换。</w:t>
      </w:r>
    </w:p>
    <w:p>
      <w:pPr>
        <w:pStyle w:val="null3"/>
        <w:ind w:firstLine="420"/>
        <w:jc w:val="both"/>
      </w:pPr>
      <w:r>
        <w:rPr>
          <w:sz w:val="24"/>
        </w:rPr>
        <w:t>(2)拆箱后，应对其全部产品、零件、配件、用户许可证书、资料、介质进行登记，并与装箱单对比，如有出入应立即书面记录，由供货商解决，如影响安装则按合同有关条款处理。</w:t>
      </w:r>
    </w:p>
    <w:p>
      <w:pPr>
        <w:pStyle w:val="null3"/>
        <w:ind w:firstLine="420"/>
        <w:jc w:val="both"/>
      </w:pPr>
      <w:r>
        <w:rPr>
          <w:sz w:val="24"/>
        </w:rPr>
        <w:t>(3)设备通电测试应单台进行，所有设备通电自检正常后，才能正式上线。</w:t>
      </w:r>
    </w:p>
    <w:p>
      <w:pPr>
        <w:pStyle w:val="null3"/>
        <w:ind w:firstLine="420"/>
        <w:jc w:val="both"/>
      </w:pPr>
      <w:r>
        <w:rPr>
          <w:sz w:val="24"/>
        </w:rPr>
        <w:t>(4)如商检或系统测试中发现设备性能指标或功能上不符合标书和合同要求时，将被看作性能不合格，招标人有权拒收并要求赔偿。</w:t>
      </w:r>
    </w:p>
    <w:p>
      <w:pPr>
        <w:pStyle w:val="null3"/>
        <w:ind w:firstLine="420"/>
        <w:jc w:val="both"/>
      </w:pPr>
      <w:r>
        <w:rPr>
          <w:sz w:val="24"/>
        </w:rPr>
        <w:t>(5)中标人应负责在设备验收时将所有系统设计和施工档案、有关产品说明书、交予采购人。</w:t>
      </w:r>
    </w:p>
    <w:p>
      <w:pPr>
        <w:pStyle w:val="null3"/>
        <w:ind w:firstLine="420"/>
        <w:jc w:val="both"/>
      </w:pPr>
      <w:r>
        <w:rPr>
          <w:sz w:val="24"/>
        </w:rPr>
        <w:t>2.系统验收</w:t>
      </w:r>
    </w:p>
    <w:p>
      <w:pPr>
        <w:pStyle w:val="null3"/>
        <w:ind w:firstLine="420"/>
        <w:jc w:val="both"/>
      </w:pPr>
      <w:r>
        <w:rPr>
          <w:sz w:val="24"/>
        </w:rPr>
        <w:t>(1)中标人按时按质向采购人交付本项目合同及附件约定的全部系统及设备，完成安装调试和系统集成，中标人方能申请采购人进行初步</w:t>
      </w:r>
      <w:r>
        <w:rPr>
          <w:sz w:val="24"/>
          <w:b/>
        </w:rPr>
        <w:t>验收。</w:t>
      </w:r>
    </w:p>
    <w:p>
      <w:pPr>
        <w:pStyle w:val="null3"/>
        <w:ind w:firstLine="420"/>
        <w:jc w:val="both"/>
      </w:pPr>
      <w:r>
        <w:rPr>
          <w:sz w:val="24"/>
        </w:rPr>
        <w:t>(2)本项目系统测试将包含但不限设备型号、性能指标等内容，所有相关测试通过后，试运行不少于一个月后，中标人方能申请采购人进行</w:t>
      </w:r>
      <w:r>
        <w:rPr>
          <w:sz w:val="24"/>
          <w:b/>
        </w:rPr>
        <w:t>最终验收</w:t>
      </w:r>
      <w:r>
        <w:rPr>
          <w:sz w:val="24"/>
        </w:rPr>
        <w:t>。</w:t>
      </w:r>
    </w:p>
    <w:p>
      <w:pPr>
        <w:pStyle w:val="null3"/>
        <w:ind w:firstLine="420"/>
        <w:jc w:val="both"/>
      </w:pPr>
      <w:r>
        <w:rPr>
          <w:sz w:val="24"/>
        </w:rPr>
        <w:t>(3)最终验收前，由权威第三方检测机构对系统技术指标按国家标准进行检测，并出具验收报告，检测费用由中标人承担。系统测试时应有采购人技术人员参与。</w:t>
      </w:r>
    </w:p>
    <w:p>
      <w:pPr>
        <w:pStyle w:val="null3"/>
        <w:ind w:firstLine="420"/>
        <w:jc w:val="both"/>
      </w:pPr>
      <w:r>
        <w:rPr>
          <w:sz w:val="24"/>
        </w:rPr>
        <w:t>(4)验收程序：由采购人项目组和投标方施工人员对整个系统改造部分按照广播电视行业的标准进行测试，编写测试报告和验收文件（验收文件包括：系统测试报告、项目实施和试运行情况报告）。</w:t>
      </w:r>
    </w:p>
    <w:p>
      <w:pPr>
        <w:pStyle w:val="null3"/>
        <w:ind w:firstLine="420"/>
        <w:jc w:val="both"/>
      </w:pPr>
      <w:r>
        <w:rPr>
          <w:sz w:val="24"/>
        </w:rPr>
        <w:t>(5)若中标人设备验收结果和投标的应答不一致或虚假应答，中标人将会承担合同违约责任，采购人有权选择拒收全部货物、解除合同。</w:t>
      </w:r>
    </w:p>
    <w:p>
      <w:pPr>
        <w:pStyle w:val="null3"/>
        <w:ind w:firstLine="420"/>
        <w:jc w:val="both"/>
      </w:pPr>
      <w:r>
        <w:rPr>
          <w:sz w:val="24"/>
          <w:b/>
        </w:rPr>
        <w:t>七. 售后服务</w:t>
      </w:r>
    </w:p>
    <w:p>
      <w:pPr>
        <w:pStyle w:val="null3"/>
        <w:ind w:firstLine="420"/>
        <w:jc w:val="both"/>
      </w:pPr>
      <w:r>
        <w:rPr>
          <w:sz w:val="24"/>
        </w:rPr>
        <w:t>1. 保修期内售后服务要求</w:t>
      </w:r>
    </w:p>
    <w:p>
      <w:pPr>
        <w:pStyle w:val="null3"/>
        <w:ind w:firstLine="420"/>
        <w:jc w:val="both"/>
      </w:pPr>
      <w:r>
        <w:rPr>
          <w:sz w:val="24"/>
        </w:rPr>
        <w:t>1.1. 投标人需要完整填写售后服务承诺及服务机构配置。本项目所有硬件产品均需提供原厂家</w:t>
      </w:r>
      <w:r>
        <w:rPr>
          <w:sz w:val="24"/>
          <w:b/>
          <w:u w:val="single"/>
        </w:rPr>
        <w:t>三</w:t>
      </w:r>
      <w:r>
        <w:rPr>
          <w:sz w:val="24"/>
        </w:rPr>
        <w:t>年的维修保养服务、系统技术支持及升级服务，</w:t>
      </w:r>
      <w:r>
        <w:rPr>
          <w:sz w:val="24"/>
          <w:b/>
          <w:u w:val="single"/>
        </w:rPr>
        <w:t>三</w:t>
      </w:r>
      <w:r>
        <w:rPr>
          <w:sz w:val="24"/>
        </w:rPr>
        <w:t>年的零件维修更换（技术要求中有特别要求的除外）；软件产品需提供终身维护和升级服务。保修期和系统技术支持自供需双方代表在设备验收单上签字之日起计算。费用包含在投标报价内。</w:t>
      </w:r>
    </w:p>
    <w:p>
      <w:pPr>
        <w:pStyle w:val="null3"/>
        <w:ind w:firstLine="420"/>
        <w:jc w:val="both"/>
      </w:pPr>
      <w:r>
        <w:rPr>
          <w:sz w:val="24"/>
        </w:rPr>
        <w:t>1.2. 保修期内，中标人提供24小时热线支持，接到采购方维修通知后应在2小时内派人到现场排除故障；在检修6小时后仍无法解决问题的设备，应在48小时内提供不低于故障设备规格型号档次的替代设备。</w:t>
      </w:r>
    </w:p>
    <w:p>
      <w:pPr>
        <w:pStyle w:val="null3"/>
        <w:ind w:firstLine="420"/>
        <w:jc w:val="both"/>
      </w:pPr>
      <w:r>
        <w:rPr>
          <w:sz w:val="24"/>
        </w:rPr>
        <w:t>1.3. 应指定专人/组提供全方位技术支持，其中至少有1人全程参与调试，提供支持专线和技术人员联络方式。</w:t>
      </w:r>
    </w:p>
    <w:p>
      <w:pPr>
        <w:pStyle w:val="null3"/>
        <w:ind w:firstLine="420"/>
        <w:jc w:val="both"/>
      </w:pPr>
      <w:r>
        <w:rPr>
          <w:sz w:val="24"/>
        </w:rPr>
        <w:t>1.4. 保修期内，所有设备维修均为上门服务，即由中标人派人员到采购方设备使用现场维修，由此产生的费用均由中标人负担。</w:t>
      </w:r>
    </w:p>
    <w:p>
      <w:pPr>
        <w:pStyle w:val="null3"/>
        <w:ind w:firstLine="420"/>
        <w:jc w:val="both"/>
      </w:pPr>
      <w:r>
        <w:rPr>
          <w:sz w:val="24"/>
        </w:rPr>
        <w:t>2. 保修期后设备维护服务要求</w:t>
      </w:r>
    </w:p>
    <w:p>
      <w:pPr>
        <w:pStyle w:val="null3"/>
        <w:ind w:firstLine="420"/>
        <w:jc w:val="both"/>
      </w:pPr>
      <w:r>
        <w:rPr>
          <w:sz w:val="24"/>
        </w:rPr>
        <w:t>保修期满后，中标人应保证以最优惠的价格提供备件和保养服务，当发生故障时，中标人应按保修期内同样的要求进行维修处理。</w:t>
      </w:r>
    </w:p>
    <w:p>
      <w:pPr>
        <w:pStyle w:val="null3"/>
        <w:ind w:firstLine="420"/>
        <w:jc w:val="both"/>
      </w:pPr>
      <w:r>
        <w:rPr>
          <w:sz w:val="24"/>
          <w:b/>
        </w:rPr>
        <w:t>八.培训服务</w:t>
      </w:r>
    </w:p>
    <w:p>
      <w:pPr>
        <w:pStyle w:val="null3"/>
        <w:ind w:firstLine="420"/>
        <w:jc w:val="both"/>
      </w:pPr>
      <w:r>
        <w:rPr>
          <w:sz w:val="24"/>
          <w:b/>
        </w:rPr>
        <w:t>提供一份产品培训方案</w:t>
      </w:r>
      <w:r>
        <w:rPr>
          <w:sz w:val="24"/>
        </w:rPr>
        <w:t>，根据投标人所投产品技术特点，要求保证整体设备日常平稳工作，对设备使用人员进行有效培训，确保使用人员能熟练操作整体设备及应对维保中各类故障现象。</w:t>
      </w:r>
    </w:p>
    <w:p>
      <w:pPr>
        <w:pStyle w:val="null3"/>
        <w:ind w:firstLine="420"/>
        <w:jc w:val="both"/>
      </w:pPr>
      <w:r>
        <w:rPr>
          <w:sz w:val="24"/>
          <w:b/>
        </w:rPr>
        <w:t>九.设备调试</w:t>
      </w:r>
    </w:p>
    <w:p>
      <w:pPr>
        <w:pStyle w:val="null3"/>
        <w:ind w:firstLine="422"/>
        <w:jc w:val="both"/>
      </w:pPr>
      <w:r>
        <w:rPr>
          <w:sz w:val="24"/>
          <w:b/>
        </w:rPr>
        <w:t>提供一份设备调试方案</w:t>
      </w:r>
      <w:r>
        <w:rPr>
          <w:sz w:val="24"/>
        </w:rPr>
        <w:t>，方案内容包含设备的安装、调试和维护等内容。内容应匹配所投设备的功能、性能，对可能的异常情况做充分的提醒和提供完善的处理步骤。</w:t>
      </w:r>
    </w:p>
    <w:p>
      <w:pPr>
        <w:pStyle w:val="null3"/>
        <w:ind w:firstLine="422"/>
        <w:jc w:val="both"/>
      </w:pPr>
      <w:r>
        <w:rPr>
          <w:sz w:val="24"/>
          <w:b/>
        </w:rPr>
        <w:t>十、其他</w:t>
      </w:r>
    </w:p>
    <w:p>
      <w:pPr>
        <w:pStyle w:val="null3"/>
        <w:ind w:firstLine="422"/>
        <w:jc w:val="both"/>
      </w:pPr>
      <w:r>
        <w:rPr>
          <w:sz w:val="24"/>
        </w:rPr>
        <w:t>投标人应认真查看本招标文件《第五章合同文本》相关条款，中标后原则上以此作为合同模板，与采购人签订合同。</w:t>
      </w:r>
    </w:p>
    <w:p>
      <w:pPr>
        <w:pStyle w:val="null3"/>
        <w:jc w:val="center"/>
      </w:pPr>
      <w:r>
        <w:rPr>
          <w:sz w:val="24"/>
          <w:b/>
          <w:shd w:fill="FFFFFF" w:val="clear"/>
        </w:rPr>
        <w:t>附件：政策适用性说明（因云平台投标格式中的“</w:t>
      </w:r>
      <w:r>
        <w:rPr>
          <w:sz w:val="24"/>
          <w:b/>
          <w:shd w:fill="FFFFFF" w:val="clear"/>
        </w:rPr>
        <w:t>政策适用性说明”无法满足项目实际，请投标</w:t>
      </w:r>
      <w:r>
        <w:rPr>
          <w:sz w:val="24"/>
          <w:b/>
          <w:shd w:fill="FFFFFF" w:val="clear"/>
        </w:rPr>
        <w:t>/</w:t>
      </w:r>
      <w:r>
        <w:rPr>
          <w:sz w:val="24"/>
          <w:b/>
          <w:shd w:fill="FFFFFF" w:val="clear"/>
        </w:rPr>
        <w:t>报价人按此格式填写政策适用性说明）：</w:t>
      </w:r>
    </w:p>
    <w:p>
      <w:pPr>
        <w:pStyle w:val="null3"/>
        <w:jc w:val="center"/>
      </w:pPr>
      <w:r>
        <w:rPr>
          <w:sz w:val="24"/>
          <w:b/>
          <w:shd w:fill="FFFFFF" w:val="clear"/>
        </w:rPr>
        <w:t>政策适用性说明</w:t>
      </w:r>
    </w:p>
    <w:p>
      <w:pPr>
        <w:pStyle w:val="null3"/>
        <w:jc w:val="both"/>
      </w:pPr>
      <w:r>
        <w:rPr>
          <w:sz w:val="24"/>
          <w:shd w:fill="FFFFFF" w:val="clear"/>
        </w:rPr>
        <w:t xml:space="preserve"> 供应商所投的产品，符合节能产品、环境标志产品政策要求的，按以下格式提供说明。</w:t>
      </w:r>
    </w:p>
    <w:p>
      <w:pPr>
        <w:pStyle w:val="null3"/>
        <w:ind w:left="360"/>
        <w:jc w:val="both"/>
      </w:pPr>
      <w:r>
        <w:rPr>
          <w:sz w:val="24"/>
          <w:shd w:fill="FFFFFF" w:val="clear"/>
        </w:rPr>
        <w:t>1.   节能产品说明：</w:t>
      </w:r>
    </w:p>
    <w:tbl>
      <w:tblPr>
        <w:tblW w:w="0" w:type="auto"/>
        <w:tblBorders>
          <w:top w:val="none" w:color="000000" w:sz="4"/>
          <w:left w:val="none" w:color="000000" w:sz="4"/>
          <w:bottom w:val="none" w:color="000000" w:sz="4"/>
          <w:right w:val="none" w:color="000000" w:sz="4"/>
          <w:insideH w:val="none"/>
          <w:insideV w:val="none"/>
        </w:tblBorders>
        <w:shd w:fill="FFFFFF"/>
      </w:tblPr>
      <w:tblGrid>
        <w:gridCol w:w="763"/>
        <w:gridCol w:w="1271"/>
        <w:gridCol w:w="1780"/>
        <w:gridCol w:w="1229"/>
        <w:gridCol w:w="1229"/>
        <w:gridCol w:w="2034"/>
      </w:tblGrid>
      <w:tr>
        <w:tc>
          <w:tcPr>
            <w:tcW w:type="dxa" w:w="763"/>
            <w:tcBorders>
              <w:top w:val="single" w:color="000000" w:sz="4"/>
              <w:left w:val="single" w:color="000000" w:sz="4"/>
              <w:bottom w:val="single" w:color="000000" w:sz="4"/>
              <w:right w:val="single" w:color="000000" w:sz="4"/>
            </w:tcBorders>
            <w:shd w:fill="FFFFFF"/>
            <w:tcMar>
              <w:top w:type="dxa" w:w="0"/>
              <w:left w:type="dxa" w:w="120"/>
              <w:bottom w:type="dxa" w:w="0"/>
              <w:right w:type="dxa" w:w="120"/>
            </w:tcMar>
          </w:tcPr>
          <w:p>
            <w:pPr>
              <w:pStyle w:val="null3"/>
              <w:jc w:val="center"/>
            </w:pPr>
            <w:r>
              <w:rPr>
                <w:sz w:val="24"/>
              </w:rPr>
              <w:t>序号</w:t>
            </w:r>
          </w:p>
        </w:tc>
        <w:tc>
          <w:tcPr>
            <w:tcW w:type="dxa" w:w="1271"/>
            <w:tcBorders>
              <w:top w:val="singl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jc w:val="center"/>
            </w:pPr>
            <w:r>
              <w:rPr>
                <w:sz w:val="24"/>
              </w:rPr>
              <w:t>产品名称</w:t>
            </w:r>
          </w:p>
          <w:p>
            <w:pPr>
              <w:pStyle w:val="null3"/>
              <w:jc w:val="center"/>
            </w:pPr>
          </w:p>
        </w:tc>
        <w:tc>
          <w:tcPr>
            <w:tcW w:type="dxa" w:w="1780"/>
            <w:tcBorders>
              <w:top w:val="singl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jc w:val="center"/>
            </w:pPr>
            <w:r>
              <w:rPr>
                <w:sz w:val="24"/>
              </w:rPr>
              <w:t>对应《节能产品政府采购品目清单》的品目序号</w:t>
            </w:r>
          </w:p>
        </w:tc>
        <w:tc>
          <w:tcPr>
            <w:tcW w:type="dxa" w:w="2458"/>
            <w:gridSpan w:val="2"/>
            <w:tcBorders>
              <w:top w:val="singl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jc w:val="center"/>
            </w:pPr>
            <w:r>
              <w:rPr>
                <w:sz w:val="24"/>
              </w:rPr>
              <w:t>产品认证证书所在投标文件页码</w:t>
            </w:r>
          </w:p>
        </w:tc>
        <w:tc>
          <w:tcPr>
            <w:tcW w:type="dxa" w:w="2034"/>
            <w:tcBorders>
              <w:top w:val="singl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jc w:val="center"/>
            </w:pPr>
            <w:r>
              <w:rPr>
                <w:sz w:val="24"/>
              </w:rPr>
              <w:t>产品报价（元）</w:t>
            </w:r>
          </w:p>
          <w:p>
            <w:pPr>
              <w:pStyle w:val="null3"/>
              <w:jc w:val="center"/>
            </w:pPr>
          </w:p>
        </w:tc>
      </w:tr>
      <w:tr>
        <w:tc>
          <w:tcPr>
            <w:tcW w:type="dxa" w:w="8306"/>
            <w:gridSpan w:val="6"/>
            <w:tcBorders>
              <w:top w:val="none" w:color="000000" w:sz="4"/>
              <w:left w:val="single" w:color="000000" w:sz="4"/>
              <w:bottom w:val="single" w:color="000000" w:sz="4"/>
              <w:right w:val="single" w:color="000000" w:sz="4"/>
            </w:tcBorders>
            <w:shd w:fill="FFFFFF"/>
            <w:tcMar>
              <w:top w:type="dxa" w:w="0"/>
              <w:left w:type="dxa" w:w="120"/>
              <w:bottom w:type="dxa" w:w="0"/>
              <w:right w:type="dxa" w:w="120"/>
            </w:tcMar>
          </w:tcPr>
          <w:p>
            <w:pPr>
              <w:pStyle w:val="null3"/>
              <w:jc w:val="center"/>
            </w:pPr>
            <w:r>
              <w:rPr>
                <w:sz w:val="24"/>
              </w:rPr>
              <w:t>（一）强制节能产品</w:t>
            </w:r>
          </w:p>
        </w:tc>
      </w:tr>
      <w:tr>
        <w:tc>
          <w:tcPr>
            <w:tcW w:type="dxa" w:w="763"/>
            <w:tcBorders>
              <w:top w:val="none" w:color="000000" w:sz="4"/>
              <w:left w:val="single" w:color="000000" w:sz="4"/>
              <w:bottom w:val="single" w:color="000000" w:sz="4"/>
              <w:right w:val="single" w:color="000000" w:sz="4"/>
            </w:tcBorders>
            <w:shd w:fill="FFFFFF"/>
            <w:tcMar>
              <w:top w:type="dxa" w:w="0"/>
              <w:left w:type="dxa" w:w="120"/>
              <w:bottom w:type="dxa" w:w="0"/>
              <w:right w:type="dxa" w:w="120"/>
            </w:tcMar>
          </w:tcPr>
          <w:p>
            <w:pPr>
              <w:pStyle w:val="null3"/>
              <w:jc w:val="center"/>
            </w:pPr>
            <w:r>
              <w:rPr>
                <w:sz w:val="24"/>
              </w:rPr>
              <w:t>1</w:t>
            </w:r>
          </w:p>
        </w:tc>
        <w:tc>
          <w:tcPr>
            <w:tcW w:type="dxa" w:w="1271"/>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jc w:val="center"/>
            </w:pPr>
          </w:p>
        </w:tc>
        <w:tc>
          <w:tcPr>
            <w:tcW w:type="dxa" w:w="1780"/>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2458"/>
            <w:gridSpan w:val="2"/>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2034"/>
            <w:vMerge w:val="restart"/>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jc w:val="center"/>
            </w:pPr>
            <w:r>
              <w:rPr>
                <w:sz w:val="24"/>
              </w:rPr>
              <w:t>强制节能产品，此处无须填报价格</w:t>
            </w:r>
          </w:p>
        </w:tc>
      </w:tr>
      <w:tr>
        <w:tc>
          <w:tcPr>
            <w:tcW w:type="dxa" w:w="763"/>
            <w:tcBorders>
              <w:top w:val="none" w:color="000000" w:sz="4"/>
              <w:left w:val="single" w:color="000000" w:sz="4"/>
              <w:bottom w:val="single" w:color="000000" w:sz="4"/>
              <w:right w:val="single" w:color="000000" w:sz="4"/>
            </w:tcBorders>
            <w:shd w:fill="FFFFFF"/>
            <w:tcMar>
              <w:top w:type="dxa" w:w="0"/>
              <w:left w:type="dxa" w:w="120"/>
              <w:bottom w:type="dxa" w:w="0"/>
              <w:right w:type="dxa" w:w="120"/>
            </w:tcMar>
          </w:tcPr>
          <w:p>
            <w:pPr>
              <w:pStyle w:val="null3"/>
              <w:jc w:val="center"/>
            </w:pPr>
            <w:r>
              <w:rPr>
                <w:sz w:val="24"/>
              </w:rPr>
              <w:t>2</w:t>
            </w:r>
          </w:p>
        </w:tc>
        <w:tc>
          <w:tcPr>
            <w:tcW w:type="dxa" w:w="1271"/>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jc w:val="center"/>
            </w:pPr>
          </w:p>
        </w:tc>
        <w:tc>
          <w:tcPr>
            <w:tcW w:type="dxa" w:w="1780"/>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2458"/>
            <w:gridSpan w:val="2"/>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r>
      <w:tr>
        <w:tc>
          <w:tcPr>
            <w:tcW w:type="dxa" w:w="763"/>
            <w:tcBorders>
              <w:top w:val="none" w:color="000000" w:sz="4"/>
              <w:left w:val="single" w:color="000000" w:sz="4"/>
              <w:bottom w:val="single" w:color="000000" w:sz="4"/>
              <w:right w:val="single" w:color="000000" w:sz="4"/>
            </w:tcBorders>
            <w:shd w:fill="FFFFFF"/>
            <w:tcMar>
              <w:top w:type="dxa" w:w="0"/>
              <w:left w:type="dxa" w:w="120"/>
              <w:bottom w:type="dxa" w:w="0"/>
              <w:right w:type="dxa" w:w="120"/>
            </w:tcMar>
          </w:tcPr>
          <w:p/>
        </w:tc>
        <w:tc>
          <w:tcPr>
            <w:tcW w:type="dxa" w:w="1271"/>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1780"/>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2458"/>
            <w:gridSpan w:val="2"/>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r>
      <w:tr>
        <w:tc>
          <w:tcPr>
            <w:tcW w:type="dxa" w:w="8306"/>
            <w:gridSpan w:val="6"/>
            <w:tcBorders>
              <w:top w:val="none" w:color="000000" w:sz="4"/>
              <w:left w:val="single" w:color="000000" w:sz="4"/>
              <w:bottom w:val="single" w:color="000000" w:sz="4"/>
              <w:right w:val="single" w:color="000000" w:sz="4"/>
            </w:tcBorders>
            <w:shd w:fill="FFFFFF"/>
            <w:tcMar>
              <w:top w:type="dxa" w:w="0"/>
              <w:left w:type="dxa" w:w="120"/>
              <w:bottom w:type="dxa" w:w="0"/>
              <w:right w:type="dxa" w:w="120"/>
            </w:tcMar>
          </w:tcPr>
          <w:p>
            <w:pPr>
              <w:pStyle w:val="null3"/>
              <w:jc w:val="center"/>
            </w:pPr>
            <w:r>
              <w:rPr>
                <w:sz w:val="24"/>
              </w:rPr>
              <w:t>（二）优先采购节能产品</w:t>
            </w:r>
          </w:p>
        </w:tc>
      </w:tr>
      <w:tr>
        <w:tc>
          <w:tcPr>
            <w:tcW w:type="dxa" w:w="763"/>
            <w:tcBorders>
              <w:top w:val="none" w:color="000000" w:sz="4"/>
              <w:left w:val="single" w:color="000000" w:sz="4"/>
              <w:bottom w:val="single" w:color="000000" w:sz="4"/>
              <w:right w:val="single" w:color="000000" w:sz="4"/>
            </w:tcBorders>
            <w:shd w:fill="FFFFFF"/>
            <w:tcMar>
              <w:top w:type="dxa" w:w="0"/>
              <w:left w:type="dxa" w:w="120"/>
              <w:bottom w:type="dxa" w:w="0"/>
              <w:right w:type="dxa" w:w="120"/>
            </w:tcMar>
          </w:tcPr>
          <w:p>
            <w:pPr>
              <w:pStyle w:val="null3"/>
              <w:jc w:val="center"/>
            </w:pPr>
            <w:r>
              <w:rPr>
                <w:sz w:val="24"/>
              </w:rPr>
              <w:t>1</w:t>
            </w:r>
          </w:p>
        </w:tc>
        <w:tc>
          <w:tcPr>
            <w:tcW w:type="dxa" w:w="1271"/>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jc w:val="center"/>
            </w:pPr>
          </w:p>
        </w:tc>
        <w:tc>
          <w:tcPr>
            <w:tcW w:type="dxa" w:w="1780"/>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2458"/>
            <w:gridSpan w:val="2"/>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2034"/>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r>
      <w:tr>
        <w:tc>
          <w:tcPr>
            <w:tcW w:type="dxa" w:w="763"/>
            <w:tcBorders>
              <w:top w:val="none" w:color="000000" w:sz="4"/>
              <w:left w:val="single" w:color="000000" w:sz="4"/>
              <w:bottom w:val="single" w:color="000000" w:sz="4"/>
              <w:right w:val="single" w:color="000000" w:sz="4"/>
            </w:tcBorders>
            <w:shd w:fill="FFFFFF"/>
            <w:tcMar>
              <w:top w:type="dxa" w:w="0"/>
              <w:left w:type="dxa" w:w="120"/>
              <w:bottom w:type="dxa" w:w="0"/>
              <w:right w:type="dxa" w:w="120"/>
            </w:tcMar>
          </w:tcPr>
          <w:p>
            <w:pPr>
              <w:pStyle w:val="null3"/>
              <w:jc w:val="center"/>
            </w:pPr>
            <w:r>
              <w:rPr>
                <w:sz w:val="24"/>
              </w:rPr>
              <w:t>2</w:t>
            </w:r>
          </w:p>
        </w:tc>
        <w:tc>
          <w:tcPr>
            <w:tcW w:type="dxa" w:w="1271"/>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jc w:val="center"/>
            </w:pPr>
          </w:p>
        </w:tc>
        <w:tc>
          <w:tcPr>
            <w:tcW w:type="dxa" w:w="1780"/>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2458"/>
            <w:gridSpan w:val="2"/>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2034"/>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r>
      <w:tr>
        <w:tc>
          <w:tcPr>
            <w:tcW w:type="dxa" w:w="763"/>
            <w:tcBorders>
              <w:top w:val="none" w:color="000000" w:sz="4"/>
              <w:left w:val="single" w:color="000000" w:sz="4"/>
              <w:bottom w:val="single" w:color="000000" w:sz="4"/>
              <w:right w:val="single" w:color="000000" w:sz="4"/>
            </w:tcBorders>
            <w:shd w:fill="FFFFFF"/>
            <w:tcMar>
              <w:top w:type="dxa" w:w="0"/>
              <w:left w:type="dxa" w:w="120"/>
              <w:bottom w:type="dxa" w:w="0"/>
              <w:right w:type="dxa" w:w="120"/>
            </w:tcMar>
          </w:tcPr>
          <w:p>
            <w:pPr>
              <w:pStyle w:val="null3"/>
              <w:jc w:val="center"/>
            </w:pPr>
            <w:r>
              <w:rPr>
                <w:sz w:val="24"/>
              </w:rPr>
              <w:t>3</w:t>
            </w:r>
          </w:p>
        </w:tc>
        <w:tc>
          <w:tcPr>
            <w:tcW w:type="dxa" w:w="1271"/>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jc w:val="center"/>
            </w:pPr>
          </w:p>
        </w:tc>
        <w:tc>
          <w:tcPr>
            <w:tcW w:type="dxa" w:w="1780"/>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2458"/>
            <w:gridSpan w:val="2"/>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2034"/>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r>
      <w:tr>
        <w:tc>
          <w:tcPr>
            <w:tcW w:type="dxa" w:w="5043"/>
            <w:gridSpan w:val="4"/>
            <w:tcBorders>
              <w:top w:val="none" w:color="000000" w:sz="4"/>
              <w:left w:val="single" w:color="000000" w:sz="4"/>
              <w:bottom w:val="single" w:color="000000" w:sz="4"/>
              <w:right w:val="single" w:color="000000" w:sz="4"/>
            </w:tcBorders>
            <w:shd w:fill="FFFFFF"/>
            <w:tcMar>
              <w:top w:type="dxa" w:w="0"/>
              <w:left w:type="dxa" w:w="120"/>
              <w:bottom w:type="dxa" w:w="0"/>
              <w:right w:type="dxa" w:w="120"/>
            </w:tcMar>
          </w:tcPr>
          <w:p>
            <w:pPr>
              <w:pStyle w:val="null3"/>
              <w:jc w:val="center"/>
            </w:pPr>
            <w:r>
              <w:rPr>
                <w:sz w:val="24"/>
              </w:rPr>
              <w:t>节能产品价格合计</w:t>
            </w:r>
          </w:p>
        </w:tc>
        <w:tc>
          <w:tcPr>
            <w:tcW w:type="dxa" w:w="3263"/>
            <w:gridSpan w:val="2"/>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jc w:val="center"/>
            </w:pPr>
          </w:p>
        </w:tc>
      </w:tr>
      <w:tr>
        <w:tc>
          <w:tcPr>
            <w:tcW w:type="dxa" w:w="763"/>
            <w:tcBorders>
              <w:top w:val="none" w:color="000000" w:sz="4"/>
              <w:left w:val="none" w:color="000000" w:sz="4"/>
              <w:bottom w:val="none" w:color="000000" w:sz="4"/>
              <w:right w:val="none" w:color="000000" w:sz="4"/>
            </w:tcBorders>
            <w:shd w:fill="FFFFFF"/>
          </w:tcPr>
          <w:p/>
        </w:tc>
        <w:tc>
          <w:tcPr>
            <w:tcW w:type="dxa" w:w="1271"/>
            <w:tcBorders>
              <w:top w:val="none" w:color="000000" w:sz="4"/>
              <w:left w:val="none" w:color="000000" w:sz="4"/>
              <w:bottom w:val="none" w:color="000000" w:sz="4"/>
              <w:right w:val="none" w:color="000000" w:sz="4"/>
            </w:tcBorders>
            <w:shd w:fill="FFFFFF"/>
          </w:tcPr>
          <w:p/>
        </w:tc>
        <w:tc>
          <w:tcPr>
            <w:tcW w:type="dxa" w:w="1780"/>
            <w:tcBorders>
              <w:top w:val="none" w:color="000000" w:sz="4"/>
              <w:left w:val="none" w:color="000000" w:sz="4"/>
              <w:bottom w:val="none" w:color="000000" w:sz="4"/>
              <w:right w:val="none" w:color="000000" w:sz="4"/>
            </w:tcBorders>
            <w:shd w:fill="FFFFFF"/>
          </w:tcPr>
          <w:p/>
        </w:tc>
        <w:tc>
          <w:tcPr>
            <w:tcW w:type="dxa" w:w="1229"/>
            <w:tcBorders>
              <w:top w:val="none" w:color="000000" w:sz="4"/>
              <w:left w:val="none" w:color="000000" w:sz="4"/>
              <w:bottom w:val="none" w:color="000000" w:sz="4"/>
              <w:right w:val="none" w:color="000000" w:sz="4"/>
            </w:tcBorders>
            <w:shd w:fill="FFFFFF"/>
          </w:tcPr>
          <w:p/>
        </w:tc>
        <w:tc>
          <w:tcPr>
            <w:tcW w:type="dxa" w:w="1229"/>
            <w:tcBorders>
              <w:top w:val="none" w:color="000000" w:sz="4"/>
              <w:left w:val="none" w:color="000000" w:sz="4"/>
              <w:bottom w:val="none" w:color="000000" w:sz="4"/>
              <w:right w:val="none" w:color="000000" w:sz="4"/>
            </w:tcBorders>
            <w:shd w:fill="FFFFFF"/>
          </w:tcPr>
          <w:p/>
        </w:tc>
        <w:tc>
          <w:tcPr>
            <w:tcW w:type="dxa" w:w="2034"/>
            <w:tcBorders>
              <w:top w:val="none" w:color="000000" w:sz="4"/>
              <w:left w:val="none" w:color="000000" w:sz="4"/>
              <w:bottom w:val="none" w:color="000000" w:sz="4"/>
              <w:right w:val="none" w:color="000000" w:sz="4"/>
            </w:tcBorders>
            <w:shd w:fill="FFFFFF"/>
          </w:tcPr>
          <w:p/>
        </w:tc>
      </w:tr>
    </w:tbl>
    <w:p>
      <w:pPr>
        <w:pStyle w:val="null3"/>
        <w:jc w:val="right"/>
      </w:pPr>
      <w:r>
        <w:rPr>
          <w:sz w:val="24"/>
          <w:shd w:fill="FFFFFF" w:val="clear"/>
        </w:rPr>
        <w:t xml:space="preserve"> </w:t>
      </w:r>
    </w:p>
    <w:p>
      <w:pPr>
        <w:pStyle w:val="null3"/>
        <w:ind w:firstLine="480"/>
        <w:jc w:val="right"/>
      </w:pPr>
      <w:r>
        <w:rPr>
          <w:sz w:val="24"/>
          <w:shd w:fill="FFFFFF" w:val="clear"/>
        </w:rPr>
        <w:t>投标人名称（盖章）：__________________</w:t>
      </w:r>
    </w:p>
    <w:p>
      <w:pPr>
        <w:pStyle w:val="null3"/>
        <w:ind w:firstLine="480"/>
        <w:jc w:val="right"/>
      </w:pPr>
      <w:r>
        <w:rPr>
          <w:sz w:val="24"/>
          <w:shd w:fill="FFFFFF" w:val="clear"/>
        </w:rPr>
        <w:t>日期： 年 月 日</w:t>
      </w:r>
    </w:p>
    <w:p>
      <w:pPr>
        <w:pStyle w:val="null3"/>
      </w:pPr>
      <w:r>
        <w:rPr>
          <w:sz w:val="24"/>
        </w:rPr>
        <w:t>注：上述节能产品包括节水产品。</w:t>
      </w:r>
    </w:p>
    <w:p>
      <w:pPr>
        <w:pStyle w:val="null3"/>
        <w:ind w:left="360"/>
        <w:jc w:val="both"/>
      </w:pPr>
      <w:r>
        <w:rPr>
          <w:sz w:val="24"/>
          <w:shd w:fill="FFFFFF" w:val="clear"/>
        </w:rPr>
        <w:t>2.   环境标志产品说明</w:t>
      </w:r>
    </w:p>
    <w:tbl>
      <w:tblPr>
        <w:tblW w:w="0" w:type="auto"/>
        <w:tblBorders>
          <w:top w:val="none" w:color="000000" w:sz="4"/>
          <w:left w:val="none" w:color="000000" w:sz="4"/>
          <w:bottom w:val="none" w:color="000000" w:sz="4"/>
          <w:right w:val="none" w:color="000000" w:sz="4"/>
          <w:insideH w:val="none"/>
          <w:insideV w:val="none"/>
        </w:tblBorders>
        <w:shd w:fill="FFFFFF"/>
      </w:tblPr>
      <w:tblGrid>
        <w:gridCol w:w="339"/>
        <w:gridCol w:w="1610"/>
        <w:gridCol w:w="1780"/>
        <w:gridCol w:w="2627"/>
        <w:gridCol w:w="1949"/>
      </w:tblGrid>
      <w:tr>
        <w:tc>
          <w:tcPr>
            <w:tcW w:type="dxa" w:w="339"/>
            <w:tcBorders>
              <w:top w:val="single" w:color="000000" w:sz="4"/>
              <w:left w:val="single" w:color="000000" w:sz="4"/>
              <w:bottom w:val="single" w:color="000000" w:sz="4"/>
              <w:right w:val="single" w:color="000000" w:sz="4"/>
            </w:tcBorders>
            <w:shd w:fill="FFFFFF"/>
            <w:tcMar>
              <w:top w:type="dxa" w:w="0"/>
              <w:left w:type="dxa" w:w="120"/>
              <w:bottom w:type="dxa" w:w="0"/>
              <w:right w:type="dxa" w:w="120"/>
            </w:tcMar>
          </w:tcPr>
          <w:p>
            <w:pPr>
              <w:pStyle w:val="null3"/>
              <w:jc w:val="left"/>
            </w:pPr>
            <w:r>
              <w:rPr>
                <w:sz w:val="24"/>
              </w:rPr>
              <w:t>序号</w:t>
            </w:r>
          </w:p>
        </w:tc>
        <w:tc>
          <w:tcPr>
            <w:tcW w:type="dxa" w:w="1610"/>
            <w:tcBorders>
              <w:top w:val="singl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ind w:firstLine="315"/>
              <w:jc w:val="left"/>
            </w:pPr>
            <w:r>
              <w:rPr>
                <w:sz w:val="24"/>
              </w:rPr>
              <w:t>产品名称</w:t>
            </w:r>
          </w:p>
        </w:tc>
        <w:tc>
          <w:tcPr>
            <w:tcW w:type="dxa" w:w="1780"/>
            <w:tcBorders>
              <w:top w:val="single" w:color="000000" w:sz="4"/>
              <w:left w:val="none" w:color="000000" w:sz="4"/>
              <w:bottom w:val="single" w:color="000000" w:sz="4"/>
              <w:right w:val="single" w:color="000000" w:sz="4"/>
            </w:tcBorders>
            <w:shd w:fill="FFFFFF"/>
            <w:tcMar>
              <w:top w:type="dxa" w:w="0"/>
              <w:left w:type="dxa" w:w="120"/>
              <w:bottom w:type="dxa" w:w="0"/>
              <w:right w:type="dxa" w:w="120"/>
            </w:tcMar>
            <w:vAlign w:val="top"/>
          </w:tcPr>
          <w:p>
            <w:pPr>
              <w:pStyle w:val="null3"/>
              <w:ind w:firstLine="105"/>
              <w:jc w:val="left"/>
            </w:pPr>
            <w:r>
              <w:rPr>
                <w:sz w:val="24"/>
              </w:rPr>
              <w:t>对应《环境标志产品政府采购品目清单》的品目序号</w:t>
            </w:r>
          </w:p>
          <w:p>
            <w:pPr>
              <w:pStyle w:val="null3"/>
              <w:jc w:val="left"/>
            </w:pPr>
          </w:p>
        </w:tc>
        <w:tc>
          <w:tcPr>
            <w:tcW w:type="dxa" w:w="2627"/>
            <w:tcBorders>
              <w:top w:val="singl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jc w:val="left"/>
            </w:pPr>
            <w:r>
              <w:rPr>
                <w:sz w:val="24"/>
              </w:rPr>
              <w:t>产品认证证书所在投标文件页码</w:t>
            </w:r>
          </w:p>
        </w:tc>
        <w:tc>
          <w:tcPr>
            <w:tcW w:type="dxa" w:w="1949"/>
            <w:tcBorders>
              <w:top w:val="singl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ind w:firstLine="315"/>
              <w:jc w:val="left"/>
            </w:pPr>
            <w:r>
              <w:rPr>
                <w:sz w:val="24"/>
              </w:rPr>
              <w:t>产品报价（元）</w:t>
            </w:r>
          </w:p>
          <w:p>
            <w:pPr>
              <w:pStyle w:val="null3"/>
              <w:jc w:val="left"/>
            </w:pPr>
          </w:p>
        </w:tc>
      </w:tr>
      <w:tr>
        <w:tc>
          <w:tcPr>
            <w:tcW w:type="dxa" w:w="339"/>
            <w:tcBorders>
              <w:top w:val="none" w:color="000000" w:sz="4"/>
              <w:left w:val="single" w:color="000000" w:sz="4"/>
              <w:bottom w:val="single" w:color="000000" w:sz="4"/>
              <w:right w:val="single" w:color="000000" w:sz="4"/>
            </w:tcBorders>
            <w:shd w:fill="FFFFFF"/>
            <w:tcMar>
              <w:top w:type="dxa" w:w="0"/>
              <w:left w:type="dxa" w:w="120"/>
              <w:bottom w:type="dxa" w:w="0"/>
              <w:right w:type="dxa" w:w="120"/>
            </w:tcMar>
          </w:tcPr>
          <w:p>
            <w:pPr>
              <w:pStyle w:val="null3"/>
              <w:jc w:val="center"/>
            </w:pPr>
            <w:r>
              <w:rPr>
                <w:sz w:val="24"/>
              </w:rPr>
              <w:t>1</w:t>
            </w:r>
          </w:p>
        </w:tc>
        <w:tc>
          <w:tcPr>
            <w:tcW w:type="dxa" w:w="1610"/>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jc w:val="center"/>
            </w:pPr>
          </w:p>
        </w:tc>
        <w:tc>
          <w:tcPr>
            <w:tcW w:type="dxa" w:w="1780"/>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tc>
        <w:tc>
          <w:tcPr>
            <w:tcW w:type="dxa" w:w="2627"/>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1949"/>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r>
      <w:tr>
        <w:tc>
          <w:tcPr>
            <w:tcW w:type="dxa" w:w="339"/>
            <w:tcBorders>
              <w:top w:val="none" w:color="000000" w:sz="4"/>
              <w:left w:val="single" w:color="000000" w:sz="4"/>
              <w:bottom w:val="single" w:color="000000" w:sz="4"/>
              <w:right w:val="single" w:color="000000" w:sz="4"/>
            </w:tcBorders>
            <w:shd w:fill="FFFFFF"/>
            <w:tcMar>
              <w:top w:type="dxa" w:w="0"/>
              <w:left w:type="dxa" w:w="120"/>
              <w:bottom w:type="dxa" w:w="0"/>
              <w:right w:type="dxa" w:w="120"/>
            </w:tcMar>
          </w:tcPr>
          <w:p>
            <w:pPr>
              <w:pStyle w:val="null3"/>
              <w:jc w:val="both"/>
            </w:pPr>
            <w:r>
              <w:rPr>
                <w:sz w:val="24"/>
              </w:rPr>
              <w:t>2</w:t>
            </w:r>
          </w:p>
        </w:tc>
        <w:tc>
          <w:tcPr>
            <w:tcW w:type="dxa" w:w="1610"/>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jc w:val="center"/>
            </w:pPr>
          </w:p>
        </w:tc>
        <w:tc>
          <w:tcPr>
            <w:tcW w:type="dxa" w:w="1780"/>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tc>
        <w:tc>
          <w:tcPr>
            <w:tcW w:type="dxa" w:w="2627"/>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1949"/>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r>
      <w:tr>
        <w:tc>
          <w:tcPr>
            <w:tcW w:type="dxa" w:w="339"/>
            <w:tcBorders>
              <w:top w:val="none" w:color="000000" w:sz="4"/>
              <w:left w:val="single" w:color="000000" w:sz="4"/>
              <w:bottom w:val="single" w:color="000000" w:sz="4"/>
              <w:right w:val="single" w:color="000000" w:sz="4"/>
            </w:tcBorders>
            <w:shd w:fill="FFFFFF"/>
            <w:tcMar>
              <w:top w:type="dxa" w:w="0"/>
              <w:left w:type="dxa" w:w="120"/>
              <w:bottom w:type="dxa" w:w="0"/>
              <w:right w:type="dxa" w:w="120"/>
            </w:tcMar>
          </w:tcPr>
          <w:p>
            <w:pPr>
              <w:pStyle w:val="null3"/>
              <w:jc w:val="both"/>
            </w:pPr>
            <w:r>
              <w:rPr>
                <w:sz w:val="24"/>
              </w:rPr>
              <w:t>3</w:t>
            </w:r>
          </w:p>
        </w:tc>
        <w:tc>
          <w:tcPr>
            <w:tcW w:type="dxa" w:w="1610"/>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jc w:val="center"/>
            </w:pPr>
          </w:p>
        </w:tc>
        <w:tc>
          <w:tcPr>
            <w:tcW w:type="dxa" w:w="1780"/>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tc>
        <w:tc>
          <w:tcPr>
            <w:tcW w:type="dxa" w:w="2627"/>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1949"/>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r>
      <w:tr>
        <w:tc>
          <w:tcPr>
            <w:tcW w:type="dxa" w:w="6356"/>
            <w:gridSpan w:val="4"/>
            <w:tcBorders>
              <w:top w:val="none" w:color="000000" w:sz="4"/>
              <w:left w:val="single" w:color="000000" w:sz="4"/>
              <w:bottom w:val="single" w:color="000000" w:sz="4"/>
              <w:right w:val="single" w:color="000000" w:sz="4"/>
            </w:tcBorders>
            <w:shd w:fill="FFFFFF"/>
            <w:tcMar>
              <w:top w:type="dxa" w:w="0"/>
              <w:left w:type="dxa" w:w="120"/>
              <w:bottom w:type="dxa" w:w="0"/>
              <w:right w:type="dxa" w:w="120"/>
            </w:tcMar>
          </w:tcPr>
          <w:p>
            <w:pPr>
              <w:pStyle w:val="null3"/>
              <w:jc w:val="left"/>
            </w:pPr>
            <w:r>
              <w:rPr>
                <w:sz w:val="24"/>
              </w:rPr>
              <w:t>环境标志产品价格合计</w:t>
            </w:r>
          </w:p>
        </w:tc>
        <w:tc>
          <w:tcPr>
            <w:tcW w:type="dxa" w:w="1949"/>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jc w:val="left"/>
            </w:pPr>
          </w:p>
        </w:tc>
      </w:tr>
    </w:tbl>
    <w:p>
      <w:pPr>
        <w:pStyle w:val="null3"/>
        <w:jc w:val="right"/>
      </w:pPr>
      <w:r>
        <w:rPr>
          <w:sz w:val="24"/>
          <w:shd w:fill="FFFFFF" w:val="clear"/>
        </w:rPr>
        <w:t>投标人名称（盖章）：__________________</w:t>
      </w:r>
    </w:p>
    <w:p>
      <w:pPr>
        <w:pStyle w:val="null3"/>
        <w:ind w:firstLine="480"/>
        <w:jc w:val="right"/>
      </w:pPr>
      <w:r>
        <w:rPr>
          <w:sz w:val="24"/>
          <w:shd w:fill="FFFFFF" w:val="clear"/>
        </w:rPr>
        <w:t>日期： 年 月 日</w:t>
      </w:r>
    </w:p>
    <w:p>
      <w:pPr>
        <w:pStyle w:val="null3"/>
        <w:ind w:left="360"/>
        <w:jc w:val="both"/>
      </w:pPr>
      <w:r>
        <w:rPr>
          <w:sz w:val="24"/>
          <w:shd w:fill="FFFFFF" w:val="clear"/>
        </w:rPr>
        <w:t>备注：</w:t>
      </w:r>
    </w:p>
    <w:p>
      <w:pPr>
        <w:pStyle w:val="null3"/>
        <w:jc w:val="left"/>
      </w:pPr>
      <w:r>
        <w:rPr>
          <w:sz w:val="24"/>
          <w:shd w:fill="FFFFFF" w:val="clear"/>
        </w:rPr>
        <w:t>1. 供应商提供的节能产品、环境标志产品须为《节能产品政府采购品目清单》、《环境标志产品政府采购品目清单》中的产品，产品认证证书处于有效期内，且发证机构为国家确定的认证机构，才可享受政策优惠。</w:t>
      </w:r>
    </w:p>
    <w:p>
      <w:pPr>
        <w:pStyle w:val="null3"/>
        <w:jc w:val="left"/>
      </w:pPr>
      <w:r>
        <w:rPr>
          <w:sz w:val="24"/>
          <w:shd w:fill="FFFFFF" w:val="clear"/>
        </w:rPr>
        <w:t>2. 供应商在《关于印发环境标志产品政府采购品目清单的通知》（财库〔2019〕18号）、《关于印发节能产品政府采购品目清单的通知》（财库〔2019〕19号）中可以查到对应的清单目录。如后续有更新的，则以更新后的文件为准。</w:t>
      </w:r>
    </w:p>
    <w:p>
      <w:pPr>
        <w:pStyle w:val="null3"/>
        <w:jc w:val="left"/>
      </w:pPr>
      <w:r>
        <w:rPr>
          <w:sz w:val="24"/>
          <w:shd w:fill="FFFFFF" w:val="clear"/>
        </w:rPr>
        <w:t>3. 国家确定的认证机构可在《市场监管总局关于发布参与实施政府采购节能产品、环境标志产品认证机构名录的公告》（2019年第16号）中查询。如后续有更新的，则以更新后的文件为准。</w:t>
      </w:r>
    </w:p>
    <w:p>
      <w:pPr>
        <w:pStyle w:val="null3"/>
        <w:jc w:val="both"/>
      </w:pPr>
      <w:r>
        <w:rPr/>
        <w:t>采购包1（广东卫视4K超高清频道播出系统建设项目（标段3：视音频播出通道系统））</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系统及设备交货时间为合同生效后30日历天内</w:t>
            </w:r>
          </w:p>
        </w:tc>
      </w:tr>
      <w:tr>
        <w:tc>
          <w:tcPr>
            <w:tcW w:type="dxa" w:w="4153"/>
          </w:tcPr>
          <w:p>
            <w:pPr>
              <w:pStyle w:val="null3"/>
            </w:pPr>
            <w:r>
              <w:rPr/>
              <w:t>标的提供的地点</w:t>
            </w:r>
          </w:p>
        </w:tc>
        <w:tc>
          <w:tcPr>
            <w:tcW w:type="dxa" w:w="4153"/>
          </w:tcPr>
          <w:p>
            <w:pPr>
              <w:pStyle w:val="null3"/>
            </w:pPr>
            <w:r>
              <w:rPr/>
              <w:t>广州市越秀区环市东路331号广东电视中心</w:t>
            </w:r>
          </w:p>
        </w:tc>
      </w:tr>
      <w:tr/>
      <w:tr/>
      <w:tr>
        <w:tc>
          <w:tcPr>
            <w:tcW w:type="dxa" w:w="4153"/>
          </w:tcPr>
          <w:p>
            <w:pPr>
              <w:pStyle w:val="null3"/>
            </w:pPr>
            <w:r>
              <w:rPr/>
              <w:t>付款方式</w:t>
            </w:r>
          </w:p>
        </w:tc>
        <w:tc>
          <w:tcPr>
            <w:tcW w:type="dxa" w:w="4153"/>
          </w:tcPr>
          <w:p>
            <w:pPr>
              <w:pStyle w:val="null3"/>
            </w:pPr>
            <w:r>
              <w:rPr/>
              <w:t>第1期为(预付款)：支付比例30%，合同生效后10个工作日内，采购人向中标人支付合同总价的30%。</w:t>
            </w:r>
          </w:p>
          <w:p>
            <w:pPr>
              <w:pStyle w:val="null3"/>
            </w:pPr>
            <w:r>
              <w:rPr/>
              <w:t>第2期为(进度款)：支付比例50%，中标人按时按质向采购人交付本项目合同及附件约定的全部系统及设备，完成安装调试和系统集成，经采购人初步验收合格后10个工作日内，采购人向中标人支付合同总价的50%。</w:t>
            </w:r>
          </w:p>
          <w:p>
            <w:pPr>
              <w:pStyle w:val="null3"/>
            </w:pPr>
            <w:r>
              <w:rPr/>
              <w:t>第3期为(尾款)：支付比例20%，广东卫视4K超高清播出系统建设项目整体经采购人最终验收合格后10个工作日内，采购人向中标人支付合同总价的20%。</w:t>
            </w:r>
          </w:p>
        </w:tc>
      </w:tr>
      <w:tr>
        <w:tc>
          <w:tcPr>
            <w:tcW w:type="dxa" w:w="8306"/>
            <w:gridSpan w:val="2"/>
          </w:tcPr>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1期：1.设备到货验收 (1)中标人需提供对应此项目出货清单。中标人将合同清单设备交付到招标人所在的指定地点后，中标人配合招标人依照标书要求对全部设备、产品、型号、规格、数量、外形、外观、包装及资料、文件（如装箱单、保修单、随箱介质等）共同进行设备检验。如有损坏、缺件等情况，中标人应负责按合同设备清单予以更换。 (2)拆箱后，应对其全部产品、零件、配件、用户许可证书、资料、介质进行登记，并与装箱单对比，如有出入应立即书面记录，由供货商解决，如影响安装则按合同有关条款处理。 (3)设备通电测试应单台进行，所有设备通电自检正常后，才能正式上线。 (4)如商检或系统测试中发现设备性能指标或功能上不符合标书和合同要求时，将被看作性能不合格，招标人有权拒收并要求赔偿。 (5)中标人应负责在设备验收时将所有系统设计和施工档案、有关产品说明书、交予采购人。 2.系统验收 (1)中标人按时按质向采购人交付本项目合同及附件约定的全部系统及设备，完成安装调试和系统集成，中标人方能申请采购人进行初步验收。 (2)本项目系统测试将包含但不限设备型号、性能指标等内容，所有相关测试通过后，试运行不少于一个月后，中标人方能申请采购人进行最终验收。 (3)最终验收前，由权威第三方检测机构对系统技术指标按国家标准进行检测，并出具验收报告，检测费用由中标人承担。系统测试时应有采购人技术人员参与。 (4)验收程序：由采购人项目组和投标方施工人员对整个系统改造部分按照广播电视行业的标准进行测试，编写测试报告和验收文件（验收文件包括：系统测试报告、项目实施和试运行情况报告）。 (5)若中标人设备验收结果和投标的应答不一致或虚假应答，中标人将会承担合同违约责任，采购人有权选择拒收全部货物、解除合同。</w:t>
            </w:r>
          </w:p>
        </w:tc>
      </w:tr>
      <w:tr>
        <w:tc>
          <w:tcPr>
            <w:tcW w:type="dxa" w:w="4153"/>
          </w:tcPr>
          <w:p>
            <w:pPr>
              <w:pStyle w:val="null3"/>
            </w:pPr>
            <w:r>
              <w:rPr/>
              <w:t>履约保证金</w:t>
            </w:r>
          </w:p>
        </w:tc>
        <w:tc>
          <w:tcPr>
            <w:tcW w:type="dxa" w:w="4153"/>
          </w:tcPr>
          <w:p>
            <w:pPr>
              <w:pStyle w:val="null3"/>
            </w:pPr>
            <w:r>
              <w:rPr/>
              <w:t>收取比例：5%,说明：中标人收到合同首期款后10个工作日内，向采购人提交金额为本合同总额5%的履约保证金。在系统及设备最终验收合格，合同全部履行完毕且供应商不存在违约情形的10个工作日内采购人无息退还履约保证金。中标人应在约定时间内提交履约保证金，否则采购人有权延期支付应付未付的款项。（履约保证金的退还按法律规定处理。采购人无正当理由逾期退还履约保证金，导致供应商权益受损的，采购人除应退还履约保证金外，应赔偿中标供应商的损失。）</w:t>
            </w:r>
          </w:p>
          <w:p>
            <w:pPr>
              <w:pStyle w:val="null3"/>
            </w:pPr>
            <w:r>
              <w:rPr/>
              <w:t>履约保证金可以以履约保函（保险）形式提供，目前"广东政府采购智慧云平台金融服务中心(https://gdgpo.czt.gd.gov.cn/zcdservice/zcd/guangdong/)已实现电子履约保函（保险）在线办理功能，有意愿供应商可自行办理提供。</w:t>
            </w:r>
          </w:p>
        </w:tc>
      </w:tr>
      <w:tr>
        <w:tc>
          <w:tcPr>
            <w:tcW w:type="dxa" w:w="4153"/>
          </w:tcPr>
          <w:p>
            <w:pPr>
              <w:pStyle w:val="null3"/>
            </w:pPr>
            <w:r>
              <w:rPr/>
              <w:t>其他</w:t>
            </w:r>
          </w:p>
        </w:tc>
        <w:tc>
          <w:tcPr>
            <w:tcW w:type="dxa" w:w="4153"/>
          </w:tcPr>
          <w:p>
            <w:pPr>
              <w:pStyle w:val="null3"/>
            </w:pP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 xml:space="preserve"> 核心产品要求（“△”）</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tc>
        <w:tc>
          <w:tcPr>
            <w:tcW w:type="dxa" w:w="831"/>
          </w:tcPr>
          <w:p>
            <w:pPr>
              <w:pStyle w:val="null3"/>
              <w:jc w:val="left"/>
            </w:pPr>
            <w:r>
              <w:rPr/>
              <w:t>电视录制及电视播出中心设备</w:t>
            </w:r>
          </w:p>
        </w:tc>
        <w:tc>
          <w:tcPr>
            <w:tcW w:type="dxa" w:w="831"/>
          </w:tcPr>
          <w:p>
            <w:pPr>
              <w:pStyle w:val="null3"/>
              <w:jc w:val="left"/>
            </w:pPr>
            <w:r>
              <w:rPr/>
              <w:t>广东卫视4K超高清频道播出系统建设项目（标段3：视音频播出通道系统）(除核心产品外,详见采购需求清单）</w:t>
            </w:r>
          </w:p>
        </w:tc>
        <w:tc>
          <w:tcPr>
            <w:tcW w:type="dxa" w:w="831"/>
          </w:tcPr>
          <w:p>
            <w:pPr>
              <w:pStyle w:val="null3"/>
              <w:jc w:val="left"/>
            </w:pPr>
            <w:r>
              <w:rPr/>
              <w:t>批</w:t>
            </w:r>
          </w:p>
        </w:tc>
        <w:tc>
          <w:tcPr>
            <w:tcW w:type="dxa" w:w="831"/>
          </w:tcPr>
          <w:p>
            <w:pPr>
              <w:pStyle w:val="null3"/>
              <w:jc w:val="right"/>
            </w:pPr>
            <w:r>
              <w:rPr/>
              <w:t>1.00</w:t>
            </w:r>
          </w:p>
        </w:tc>
        <w:tc>
          <w:tcPr>
            <w:tcW w:type="dxa" w:w="831"/>
          </w:tcPr>
          <w:p>
            <w:pPr>
              <w:pStyle w:val="null3"/>
              <w:jc w:val="right"/>
            </w:pPr>
            <w:r>
              <w:rPr/>
              <w:t>4,550,000.00</w:t>
            </w:r>
          </w:p>
        </w:tc>
        <w:tc>
          <w:tcPr>
            <w:tcW w:type="dxa" w:w="831"/>
          </w:tcPr>
          <w:p>
            <w:pPr>
              <w:pStyle w:val="null3"/>
              <w:jc w:val="right"/>
            </w:pPr>
            <w:r>
              <w:rPr/>
              <w:t>4,550,000.00</w:t>
            </w:r>
          </w:p>
        </w:tc>
        <w:tc>
          <w:tcPr>
            <w:tcW w:type="dxa" w:w="831"/>
          </w:tcPr>
          <w:p>
            <w:pPr>
              <w:pStyle w:val="null3"/>
            </w:pPr>
            <w:r>
              <w:rPr/>
              <w:t>工业</w:t>
            </w:r>
          </w:p>
        </w:tc>
        <w:tc>
          <w:tcPr>
            <w:tcW w:type="dxa" w:w="831"/>
          </w:tcPr>
          <w:p>
            <w:pPr>
              <w:pStyle w:val="null3"/>
            </w:pPr>
            <w:r>
              <w:rPr/>
              <w:t>详见附表一</w:t>
            </w:r>
          </w:p>
        </w:tc>
      </w:tr>
      <w:tr>
        <w:tc>
          <w:tcPr>
            <w:tcW w:type="dxa" w:w="831"/>
          </w:tcPr>
          <w:p>
            <w:pPr>
              <w:pStyle w:val="null3"/>
              <w:jc w:val="center"/>
            </w:pPr>
            <w:r>
              <w:rPr/>
              <w:t>2</w:t>
            </w:r>
          </w:p>
        </w:tc>
        <w:tc>
          <w:tcPr>
            <w:tcW w:type="dxa" w:w="831"/>
          </w:tcPr>
          <w:p>
            <w:pPr>
              <w:pStyle w:val="null3"/>
              <w:jc w:val="center"/>
            </w:pPr>
            <w:r>
              <w:rPr/>
              <w:t>△</w:t>
            </w:r>
          </w:p>
        </w:tc>
        <w:tc>
          <w:tcPr>
            <w:tcW w:type="dxa" w:w="831"/>
          </w:tcPr>
          <w:p>
            <w:pPr>
              <w:pStyle w:val="null3"/>
              <w:jc w:val="left"/>
            </w:pPr>
            <w:r>
              <w:rPr/>
              <w:t>电视录制及电视播出中心设备</w:t>
            </w:r>
          </w:p>
        </w:tc>
        <w:tc>
          <w:tcPr>
            <w:tcW w:type="dxa" w:w="831"/>
          </w:tcPr>
          <w:p>
            <w:pPr>
              <w:pStyle w:val="null3"/>
              <w:jc w:val="left"/>
            </w:pPr>
            <w:r>
              <w:rPr/>
              <w:t>4K SDI播出切换设备 （核心产品）</w:t>
            </w:r>
          </w:p>
        </w:tc>
        <w:tc>
          <w:tcPr>
            <w:tcW w:type="dxa" w:w="831"/>
          </w:tcPr>
          <w:p>
            <w:pPr>
              <w:pStyle w:val="null3"/>
              <w:jc w:val="left"/>
            </w:pPr>
            <w:r>
              <w:rPr/>
              <w:t>套</w:t>
            </w:r>
          </w:p>
        </w:tc>
        <w:tc>
          <w:tcPr>
            <w:tcW w:type="dxa" w:w="831"/>
          </w:tcPr>
          <w:p>
            <w:pPr>
              <w:pStyle w:val="null3"/>
              <w:jc w:val="right"/>
            </w:pPr>
            <w:r>
              <w:rPr/>
              <w:t>1.00</w:t>
            </w:r>
          </w:p>
        </w:tc>
        <w:tc>
          <w:tcPr>
            <w:tcW w:type="dxa" w:w="831"/>
          </w:tcPr>
          <w:p>
            <w:pPr>
              <w:pStyle w:val="null3"/>
              <w:jc w:val="right"/>
            </w:pPr>
            <w:r>
              <w:rPr/>
              <w:t>650,000.00</w:t>
            </w:r>
          </w:p>
        </w:tc>
        <w:tc>
          <w:tcPr>
            <w:tcW w:type="dxa" w:w="831"/>
          </w:tcPr>
          <w:p>
            <w:pPr>
              <w:pStyle w:val="null3"/>
              <w:jc w:val="right"/>
            </w:pPr>
            <w:r>
              <w:rPr/>
              <w:t>650,000.00</w:t>
            </w:r>
          </w:p>
        </w:tc>
        <w:tc>
          <w:tcPr>
            <w:tcW w:type="dxa" w:w="831"/>
          </w:tcPr>
          <w:p>
            <w:pPr>
              <w:pStyle w:val="null3"/>
            </w:pPr>
            <w:r>
              <w:rPr/>
              <w:t>工业</w:t>
            </w:r>
          </w:p>
        </w:tc>
        <w:tc>
          <w:tcPr>
            <w:tcW w:type="dxa" w:w="831"/>
          </w:tcPr>
          <w:p>
            <w:pPr>
              <w:pStyle w:val="null3"/>
            </w:pPr>
            <w:r>
              <w:rPr/>
              <w:t>详见附表二</w:t>
            </w:r>
          </w:p>
        </w:tc>
      </w:tr>
    </w:tbl>
    <w:p>
      <w:pPr>
        <w:pStyle w:val="null3"/>
      </w:pPr>
      <w:r>
        <w:rPr>
          <w:b/>
        </w:rPr>
        <w:t>附表</w:t>
      </w:r>
      <w:r>
        <w:rPr>
          <w:b/>
        </w:rPr>
        <w:t>一</w:t>
      </w:r>
      <w:r>
        <w:rPr>
          <w:b/>
        </w:rPr>
        <w:t>：</w:t>
      </w:r>
      <w:r>
        <w:rPr>
          <w:b/>
        </w:rPr>
        <w:t>广东卫视4K超高清频道播出系统建设项目（标段3：视音频播出通道系统）(除核心产品外,详见采购需求清单）</w:t>
      </w:r>
      <w:r>
        <w:rPr>
          <w:b/>
        </w:rPr>
        <w:t>进口产品</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详见用户需求书。</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二</w:t>
      </w:r>
      <w:r>
        <w:rPr>
          <w:b/>
        </w:rPr>
        <w:t>：</w:t>
      </w:r>
      <w:r>
        <w:rPr>
          <w:b/>
        </w:rPr>
        <w:t>4K SDI播出切换设备 （核心产品）</w:t>
      </w:r>
      <w:r>
        <w:rPr>
          <w:b/>
        </w:rPr>
        <w:t>进口产品</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详见用户需求书。</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1.采购代理机构：本项目是指广东省政府采购中心，负责整个采购活动的组织，依法负责编制和发布招标文件，对招标文件拥有最终的解释权，不以任何身份出任评标委员会成员。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广东广播电视台</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2家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采购机构代理服务收费标准：按委托协议收取。</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主持人开启远程解密起30分钟内完成；说明：具体情况根据开标时现场代理机构人员设置为准</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采购包1：非专门面向中小企业</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广东省政府采购中心</w:t>
      </w:r>
      <w:r>
        <w:rPr/>
        <w:t>代收。具体操作要求详见</w:t>
      </w:r>
      <w:r>
        <w:rPr/>
        <w:t>广东省政府采购中心</w:t>
      </w:r>
      <w:r>
        <w:rPr/>
        <w:t>有关指引，递交事宜请自行咨询</w:t>
      </w:r>
      <w:r>
        <w:rPr/>
        <w:t>广东省政府采购中心</w:t>
      </w:r>
      <w:r>
        <w:rPr/>
        <w:t>；请各投标人在投标文件递交截止时间前按须知前附表规定的金额递交至</w:t>
      </w:r>
      <w:r>
        <w:rPr/>
        <w:t>广东省政府采购中心</w:t>
      </w:r>
      <w:r>
        <w:rPr/>
        <w:t>，到账情况以开标时</w:t>
      </w:r>
      <w:r>
        <w:rPr/>
        <w:t>广东省政府采购中心</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陈小姐/龚小姐</w:t>
      </w:r>
    </w:p>
    <w:p>
      <w:pPr>
        <w:pStyle w:val="null3"/>
        <w:ind w:firstLine="480"/>
      </w:pPr>
      <w:r>
        <w:rPr/>
        <w:t>电话：</w:t>
      </w:r>
      <w:r>
        <w:rPr/>
        <w:t>020-83187086/83196816</w:t>
      </w:r>
    </w:p>
    <w:p>
      <w:pPr>
        <w:pStyle w:val="null3"/>
        <w:ind w:firstLine="480"/>
      </w:pPr>
      <w:r>
        <w:rPr/>
        <w:t>传真：</w:t>
      </w:r>
      <w:r>
        <w:rPr/>
        <w:t>-</w:t>
      </w:r>
    </w:p>
    <w:p>
      <w:pPr>
        <w:pStyle w:val="null3"/>
        <w:ind w:firstLine="480"/>
      </w:pPr>
      <w:r>
        <w:rPr/>
        <w:t>邮箱：</w:t>
      </w:r>
      <w:r>
        <w:rPr/>
        <w:t>gpcgdzgke@gd.gov.cn (推荐使用）</w:t>
      </w:r>
    </w:p>
    <w:p>
      <w:pPr>
        <w:pStyle w:val="null3"/>
        <w:ind w:firstLine="480"/>
      </w:pPr>
      <w:r>
        <w:rPr/>
        <w:t>地址：</w:t>
      </w:r>
      <w:r>
        <w:rPr/>
        <w:t>广州市越秀区越华路112号珠江国际大厦3楼质管科</w:t>
      </w:r>
    </w:p>
    <w:p>
      <w:pPr>
        <w:pStyle w:val="null3"/>
        <w:ind w:firstLine="480"/>
      </w:pPr>
      <w:r>
        <w:rPr/>
        <w:t>邮编：</w:t>
      </w:r>
      <w:r>
        <w:rPr/>
        <w:t>510030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政府采购监督管理机构名称：广东省财政厅政府采购监管处</w:t>
      </w:r>
    </w:p>
    <w:p>
      <w:pPr>
        <w:pStyle w:val="null3"/>
      </w:pPr>
      <w:r>
        <w:rPr/>
        <w:t>地 址：广州市越秀区北京路376号北裙楼313室</w:t>
      </w:r>
    </w:p>
    <w:p>
      <w:pPr>
        <w:pStyle w:val="null3"/>
      </w:pPr>
      <w:r>
        <w:rPr/>
        <w:t>电 话：020-83340570</w:t>
      </w:r>
    </w:p>
    <w:p>
      <w:pPr>
        <w:pStyle w:val="null3"/>
      </w:pPr>
      <w:r>
        <w:rPr/>
        <w:t>邮 编：510030</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广东卫视4K超高清频道播出系统建设项目（标段3：视音频播出通道系统）)：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广东省政府采购中心</w:t>
      </w:r>
      <w:r>
        <w:rPr/>
        <w:t>统一对外发布。</w:t>
      </w:r>
    </w:p>
    <w:p>
      <w:pPr>
        <w:pStyle w:val="null3"/>
        <w:ind w:firstLine="480"/>
      </w:pPr>
      <w:r>
        <w:rPr/>
        <w:t>（2）对</w:t>
      </w:r>
      <w:r>
        <w:rPr/>
        <w:t>广东省政府采购中心</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4.7投标人上传的电子投标文件使用该项目其他投标人的数字证书加密的或加盖该项目的其他投标人的电子印章的。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采购包1（广东卫视4K超高清频道播出系统建设项目（标段3：视音频播出通道系统））：</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货物由小微企业制造</w:t>
            </w:r>
          </w:p>
        </w:tc>
        <w:tc>
          <w:tcPr>
            <w:tcW w:type="dxa" w:w="1246"/>
          </w:tcPr>
          <w:p>
            <w:pPr>
              <w:pStyle w:val="null3"/>
            </w:pPr>
            <w:r>
              <w:rPr/>
              <w:t>10%</w:t>
            </w:r>
          </w:p>
        </w:tc>
        <w:tc>
          <w:tcPr>
            <w:tcW w:type="dxa" w:w="2160"/>
          </w:tcPr>
          <w:p>
            <w:pPr>
              <w:pStyle w:val="null3"/>
              <w:jc w:val="left"/>
            </w:pPr>
            <w:r>
              <w:rPr/>
              <w:t>货物由小微企业制造，即货物由小微企业生产且使用该小微企业商号或者注册商标时，给予价格扣除C1，即：评标价=投标报价×（1-C1）;监狱企业与残疾人福利性单位视同小型、微型企业，享受同等价格扣除，当企业属性重复时，不重复价格扣除。</w:t>
            </w:r>
          </w:p>
        </w:tc>
      </w:tr>
      <w:tr>
        <w:tc>
          <w:tcPr>
            <w:tcW w:type="dxa" w:w="581"/>
          </w:tcPr>
          <w:p>
            <w:pPr>
              <w:pStyle w:val="null3"/>
            </w:pPr>
            <w:r>
              <w:rPr/>
              <w:t>2</w:t>
            </w:r>
          </w:p>
        </w:tc>
        <w:tc>
          <w:tcPr>
            <w:tcW w:type="dxa" w:w="2160"/>
          </w:tcPr>
          <w:p>
            <w:pPr>
              <w:pStyle w:val="null3"/>
              <w:jc w:val="left"/>
            </w:pPr>
            <w:r>
              <w:rPr/>
              <w:t>节能、环保产品</w:t>
            </w:r>
          </w:p>
        </w:tc>
        <w:tc>
          <w:tcPr>
            <w:tcW w:type="dxa" w:w="2160"/>
          </w:tcPr>
          <w:p>
            <w:pPr>
              <w:pStyle w:val="null3"/>
            </w:pPr>
            <w:r>
              <w:rPr/>
              <w:t xml:space="preserve"> ——</w:t>
            </w:r>
          </w:p>
        </w:tc>
        <w:tc>
          <w:tcPr>
            <w:tcW w:type="dxa" w:w="1246"/>
          </w:tcPr>
          <w:p>
            <w:pPr>
              <w:pStyle w:val="null3"/>
            </w:pPr>
            <w:r>
              <w:rPr/>
              <w:t>1%</w:t>
            </w:r>
          </w:p>
        </w:tc>
        <w:tc>
          <w:tcPr>
            <w:tcW w:type="dxa" w:w="2160"/>
          </w:tcPr>
          <w:p>
            <w:pPr>
              <w:pStyle w:val="null3"/>
              <w:jc w:val="left"/>
            </w:pPr>
            <w:r>
              <w:rPr/>
              <w:t>1） 供应商所投产品属于“环境标志产品政府采购品目清单”范围的，提供国家确定的认证机构出具的、处于有效期之内的环境标志产品认证证书，环境标志产品核实价给予C2的价格扣除。 评审价＝核实价－环境标志产品核实价×C2（C2的取值为1 %）； 2）供应商所投产品属于“节能产品政府采购品目清单”优先采购范围（即非标注星号的产品）的，提供国家确定的认证机构出具的、处于有效期之内的节能标志产品认证证书，节能产品核实价给予C3的价格扣除。 评审价＝核实价－节能产品核实价×C3（C3的取值为1%）；上述节能产品包括节水产品。</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采购包1（广东卫视4K超高清频道播出系统建设项目（标段3：视音频播出通道系统））：</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提供投标截止日前6个月内任意1个月依法缴纳税收和社会保障资金的相关材料。 如依法免税或不需要缴纳社会保障资金的， 提供相应证明材料。</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提供以下2种证明材料之一：①经会计师事务所审计的2023年度或2024年度财务状况报告；②同时提供a.基本开户行出具的资信证明，b.《基本存款账号信息》或《开户许可证》</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按投标（响应）文件格式填报设备及专业技术能力情况。</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tc>
      </w:tr>
    </w:tbl>
    <w:p>
      <w:pPr>
        <w:pStyle w:val="null3"/>
        <w:ind w:firstLine="480"/>
      </w:pPr>
      <w:r>
        <w:rPr/>
        <w:t>表二符合性审查表：</w:t>
      </w:r>
    </w:p>
    <w:p>
      <w:pPr>
        <w:pStyle w:val="null3"/>
      </w:pPr>
      <w:r>
        <w:rPr/>
        <w:t>采购包1（广东卫视4K超高清频道播出系统建设项目（标段3：视音频播出通道系统））：</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投标总金额是固定价且是唯一的，未超过本项目采购预算。分项报价未超过分项预算。</w:t>
            </w:r>
          </w:p>
        </w:tc>
        <w:tc>
          <w:tcPr>
            <w:tcW w:type="dxa" w:w="4238"/>
          </w:tcPr>
          <w:p>
            <w:pPr>
              <w:pStyle w:val="null3"/>
            </w:pPr>
            <w:r>
              <w:rPr/>
              <w:t>投标总金额是固定价且是唯一的，未超过本项目采购预算。分项报价未超过分项预算。</w:t>
            </w:r>
          </w:p>
        </w:tc>
      </w:tr>
      <w:tr>
        <w:tc>
          <w:tcPr>
            <w:tcW w:type="dxa" w:w="890"/>
          </w:tcPr>
          <w:p>
            <w:pPr>
              <w:pStyle w:val="null3"/>
            </w:pPr>
            <w:r>
              <w:rPr/>
              <w:t>2</w:t>
            </w:r>
          </w:p>
        </w:tc>
        <w:tc>
          <w:tcPr>
            <w:tcW w:type="dxa" w:w="3178"/>
          </w:tcPr>
          <w:p>
            <w:pPr>
              <w:pStyle w:val="null3"/>
            </w:pPr>
            <w:r>
              <w:rPr/>
              <w:t>对标的内容没有报价漏项。</w:t>
            </w:r>
          </w:p>
        </w:tc>
        <w:tc>
          <w:tcPr>
            <w:tcW w:type="dxa" w:w="4238"/>
          </w:tcPr>
          <w:p>
            <w:pPr>
              <w:pStyle w:val="null3"/>
            </w:pPr>
            <w:r>
              <w:rPr/>
              <w:t>对标的内容没有报价漏项。</w:t>
            </w:r>
          </w:p>
        </w:tc>
      </w:tr>
      <w:tr>
        <w:tc>
          <w:tcPr>
            <w:tcW w:type="dxa" w:w="890"/>
          </w:tcPr>
          <w:p>
            <w:pPr>
              <w:pStyle w:val="null3"/>
            </w:pPr>
            <w:r>
              <w:rPr/>
              <w:t>3</w:t>
            </w:r>
          </w:p>
        </w:tc>
        <w:tc>
          <w:tcPr>
            <w:tcW w:type="dxa" w:w="3178"/>
          </w:tcPr>
          <w:p>
            <w:pPr>
              <w:pStyle w:val="null3"/>
            </w:pPr>
            <w:r>
              <w:rPr/>
              <w:t>提交投标函。投标函按规定格式填写，内容完整。</w:t>
            </w:r>
          </w:p>
        </w:tc>
        <w:tc>
          <w:tcPr>
            <w:tcW w:type="dxa" w:w="4238"/>
          </w:tcPr>
          <w:p>
            <w:pPr>
              <w:pStyle w:val="null3"/>
            </w:pPr>
            <w:r>
              <w:rPr/>
              <w:t>提交投标函。投标函按规定格式填写，内容完整。</w:t>
            </w:r>
          </w:p>
        </w:tc>
      </w:tr>
      <w:tr>
        <w:tc>
          <w:tcPr>
            <w:tcW w:type="dxa" w:w="890"/>
          </w:tcPr>
          <w:p>
            <w:pPr>
              <w:pStyle w:val="null3"/>
            </w:pPr>
            <w:r>
              <w:rPr/>
              <w:t>4</w:t>
            </w:r>
          </w:p>
        </w:tc>
        <w:tc>
          <w:tcPr>
            <w:tcW w:type="dxa" w:w="3178"/>
          </w:tcPr>
          <w:p>
            <w:pPr>
              <w:pStyle w:val="null3"/>
            </w:pPr>
            <w:r>
              <w:rPr/>
              <w:t>法定代表人（单位负责人）资格证明书及授权委托书（如法定代表人（单位负责人）代表单位投标（响应）的，则提交法定代表人（单位负责人）资格证明书），按对应格式文件签署、盖章。</w:t>
            </w:r>
          </w:p>
        </w:tc>
        <w:tc>
          <w:tcPr>
            <w:tcW w:type="dxa" w:w="4238"/>
          </w:tcPr>
          <w:p>
            <w:pPr>
              <w:pStyle w:val="null3"/>
            </w:pPr>
            <w:r>
              <w:rPr/>
              <w:t>法定代表人（单位负责人）资格证明书及授权委托书（如法定代表人（单位负责人）代表单位投标（响应）的，则提交法定代表人（单位负责人）资格证明书），按对应格式文件签署、盖章。</w:t>
            </w:r>
          </w:p>
        </w:tc>
      </w:tr>
      <w:tr>
        <w:tc>
          <w:tcPr>
            <w:tcW w:type="dxa" w:w="890"/>
          </w:tcPr>
          <w:p>
            <w:pPr>
              <w:pStyle w:val="null3"/>
            </w:pPr>
            <w:r>
              <w:rPr/>
              <w:t>5</w:t>
            </w:r>
          </w:p>
        </w:tc>
        <w:tc>
          <w:tcPr>
            <w:tcW w:type="dxa" w:w="3178"/>
          </w:tcPr>
          <w:p>
            <w:pPr>
              <w:pStyle w:val="null3"/>
            </w:pPr>
            <w:r>
              <w:rPr/>
              <w:t>“★”号条款满足招标文件要求。</w:t>
            </w:r>
          </w:p>
        </w:tc>
        <w:tc>
          <w:tcPr>
            <w:tcW w:type="dxa" w:w="4238"/>
          </w:tcPr>
          <w:p>
            <w:pPr>
              <w:pStyle w:val="null3"/>
            </w:pPr>
            <w:r>
              <w:rPr/>
              <w:t>“★”号条款满足招标文件要求。</w:t>
            </w:r>
          </w:p>
        </w:tc>
      </w:tr>
      <w:tr>
        <w:tc>
          <w:tcPr>
            <w:tcW w:type="dxa" w:w="890"/>
          </w:tcPr>
          <w:p>
            <w:pPr>
              <w:pStyle w:val="null3"/>
            </w:pPr>
            <w:r>
              <w:rPr/>
              <w:t>6</w:t>
            </w:r>
          </w:p>
        </w:tc>
        <w:tc>
          <w:tcPr>
            <w:tcW w:type="dxa" w:w="3178"/>
          </w:tcPr>
          <w:p>
            <w:pPr>
              <w:pStyle w:val="null3"/>
            </w:pPr>
            <w:r>
              <w:rPr/>
              <w:t>投标有效期为投标截止日起至少90天。</w:t>
            </w:r>
          </w:p>
        </w:tc>
        <w:tc>
          <w:tcPr>
            <w:tcW w:type="dxa" w:w="4238"/>
          </w:tcPr>
          <w:p>
            <w:pPr>
              <w:pStyle w:val="null3"/>
            </w:pPr>
            <w:r>
              <w:rPr/>
              <w:t>投标有效期为投标截止日起至少90天。</w:t>
            </w:r>
          </w:p>
        </w:tc>
      </w:tr>
      <w:tr>
        <w:tc>
          <w:tcPr>
            <w:tcW w:type="dxa" w:w="890"/>
          </w:tcPr>
          <w:p>
            <w:pPr>
              <w:pStyle w:val="null3"/>
            </w:pPr>
            <w:r>
              <w:rPr/>
              <w:t>7</w:t>
            </w:r>
          </w:p>
        </w:tc>
        <w:tc>
          <w:tcPr>
            <w:tcW w:type="dxa" w:w="3178"/>
          </w:tcPr>
          <w:p>
            <w:pPr>
              <w:pStyle w:val="null3"/>
            </w:pPr>
            <w:r>
              <w:rPr/>
              <w:t>如出现投标报价错误的处理原则修正后的报价,投标供应商按规定书面确认。</w:t>
            </w:r>
          </w:p>
        </w:tc>
        <w:tc>
          <w:tcPr>
            <w:tcW w:type="dxa" w:w="4238"/>
          </w:tcPr>
          <w:p>
            <w:pPr>
              <w:pStyle w:val="null3"/>
            </w:pPr>
            <w:r>
              <w:rPr/>
              <w:t>如出现投标报价错误的处理原则修正后的报价,投标供应商按规定书面确认。</w:t>
            </w:r>
          </w:p>
        </w:tc>
      </w:tr>
      <w:tr>
        <w:tc>
          <w:tcPr>
            <w:tcW w:type="dxa" w:w="890"/>
          </w:tcPr>
          <w:p>
            <w:pPr>
              <w:pStyle w:val="null3"/>
            </w:pPr>
            <w:r>
              <w:rPr/>
              <w:t>8</w:t>
            </w:r>
          </w:p>
        </w:tc>
        <w:tc>
          <w:tcPr>
            <w:tcW w:type="dxa" w:w="3178"/>
          </w:tcPr>
          <w:p>
            <w:pPr>
              <w:pStyle w:val="null3"/>
            </w:pPr>
            <w:r>
              <w:rPr/>
              <w:t>未出现视为投标供应商串标投标所列的情形。</w:t>
            </w:r>
          </w:p>
        </w:tc>
        <w:tc>
          <w:tcPr>
            <w:tcW w:type="dxa" w:w="4238"/>
          </w:tcPr>
          <w:p>
            <w:pPr>
              <w:pStyle w:val="null3"/>
            </w:pPr>
            <w:r>
              <w:rPr/>
              <w:t>未出现视为投标供应商串标投标所列的情形。</w:t>
            </w:r>
          </w:p>
        </w:tc>
      </w:tr>
      <w:tr>
        <w:tc>
          <w:tcPr>
            <w:tcW w:type="dxa" w:w="890"/>
          </w:tcPr>
          <w:p>
            <w:pPr>
              <w:pStyle w:val="null3"/>
            </w:pPr>
            <w:r>
              <w:rPr/>
              <w:t>9</w:t>
            </w:r>
          </w:p>
        </w:tc>
        <w:tc>
          <w:tcPr>
            <w:tcW w:type="dxa" w:w="3178"/>
          </w:tcPr>
          <w:p>
            <w:pPr>
              <w:pStyle w:val="null3"/>
            </w:pPr>
            <w:r>
              <w:rPr/>
              <w:t>投标文件未含有采购人不可接受的附加条件。</w:t>
            </w:r>
          </w:p>
        </w:tc>
        <w:tc>
          <w:tcPr>
            <w:tcW w:type="dxa" w:w="4238"/>
          </w:tcPr>
          <w:p>
            <w:pPr>
              <w:pStyle w:val="null3"/>
            </w:pPr>
            <w:r>
              <w:rPr/>
              <w:t>投标文件未含有采购人不可接受的附加条件。</w:t>
            </w:r>
          </w:p>
        </w:tc>
      </w:tr>
      <w:tr>
        <w:tc>
          <w:tcPr>
            <w:tcW w:type="dxa" w:w="890"/>
          </w:tcPr>
          <w:p>
            <w:pPr>
              <w:pStyle w:val="null3"/>
            </w:pPr>
            <w:r>
              <w:rPr/>
              <w:t>10</w:t>
            </w:r>
          </w:p>
        </w:tc>
        <w:tc>
          <w:tcPr>
            <w:tcW w:type="dxa" w:w="3178"/>
          </w:tcPr>
          <w:p>
            <w:pPr>
              <w:pStyle w:val="null3"/>
            </w:pPr>
            <w:r>
              <w:rPr/>
              <w:t>如果评标委员会认为投标供应商的报价明显低于其他通过符合性审查投标供应商的报价，有可能影响产品质量或者不能诚信履约的，将要求其在评标现场合理的时间内提供书面说明，必要时提交相关证明材料；投标供应商应能证明其报价合理性。</w:t>
            </w:r>
          </w:p>
        </w:tc>
        <w:tc>
          <w:tcPr>
            <w:tcW w:type="dxa" w:w="4238"/>
          </w:tcPr>
          <w:p>
            <w:pPr>
              <w:pStyle w:val="null3"/>
            </w:pPr>
            <w:r>
              <w:rPr/>
              <w:t>如果评标委员会认为投标供应商的报价明显低于其他通过符合性审查投标供应商的报价，有可能影响产品质量或者不能诚信履约的，将要求其在评标现场合理的时间内提供书面说明，必要时提交相关证明材料；投标供应商应能证明其报价合理性。</w:t>
            </w:r>
          </w:p>
        </w:tc>
      </w:tr>
      <w:tr>
        <w:tc>
          <w:tcPr>
            <w:tcW w:type="dxa" w:w="890"/>
          </w:tcPr>
          <w:p>
            <w:pPr>
              <w:pStyle w:val="null3"/>
            </w:pPr>
            <w:r>
              <w:rPr/>
              <w:t>11</w:t>
            </w:r>
          </w:p>
        </w:tc>
        <w:tc>
          <w:tcPr>
            <w:tcW w:type="dxa" w:w="3178"/>
          </w:tcPr>
          <w:p>
            <w:pPr>
              <w:pStyle w:val="null3"/>
            </w:pPr>
            <w:r>
              <w:rPr/>
              <w:t>未以联合体形式投标。</w:t>
            </w:r>
          </w:p>
        </w:tc>
        <w:tc>
          <w:tcPr>
            <w:tcW w:type="dxa" w:w="4238"/>
          </w:tcPr>
          <w:p>
            <w:pPr>
              <w:pStyle w:val="null3"/>
            </w:pPr>
            <w:r>
              <w:rPr/>
              <w:t>未以联合体形式投标。</w:t>
            </w:r>
          </w:p>
        </w:tc>
      </w:tr>
      <w:tr>
        <w:tc>
          <w:tcPr>
            <w:tcW w:type="dxa" w:w="890"/>
          </w:tcPr>
          <w:p>
            <w:pPr>
              <w:pStyle w:val="null3"/>
            </w:pPr>
            <w:r>
              <w:rPr/>
              <w:t>12</w:t>
            </w:r>
          </w:p>
        </w:tc>
        <w:tc>
          <w:tcPr>
            <w:tcW w:type="dxa" w:w="3178"/>
          </w:tcPr>
          <w:p>
            <w:pPr>
              <w:pStyle w:val="null3"/>
            </w:pPr>
            <w:r>
              <w:rPr/>
              <w:t>采购文件不接受进口产品响应的产品，供应商所投产品非进口产品。</w:t>
            </w:r>
          </w:p>
        </w:tc>
        <w:tc>
          <w:tcPr>
            <w:tcW w:type="dxa" w:w="4238"/>
          </w:tcPr>
          <w:p>
            <w:pPr>
              <w:pStyle w:val="null3"/>
            </w:pPr>
            <w:r>
              <w:rPr/>
              <w:t>采购文件不接受进口产品响应的产品，供应商所投产品非进口产品。</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采购包1(广东卫视4K超高清频道播出系统建设项目（标段3：视音频播出通道系统）):</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商务部分10.0分</w:t>
            </w:r>
          </w:p>
          <w:p>
            <w:pPr>
              <w:pStyle w:val="null3"/>
            </w:pPr>
            <w:r>
              <w:rPr/>
              <w:t>技术部分50.0分</w:t>
            </w:r>
          </w:p>
          <w:p>
            <w:pPr>
              <w:pStyle w:val="null3"/>
            </w:pPr>
            <w:r>
              <w:rPr/>
              <w:t>报价得分40.0分</w:t>
            </w:r>
          </w:p>
        </w:tc>
      </w:tr>
      <w:tr>
        <w:tc>
          <w:tcPr>
            <w:tcW w:type="dxa" w:w="922"/>
            <w:gridSpan w:val="2"/>
            <w:vMerge w:val="restart"/>
          </w:tcPr>
          <w:p>
            <w:pPr>
              <w:pStyle w:val="null3"/>
              <w:jc w:val="center"/>
            </w:pPr>
            <w:r>
              <w:rPr/>
              <w:t>技术部分</w:t>
            </w:r>
          </w:p>
        </w:tc>
        <w:tc>
          <w:tcPr>
            <w:tcW w:type="dxa" w:w="2307"/>
          </w:tcPr>
          <w:p>
            <w:pPr>
              <w:pStyle w:val="null3"/>
              <w:jc w:val="left"/>
            </w:pPr>
            <w:r>
              <w:rPr/>
              <w:t>重要参数响应 (28.5分)</w:t>
            </w:r>
          </w:p>
        </w:tc>
        <w:tc>
          <w:tcPr>
            <w:tcW w:type="dxa" w:w="5076"/>
          </w:tcPr>
          <w:p>
            <w:pPr>
              <w:pStyle w:val="null3"/>
              <w:jc w:val="left"/>
            </w:pPr>
            <w:r>
              <w:rPr/>
              <w:t>重要参数（▲条款，共19个）每有一个满足得1.5分，共28.5分。 说明：如用户需求书▲条款中有明确要求提供证明资料的，则以采购需求中要求的为准，无提供或未按要求提供证明材料的不得分；如用户需求中无明确证明材料的，投标人需提供以下任一材料:①提供具备 CMA 或 CNAS标志的检测报告复印件;②)提供产品制造商官网相应功能截图，同时提供官网链接地址;③制造商产品说明书或使用手册，或制造厂商公开发布的产品功能介绍资料;④产品对应功能的照片或产品功能操作界面图片。建议在相应指标作出标记并注明针对的参数（例如用红色方框标记），避免漏评风险。投标人无提供或未按要求提供证明材料的不得分。</w:t>
            </w:r>
          </w:p>
        </w:tc>
      </w:tr>
      <w:tr>
        <w:tc>
          <w:tcPr>
            <w:tcW w:type="dxa" w:w="922"/>
            <w:gridSpan w:val="2"/>
            <w:vMerge/>
          </w:tcPr>
          <w:p/>
        </w:tc>
        <w:tc>
          <w:tcPr>
            <w:tcW w:type="dxa" w:w="2307"/>
          </w:tcPr>
          <w:p>
            <w:pPr>
              <w:pStyle w:val="null3"/>
              <w:jc w:val="left"/>
            </w:pPr>
            <w:r>
              <w:rPr/>
              <w:t>一般参数响应 (15.0分)</w:t>
            </w:r>
          </w:p>
        </w:tc>
        <w:tc>
          <w:tcPr>
            <w:tcW w:type="dxa" w:w="5076"/>
          </w:tcPr>
          <w:p>
            <w:pPr>
              <w:pStyle w:val="null3"/>
              <w:jc w:val="left"/>
            </w:pPr>
            <w:r>
              <w:rPr/>
              <w:t>本项对非▲非★条款（详见“五、技术要求”中“3. 技术需求表”）的产品技术参数进行打分。 (1) 1.1 4K垫片系统完全满足技术参数要求的，得1分，否则得0分； (2) 2.1 4K SDI播出切换设备完全满足技术参数要求的，得1分，否则得0分； (3) 2.2.2 4K格式转换器完全满足技术参数要求的，得1分，否则得0分； (4) 2.2.1 4K播出调度矩阵完全满足技术参数要求的，得0.5分，否则得0分； (5) 2.3 4K信号4x1静净倒换器完全满足技术参数要求的，得1分，否则得0分； (6) 2.4.1 4K视频分配器（带旁通）完全满足技术参数要求的，得0.5分，否则得0分； (7) 2.4.2 4K视频分配器完全满足技术参数要求的，得0.5分，否则得0分； (8) 2.5.1 主4K/HD上下变换器完全满足技术参数要求的，得1分，否则得0分； (9) 2.5.2 4K/HD上下变换器完全满足技术参数要求的，得0.5分，否则得0分； (10) 2.6.1 主12G/IP信号网关完全满足技术参数要求的，得1分，否则得0分； (11) 2.6.2 备12G/IP信号网关完全满足技术参数要求的，得0.5分，否则得0分； (12) 2.7 模拟视分完全满足技术参数要求的，得0.5分，否则得0分； (13) 2.8 跳线架完全满足技术参数要求的，得0.5分，否则得0分； (14) 3.1 24寸桌面4K技术监视器完全满足技术参数要求的，得0.5分，否则得0分； (15) 3.2 四联超高清监视器完全满足技术参数要求的，得0.5分，否则得0分； (16) 3.3 双联超高清监视器完全满足技术参数要求的，得0.5分，否则得0分； (17) 3.4 4K多画面系统完全满足技术参数要求的，得1分，否则得0分； (18) 3.5 Tally系统完全满足技术参数要求的，得1分，否则得0分； (19) 3.6 85寸广电级HDR电视墙完全满足技术参数要求的，得0.5分，否则得0分； (20) 3.7 技术指标监测平台完全满足技术参数要求的，得1分，否则得0分； (21) 3.8 IP/SDI技术监听器完全满足技术参数要求的，得0.5分，否则得0分；。 （1）-（21）注：如采购需求中有明确要求提供的证明资料，则以采购需求中要求的为准，无提供或未按要求提供证明材料的不得分；如用户需求中无明确证明材料的，以投标人投标文件中的《技术服务参数响应表》中的投标人填写的“是否偏离”为准，未填写或未响应的视为负偏离。</w:t>
            </w:r>
          </w:p>
        </w:tc>
      </w:tr>
      <w:tr>
        <w:tc>
          <w:tcPr>
            <w:tcW w:type="dxa" w:w="922"/>
            <w:gridSpan w:val="2"/>
            <w:vMerge/>
          </w:tcPr>
          <w:p/>
        </w:tc>
        <w:tc>
          <w:tcPr>
            <w:tcW w:type="dxa" w:w="2307"/>
          </w:tcPr>
          <w:p>
            <w:pPr>
              <w:pStyle w:val="null3"/>
              <w:jc w:val="left"/>
            </w:pPr>
            <w:r>
              <w:rPr/>
              <w:t>关键设备指标 (1.5分)</w:t>
            </w:r>
          </w:p>
        </w:tc>
        <w:tc>
          <w:tcPr>
            <w:tcW w:type="dxa" w:w="5076"/>
          </w:tcPr>
          <w:p>
            <w:pPr>
              <w:pStyle w:val="null3"/>
              <w:jc w:val="left"/>
            </w:pPr>
            <w:r>
              <w:rPr/>
              <w:t>对“2.3 4K信号4x1静净倒换器”设备断电旁通时所提供“保留当前所选择的信号源直出”的输入路数评分: (1)提供的路数大于等于3路，得1.5分； (2)提供的路数等于2路，得1分； (3)其他，得0分。 提供以下任一材料:①提供具备 CMA 或 CNAS标志的检测报告复印件;②)提供产品制造商官网相应功能截图，同时提供官网链接地址;③制造商产品说明书或使用手册，或制造厂商公开发布的产品功能介绍资料;④产品对应功能的照片或产品功能操作界面图片。</w:t>
            </w:r>
          </w:p>
        </w:tc>
      </w:tr>
      <w:tr>
        <w:tc>
          <w:tcPr>
            <w:tcW w:type="dxa" w:w="922"/>
            <w:gridSpan w:val="2"/>
            <w:vMerge/>
          </w:tcPr>
          <w:p/>
        </w:tc>
        <w:tc>
          <w:tcPr>
            <w:tcW w:type="dxa" w:w="2307"/>
          </w:tcPr>
          <w:p>
            <w:pPr>
              <w:pStyle w:val="null3"/>
              <w:jc w:val="left"/>
            </w:pPr>
            <w:r>
              <w:rPr/>
              <w:t>灾备方案 (2.0分)</w:t>
            </w:r>
            <w:r>
              <w:rPr/>
              <w:t>，（等次分值选择：</w:t>
            </w:r>
            <w:r>
              <w:rPr/>
              <w:t>0.0;</w:t>
            </w:r>
            <w:r>
              <w:rPr/>
              <w:t>0.5;</w:t>
            </w:r>
            <w:r>
              <w:rPr/>
              <w:t>2.0;</w:t>
            </w:r>
            <w:r>
              <w:rPr/>
              <w:t>）</w:t>
            </w:r>
          </w:p>
        </w:tc>
        <w:tc>
          <w:tcPr>
            <w:tcW w:type="dxa" w:w="5076"/>
          </w:tcPr>
          <w:p>
            <w:pPr>
              <w:pStyle w:val="null3"/>
              <w:jc w:val="left"/>
            </w:pPr>
            <w:r>
              <w:rPr/>
              <w:t>根据用户需求书的“五、技术要求”中“4.多画面系统灾备服务”的要求，对投标人提供的方案进行评价： (1) 方案完全满足或优于项目要求的，得2分； (2) 方案不完全满足项目要求的，得0.5分； (3) 未提供或其他不得分。</w:t>
            </w:r>
          </w:p>
        </w:tc>
      </w:tr>
      <w:tr>
        <w:tc>
          <w:tcPr>
            <w:tcW w:type="dxa" w:w="922"/>
            <w:gridSpan w:val="2"/>
            <w:vMerge/>
          </w:tcPr>
          <w:p/>
        </w:tc>
        <w:tc>
          <w:tcPr>
            <w:tcW w:type="dxa" w:w="2307"/>
          </w:tcPr>
          <w:p>
            <w:pPr>
              <w:pStyle w:val="null3"/>
              <w:jc w:val="left"/>
            </w:pPr>
            <w:r>
              <w:rPr/>
              <w:t>调试方案 (3.0分)</w:t>
            </w:r>
            <w:r>
              <w:rPr/>
              <w:t>，（等次分值选择：</w:t>
            </w:r>
            <w:r>
              <w:rPr/>
              <w:t>0.0;</w:t>
            </w:r>
            <w:r>
              <w:rPr/>
              <w:t>1.0;</w:t>
            </w:r>
            <w:r>
              <w:rPr/>
              <w:t>2.0;</w:t>
            </w:r>
            <w:r>
              <w:rPr/>
              <w:t>3.0;</w:t>
            </w:r>
            <w:r>
              <w:rPr/>
              <w:t>）</w:t>
            </w:r>
          </w:p>
        </w:tc>
        <w:tc>
          <w:tcPr>
            <w:tcW w:type="dxa" w:w="5076"/>
          </w:tcPr>
          <w:p>
            <w:pPr>
              <w:pStyle w:val="null3"/>
              <w:jc w:val="left"/>
            </w:pPr>
            <w:r>
              <w:rPr/>
              <w:t>根据用户需求第九点“设备调试”的要求，对投标人提供的方案进行评价： （1）方案完全满足且优于项目要求的，得3分； （2）方案完全满足项目要求的，得2分 （3）方案不完全满足项目要求的，得1分； （4）未提供或其他不得分。</w:t>
            </w:r>
          </w:p>
        </w:tc>
      </w:tr>
      <w:tr>
        <w:tc>
          <w:tcPr>
            <w:tcW w:type="dxa" w:w="922"/>
            <w:gridSpan w:val="2"/>
            <w:vMerge w:val="restart"/>
          </w:tcPr>
          <w:p>
            <w:pPr>
              <w:pStyle w:val="null3"/>
              <w:jc w:val="center"/>
            </w:pPr>
            <w:r>
              <w:rPr/>
              <w:t>商务部分</w:t>
            </w:r>
          </w:p>
        </w:tc>
        <w:tc>
          <w:tcPr>
            <w:tcW w:type="dxa" w:w="2307"/>
          </w:tcPr>
          <w:p>
            <w:pPr>
              <w:pStyle w:val="null3"/>
              <w:jc w:val="left"/>
            </w:pPr>
            <w:r>
              <w:rPr/>
              <w:t>售后服务1 (2.0分)</w:t>
            </w:r>
            <w:r>
              <w:rPr/>
              <w:t>，（等次分值选择：</w:t>
            </w:r>
            <w:r>
              <w:rPr/>
              <w:t>0.0;</w:t>
            </w:r>
            <w:r>
              <w:rPr/>
              <w:t>0.5;</w:t>
            </w:r>
            <w:r>
              <w:rPr/>
              <w:t>2.0;</w:t>
            </w:r>
            <w:r>
              <w:rPr/>
              <w:t>）</w:t>
            </w:r>
          </w:p>
        </w:tc>
        <w:tc>
          <w:tcPr>
            <w:tcW w:type="dxa" w:w="5076"/>
          </w:tcPr>
          <w:p>
            <w:pPr>
              <w:pStyle w:val="null3"/>
              <w:jc w:val="left"/>
            </w:pPr>
            <w:r>
              <w:rPr/>
              <w:t>（一）售后服务1 根据用户需求第七点“售后服务”的要求，对投标人提供的方案进行评价： (1) 方案完全满足或优于项目要求的，得2分； (2) 方案不完全满足项目要求的，得0.5分； (3) 未提供或其他不得分。</w:t>
            </w:r>
          </w:p>
        </w:tc>
      </w:tr>
      <w:tr>
        <w:tc>
          <w:tcPr>
            <w:tcW w:type="dxa" w:w="922"/>
            <w:gridSpan w:val="2"/>
            <w:vMerge/>
          </w:tcPr>
          <w:p/>
        </w:tc>
        <w:tc>
          <w:tcPr>
            <w:tcW w:type="dxa" w:w="2307"/>
          </w:tcPr>
          <w:p>
            <w:pPr>
              <w:pStyle w:val="null3"/>
              <w:jc w:val="left"/>
            </w:pPr>
            <w:r>
              <w:rPr/>
              <w:t>售后服务2 (2.0分)</w:t>
            </w:r>
          </w:p>
        </w:tc>
        <w:tc>
          <w:tcPr>
            <w:tcW w:type="dxa" w:w="5076"/>
          </w:tcPr>
          <w:p>
            <w:pPr>
              <w:pStyle w:val="null3"/>
              <w:jc w:val="left"/>
            </w:pPr>
            <w:r>
              <w:rPr/>
              <w:t>（二）售后服务2 在本项目要求至少提供三年售后质保服务，在此基础上，投标人每承诺增加1年质保得1分，最多得2分，不增加质保时间不得分。（提供承诺函，函中须清晰注明质保服务时间）</w:t>
            </w:r>
          </w:p>
        </w:tc>
      </w:tr>
      <w:tr>
        <w:tc>
          <w:tcPr>
            <w:tcW w:type="dxa" w:w="922"/>
            <w:gridSpan w:val="2"/>
            <w:vMerge/>
          </w:tcPr>
          <w:p/>
        </w:tc>
        <w:tc>
          <w:tcPr>
            <w:tcW w:type="dxa" w:w="2307"/>
          </w:tcPr>
          <w:p>
            <w:pPr>
              <w:pStyle w:val="null3"/>
              <w:jc w:val="left"/>
            </w:pPr>
            <w:r>
              <w:rPr/>
              <w:t>培训方案 (2.0分)</w:t>
            </w:r>
            <w:r>
              <w:rPr/>
              <w:t>，（等次分值选择：</w:t>
            </w:r>
            <w:r>
              <w:rPr/>
              <w:t>0.0;</w:t>
            </w:r>
            <w:r>
              <w:rPr/>
              <w:t>0.5;</w:t>
            </w:r>
            <w:r>
              <w:rPr/>
              <w:t>1.5;</w:t>
            </w:r>
            <w:r>
              <w:rPr/>
              <w:t>2.0;</w:t>
            </w:r>
            <w:r>
              <w:rPr/>
              <w:t>）</w:t>
            </w:r>
          </w:p>
        </w:tc>
        <w:tc>
          <w:tcPr>
            <w:tcW w:type="dxa" w:w="5076"/>
          </w:tcPr>
          <w:p>
            <w:pPr>
              <w:pStyle w:val="null3"/>
              <w:jc w:val="left"/>
            </w:pPr>
            <w:r>
              <w:rPr/>
              <w:t>根据用户需求书“八.培训服务”相关要求，对投标人提供的方案进行评价： （1）方案完全满足且优于项目要求的，得2分； （2）方案完全满足项目要求的，得1.5分 （3）方案不完全满足项目要求的，得0.5分； （4）未提供或其他不得分。</w:t>
            </w:r>
          </w:p>
        </w:tc>
      </w:tr>
      <w:tr>
        <w:tc>
          <w:tcPr>
            <w:tcW w:type="dxa" w:w="922"/>
            <w:gridSpan w:val="2"/>
            <w:vMerge/>
          </w:tcPr>
          <w:p/>
        </w:tc>
        <w:tc>
          <w:tcPr>
            <w:tcW w:type="dxa" w:w="2307"/>
          </w:tcPr>
          <w:p>
            <w:pPr>
              <w:pStyle w:val="null3"/>
              <w:jc w:val="left"/>
            </w:pPr>
            <w:r>
              <w:rPr/>
              <w:t>同类业绩1 (2.0分)</w:t>
            </w:r>
          </w:p>
        </w:tc>
        <w:tc>
          <w:tcPr>
            <w:tcW w:type="dxa" w:w="5076"/>
          </w:tcPr>
          <w:p>
            <w:pPr>
              <w:pStyle w:val="null3"/>
              <w:jc w:val="left"/>
            </w:pPr>
            <w:r>
              <w:rPr/>
              <w:t>(1) 自2020年1月1日（含）以来（以用户使用证明所描述的设备启用日期或合同签订日期为准），所投“2.1 4K SDI播出切换设备”有国内超高清电视播出频道实际应用案例，证明材料名称含“超高清播出”或“UHD播出”，提供用户使用证明（含用户名称，项目名称，产品系列）或提供合同清单和首页证明，提供1个得0.5分，最多得2分。</w:t>
            </w:r>
          </w:p>
        </w:tc>
      </w:tr>
      <w:tr>
        <w:tc>
          <w:tcPr>
            <w:tcW w:type="dxa" w:w="922"/>
            <w:gridSpan w:val="2"/>
            <w:vMerge/>
          </w:tcPr>
          <w:p/>
        </w:tc>
        <w:tc>
          <w:tcPr>
            <w:tcW w:type="dxa" w:w="2307"/>
          </w:tcPr>
          <w:p>
            <w:pPr>
              <w:pStyle w:val="null3"/>
              <w:jc w:val="left"/>
            </w:pPr>
            <w:r>
              <w:rPr/>
              <w:t>同类业绩2 (1.0分)</w:t>
            </w:r>
          </w:p>
        </w:tc>
        <w:tc>
          <w:tcPr>
            <w:tcW w:type="dxa" w:w="5076"/>
          </w:tcPr>
          <w:p>
            <w:pPr>
              <w:pStyle w:val="null3"/>
              <w:jc w:val="left"/>
            </w:pPr>
            <w:r>
              <w:rPr/>
              <w:t>(2) 自2020年1月1日（含）以来（以用户使用证明所描述的设备启用日期或合同签订日期为准），所投“2.5.1 主4K/HD上下变换器”有国内超高清电视播出频道实际应用案例，证明材料名称含“超高清播出”或“UHD播出”，提供用户使用证明（含用户名称，项目名称，产品系列）或提供合同清单和首页证明，提供1个得0.5分，最多得1分。</w:t>
            </w:r>
          </w:p>
        </w:tc>
      </w:tr>
      <w:tr>
        <w:tc>
          <w:tcPr>
            <w:tcW w:type="dxa" w:w="922"/>
            <w:gridSpan w:val="2"/>
            <w:vMerge/>
          </w:tcPr>
          <w:p/>
        </w:tc>
        <w:tc>
          <w:tcPr>
            <w:tcW w:type="dxa" w:w="2307"/>
          </w:tcPr>
          <w:p>
            <w:pPr>
              <w:pStyle w:val="null3"/>
              <w:jc w:val="left"/>
            </w:pPr>
            <w:r>
              <w:rPr/>
              <w:t>同类业绩3 (1.0分)</w:t>
            </w:r>
          </w:p>
        </w:tc>
        <w:tc>
          <w:tcPr>
            <w:tcW w:type="dxa" w:w="5076"/>
          </w:tcPr>
          <w:p>
            <w:pPr>
              <w:pStyle w:val="null3"/>
              <w:jc w:val="left"/>
            </w:pPr>
            <w:r>
              <w:rPr/>
              <w:t>(3) 自2020年1月1日（含）以来（以用户使用证明所描述的设备启用日期或合同签订日期为准），所投“2.6.1主12G/IP信号网关”有国内超高清电视播出频道实际应用案例，证明材料名称含“超高清播出”或“UHD播出”，提供用户使用证明（含用户名称，项目名称，产品系列）或提供合同清单和首页证明，提供1个得0.5分，最多得1分。</w:t>
            </w:r>
          </w:p>
        </w:tc>
      </w:tr>
      <w:tr>
        <w:tc>
          <w:tcPr>
            <w:tcW w:type="dxa" w:w="922"/>
            <w:gridSpan w:val="2"/>
          </w:tcPr>
          <w:p>
            <w:pPr>
              <w:pStyle w:val="null3"/>
              <w:jc w:val="center"/>
            </w:pPr>
            <w:r>
              <w:rPr/>
              <w:t>投标报价</w:t>
            </w:r>
          </w:p>
        </w:tc>
        <w:tc>
          <w:tcPr>
            <w:tcW w:type="dxa" w:w="2307"/>
          </w:tcPr>
          <w:p>
            <w:pPr>
              <w:pStyle w:val="null3"/>
              <w:jc w:val="left"/>
            </w:pPr>
            <w:r>
              <w:rPr/>
              <w:t>投标报价得分 (40.0分)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28"/>
        </w:rPr>
        <w:t>合同编号：粤广视合审【</w:t>
      </w:r>
      <w:r>
        <w:rPr>
          <w:sz w:val="20"/>
        </w:rPr>
        <w:t xml:space="preserve">      </w:t>
      </w:r>
      <w:r>
        <w:rPr>
          <w:sz w:val="28"/>
        </w:rPr>
        <w:t>】（</w:t>
      </w:r>
      <w:r>
        <w:rPr>
          <w:sz w:val="20"/>
        </w:rPr>
        <w:t xml:space="preserve">     </w:t>
      </w:r>
      <w:r>
        <w:rPr>
          <w:sz w:val="28"/>
        </w:rPr>
        <w:t>）号</w:t>
      </w:r>
    </w:p>
    <w:p>
      <w:pPr>
        <w:pStyle w:val="null3"/>
        <w:ind w:firstLine="560"/>
        <w:jc w:val="both"/>
      </w:pPr>
      <w:r>
        <w:rPr>
          <w:sz w:val="52"/>
          <w:b/>
        </w:rPr>
        <w:t>XXX</w:t>
      </w:r>
      <w:r>
        <w:rPr>
          <w:sz w:val="52"/>
          <w:b/>
        </w:rPr>
        <w:t>项目合同</w:t>
      </w:r>
    </w:p>
    <w:p>
      <w:pPr>
        <w:pStyle w:val="null3"/>
        <w:ind w:firstLine="560"/>
        <w:jc w:val="center"/>
      </w:pPr>
      <w:r>
        <w:rPr>
          <w:sz w:val="32"/>
        </w:rPr>
        <w:t>签约甲方：</w:t>
      </w:r>
    </w:p>
    <w:p>
      <w:pPr>
        <w:pStyle w:val="null3"/>
        <w:ind w:firstLine="960"/>
        <w:jc w:val="both"/>
      </w:pPr>
      <w:r>
        <w:rPr>
          <w:sz w:val="32"/>
        </w:rPr>
        <w:t>签约乙方：</w:t>
      </w:r>
    </w:p>
    <w:p>
      <w:pPr>
        <w:pStyle w:val="null3"/>
        <w:ind w:firstLine="960"/>
        <w:jc w:val="both"/>
      </w:pPr>
      <w:r>
        <w:rPr>
          <w:sz w:val="32"/>
        </w:rPr>
        <w:t>签约地点：广州市越秀区</w:t>
      </w:r>
    </w:p>
    <w:p>
      <w:pPr>
        <w:pStyle w:val="null3"/>
        <w:ind w:firstLine="960"/>
        <w:jc w:val="both"/>
      </w:pPr>
      <w:r>
        <w:rPr>
          <w:sz w:val="32"/>
        </w:rPr>
        <w:t>签订日期：</w:t>
      </w:r>
      <w:r>
        <w:rPr>
          <w:sz w:val="20"/>
        </w:rPr>
        <w:t xml:space="preserve">     </w:t>
      </w:r>
      <w:r>
        <w:rPr>
          <w:sz w:val="32"/>
        </w:rPr>
        <w:t>年</w:t>
      </w:r>
      <w:r>
        <w:rPr>
          <w:sz w:val="20"/>
        </w:rPr>
        <w:t xml:space="preserve">     </w:t>
      </w:r>
      <w:r>
        <w:rPr>
          <w:sz w:val="32"/>
        </w:rPr>
        <w:t>月</w:t>
      </w:r>
      <w:r>
        <w:rPr>
          <w:sz w:val="20"/>
        </w:rPr>
        <w:t xml:space="preserve">     </w:t>
      </w:r>
      <w:r>
        <w:rPr>
          <w:sz w:val="32"/>
        </w:rPr>
        <w:t>日</w:t>
      </w:r>
    </w:p>
    <w:p>
      <w:pPr>
        <w:pStyle w:val="null3"/>
        <w:ind w:firstLine="960"/>
        <w:jc w:val="both"/>
      </w:pPr>
      <w:r>
        <w:rPr>
          <w:sz w:val="24"/>
        </w:rPr>
        <w:t>买方</w:t>
      </w:r>
      <w:r>
        <w:rPr>
          <w:sz w:val="24"/>
        </w:rPr>
        <w:t>(</w:t>
      </w:r>
      <w:r>
        <w:rPr>
          <w:sz w:val="24"/>
        </w:rPr>
        <w:t>下称甲方</w:t>
      </w:r>
      <w:r>
        <w:rPr>
          <w:sz w:val="24"/>
        </w:rPr>
        <w:t>)</w:t>
      </w:r>
      <w:r>
        <w:rPr>
          <w:sz w:val="24"/>
        </w:rPr>
        <w:t>：广东广播电视台</w:t>
      </w:r>
    </w:p>
    <w:p>
      <w:pPr>
        <w:pStyle w:val="null3"/>
        <w:ind w:firstLine="480"/>
      </w:pPr>
      <w:r>
        <w:rPr>
          <w:sz w:val="24"/>
        </w:rPr>
        <w:t>住址：广州市越秀区环市东路</w:t>
      </w:r>
      <w:r>
        <w:rPr>
          <w:sz w:val="24"/>
        </w:rPr>
        <w:t>331</w:t>
      </w:r>
      <w:r>
        <w:rPr>
          <w:sz w:val="24"/>
        </w:rPr>
        <w:t>、</w:t>
      </w:r>
      <w:r>
        <w:rPr>
          <w:sz w:val="24"/>
        </w:rPr>
        <w:t>333</w:t>
      </w:r>
      <w:r>
        <w:rPr>
          <w:sz w:val="24"/>
        </w:rPr>
        <w:t>号自编</w:t>
      </w:r>
      <w:r>
        <w:rPr>
          <w:sz w:val="24"/>
        </w:rPr>
        <w:t>22</w:t>
      </w:r>
      <w:r>
        <w:rPr>
          <w:sz w:val="24"/>
        </w:rPr>
        <w:t>号</w:t>
      </w:r>
    </w:p>
    <w:p>
      <w:pPr>
        <w:pStyle w:val="null3"/>
        <w:ind w:firstLine="480"/>
      </w:pPr>
      <w:r>
        <w:rPr>
          <w:sz w:val="24"/>
        </w:rPr>
        <w:t>法定代表人：蔡伏青</w:t>
      </w:r>
    </w:p>
    <w:p>
      <w:pPr>
        <w:pStyle w:val="null3"/>
        <w:ind w:firstLine="480"/>
      </w:pPr>
      <w:r>
        <w:rPr>
          <w:sz w:val="24"/>
        </w:rPr>
        <w:t>职务：台长</w:t>
      </w:r>
    </w:p>
    <w:p>
      <w:pPr>
        <w:pStyle w:val="null3"/>
        <w:ind w:firstLine="480"/>
      </w:pPr>
      <w:r>
        <w:rPr>
          <w:sz w:val="24"/>
        </w:rPr>
        <w:t>卖方</w:t>
      </w:r>
      <w:r>
        <w:rPr>
          <w:sz w:val="24"/>
        </w:rPr>
        <w:t>(</w:t>
      </w:r>
      <w:r>
        <w:rPr>
          <w:sz w:val="24"/>
        </w:rPr>
        <w:t>下称乙方</w:t>
      </w:r>
      <w:r>
        <w:rPr>
          <w:sz w:val="24"/>
        </w:rPr>
        <w:t>)</w:t>
      </w:r>
      <w:r>
        <w:rPr>
          <w:sz w:val="24"/>
        </w:rPr>
        <w:t>：</w:t>
      </w:r>
    </w:p>
    <w:p>
      <w:pPr>
        <w:pStyle w:val="null3"/>
        <w:ind w:firstLine="480"/>
      </w:pPr>
      <w:r>
        <w:rPr>
          <w:sz w:val="24"/>
        </w:rPr>
        <w:t>住址：</w:t>
      </w:r>
    </w:p>
    <w:p>
      <w:pPr>
        <w:pStyle w:val="null3"/>
        <w:ind w:firstLine="480"/>
      </w:pPr>
      <w:r>
        <w:rPr>
          <w:sz w:val="24"/>
        </w:rPr>
        <w:t>法定代表人：</w:t>
      </w:r>
    </w:p>
    <w:p>
      <w:pPr>
        <w:pStyle w:val="null3"/>
        <w:ind w:firstLine="480"/>
      </w:pPr>
      <w:r>
        <w:rPr>
          <w:sz w:val="24"/>
        </w:rPr>
        <w:t>职务：</w:t>
      </w:r>
    </w:p>
    <w:p>
      <w:pPr>
        <w:pStyle w:val="null3"/>
        <w:ind w:firstLine="480"/>
      </w:pPr>
      <w:r>
        <w:rPr>
          <w:sz w:val="24"/>
        </w:rPr>
        <w:t>根据</w:t>
      </w:r>
      <w:r>
        <w:rPr>
          <w:sz w:val="24"/>
          <w:u w:val="single"/>
        </w:rPr>
        <w:t>XXX</w:t>
      </w:r>
      <w:r>
        <w:rPr>
          <w:sz w:val="24"/>
          <w:u w:val="single"/>
        </w:rPr>
        <w:t>项目（子包</w:t>
      </w:r>
      <w:r>
        <w:rPr>
          <w:sz w:val="24"/>
          <w:u w:val="single"/>
        </w:rPr>
        <w:t>1</w:t>
      </w:r>
      <w:r>
        <w:rPr>
          <w:sz w:val="24"/>
          <w:u w:val="single"/>
        </w:rPr>
        <w:t>）</w:t>
      </w:r>
      <w:r>
        <w:rPr>
          <w:sz w:val="24"/>
        </w:rPr>
        <w:t>（采购项目编号</w:t>
      </w:r>
      <w:r>
        <w:rPr>
          <w:sz w:val="24"/>
        </w:rPr>
        <w:t>:</w:t>
      </w:r>
      <w:r>
        <w:rPr>
          <w:sz w:val="24"/>
        </w:rPr>
        <w:t>）的采购结果，按照《中华人民共和国政府采购法》、《民法典》的相关规定，甲乙双方本着互惠互利、相互信任、相互支持、共同发展的原则，经协商一致，同意依据下列条款和条件签订此合同（以下简称</w:t>
      </w:r>
      <w:r>
        <w:rPr>
          <w:sz w:val="24"/>
        </w:rPr>
        <w:t>“</w:t>
      </w:r>
      <w:r>
        <w:rPr>
          <w:sz w:val="24"/>
        </w:rPr>
        <w:t>合同</w:t>
      </w:r>
      <w:r>
        <w:rPr>
          <w:sz w:val="24"/>
        </w:rPr>
        <w:t>”</w:t>
      </w:r>
      <w:r>
        <w:rPr>
          <w:sz w:val="24"/>
        </w:rPr>
        <w:t>）。</w:t>
      </w:r>
    </w:p>
    <w:p>
      <w:pPr>
        <w:pStyle w:val="null3"/>
        <w:ind w:firstLine="480"/>
        <w:jc w:val="center"/>
      </w:pPr>
      <w:r>
        <w:rPr>
          <w:sz w:val="24"/>
          <w:b/>
        </w:rPr>
        <w:t>第一条总则</w:t>
      </w:r>
    </w:p>
    <w:p>
      <w:pPr>
        <w:pStyle w:val="null3"/>
        <w:ind w:firstLine="480"/>
      </w:pPr>
      <w:r>
        <w:rPr>
          <w:sz w:val="24"/>
        </w:rPr>
        <w:t>1.1</w:t>
      </w:r>
      <w:r>
        <w:rPr>
          <w:sz w:val="24"/>
        </w:rPr>
        <w:t>根据甲方组织的公开招标结果，双方就甲方向乙方购买</w:t>
      </w:r>
      <w:r>
        <w:rPr>
          <w:sz w:val="24"/>
          <w:u w:val="single"/>
        </w:rPr>
        <w:t>XXX</w:t>
      </w:r>
      <w:r>
        <w:rPr>
          <w:sz w:val="24"/>
        </w:rPr>
        <w:t>签订本合同。乙方提供系统及设备，并负责安装、调试、测试、售后服务和其它技术服务。有关细节参见合同相关部分。</w:t>
      </w:r>
    </w:p>
    <w:p>
      <w:pPr>
        <w:pStyle w:val="null3"/>
        <w:ind w:firstLine="480"/>
      </w:pPr>
      <w:r>
        <w:rPr>
          <w:sz w:val="24"/>
        </w:rPr>
        <w:t>1.2</w:t>
      </w:r>
      <w:r>
        <w:rPr>
          <w:sz w:val="24"/>
        </w:rPr>
        <w:t>本合同与招标文件的要求、投标文件的确认以及招标过程中的承诺文件不能产生抵触，如有抵触条文或未涉及的部分，则以有利于甲方要求的文件为准。</w:t>
      </w:r>
    </w:p>
    <w:p>
      <w:pPr>
        <w:pStyle w:val="null3"/>
        <w:ind w:firstLine="480"/>
      </w:pPr>
      <w:r>
        <w:rPr>
          <w:sz w:val="24"/>
        </w:rPr>
        <w:t>1.3</w:t>
      </w:r>
      <w:r>
        <w:rPr>
          <w:sz w:val="24"/>
        </w:rPr>
        <w:t>双方同意附件中各项条款为合同不可分割的部分，若附件与合同正文有任何不一致，以有利于甲方要求的文件为准。</w:t>
      </w:r>
    </w:p>
    <w:p>
      <w:pPr>
        <w:pStyle w:val="null3"/>
        <w:ind w:firstLine="482"/>
        <w:jc w:val="center"/>
      </w:pPr>
      <w:r>
        <w:rPr>
          <w:sz w:val="24"/>
          <w:b/>
        </w:rPr>
        <w:t>第二条合同期及价格</w:t>
      </w:r>
    </w:p>
    <w:p>
      <w:pPr>
        <w:pStyle w:val="null3"/>
        <w:ind w:firstLine="480"/>
        <w:jc w:val="both"/>
      </w:pPr>
      <w:r>
        <w:rPr>
          <w:sz w:val="24"/>
        </w:rPr>
        <w:t>2.1</w:t>
      </w:r>
      <w:r>
        <w:rPr>
          <w:sz w:val="24"/>
        </w:rPr>
        <w:t>合同履约期限：本合同履行期限自合同签订生效之日起至售后服务期满之日止。具体为：</w:t>
      </w:r>
      <w:r>
        <w:rPr>
          <w:sz w:val="24"/>
        </w:rPr>
        <w:t>1</w:t>
      </w:r>
      <w:r>
        <w:rPr>
          <w:sz w:val="24"/>
        </w:rPr>
        <w:t>、交货及系统集成验收期。具体交付时间及验收见设备交货及系统集成及验收条款约定。</w:t>
      </w:r>
      <w:r>
        <w:rPr>
          <w:sz w:val="24"/>
        </w:rPr>
        <w:t>2</w:t>
      </w:r>
      <w:r>
        <w:rPr>
          <w:sz w:val="24"/>
        </w:rPr>
        <w:t>、售后服务期限。自最终验收合格之日</w:t>
      </w:r>
      <w:r>
        <w:rPr>
          <w:sz w:val="21"/>
        </w:rPr>
        <w:t xml:space="preserve">  </w:t>
      </w:r>
      <w:r>
        <w:rPr>
          <w:sz w:val="24"/>
        </w:rPr>
        <w:t>年内。乙方应提供免费维修、技术支持和配件更换等服务。具体服务内容见相关售后服务条款约定。</w:t>
      </w:r>
    </w:p>
    <w:p>
      <w:pPr>
        <w:pStyle w:val="null3"/>
        <w:ind w:firstLine="480"/>
      </w:pPr>
      <w:r>
        <w:rPr>
          <w:sz w:val="24"/>
        </w:rPr>
        <w:t>2.2</w:t>
      </w:r>
      <w:r>
        <w:rPr>
          <w:sz w:val="24"/>
        </w:rPr>
        <w:t>甲方所购系统及设备型号、名称、规格、数量、产地、详细参数、质保期及价格清单等详见附件一（货物名称内容必须与投标文件中货物名称内容一致），售后服务承诺书见附件二。</w:t>
      </w:r>
    </w:p>
    <w:p>
      <w:pPr>
        <w:pStyle w:val="null3"/>
        <w:ind w:firstLine="480"/>
      </w:pPr>
      <w:r>
        <w:rPr>
          <w:sz w:val="24"/>
        </w:rPr>
        <w:t>2.3</w:t>
      </w:r>
      <w:r>
        <w:rPr>
          <w:sz w:val="24"/>
        </w:rPr>
        <w:t>本合同总价为：人民币元整（￥</w:t>
      </w:r>
      <w:r>
        <w:rPr>
          <w:sz w:val="24"/>
          <w:u w:val="single"/>
        </w:rPr>
        <w:t xml:space="preserve">    .00</w:t>
      </w:r>
      <w:r>
        <w:rPr>
          <w:sz w:val="24"/>
        </w:rPr>
        <w:t>）。本合同所涉系统及设备价格包括设备、乙方设计、安装、随机零配件、标配工具、运输、保险、调试、系统集成、试运行、验收、质保期服务、各项税费及合同实施过程中不可预见费用等。上述单价为确定价格并不可更改，乙方在确定以上价格时已经充分考虑了本合同履行过程中的价格风险，因此，在本合同执行期间内，无论人工、材料、运输等价格如何变化及订购数量如何增减，本合同约定的单价均不作任何调整。</w:t>
      </w:r>
    </w:p>
    <w:p>
      <w:pPr>
        <w:pStyle w:val="null3"/>
        <w:ind w:firstLine="482"/>
        <w:jc w:val="center"/>
      </w:pPr>
      <w:r>
        <w:rPr>
          <w:sz w:val="24"/>
          <w:b/>
        </w:rPr>
        <w:t>第三条付款方式</w:t>
      </w:r>
    </w:p>
    <w:p>
      <w:pPr>
        <w:pStyle w:val="null3"/>
        <w:ind w:firstLine="480"/>
      </w:pPr>
      <w:r>
        <w:rPr>
          <w:sz w:val="24"/>
        </w:rPr>
        <w:t>3.1</w:t>
      </w:r>
      <w:r>
        <w:rPr>
          <w:sz w:val="24"/>
        </w:rPr>
        <w:t>付款方式：</w:t>
      </w:r>
    </w:p>
    <w:p>
      <w:pPr>
        <w:pStyle w:val="null3"/>
        <w:ind w:firstLine="480"/>
      </w:pPr>
      <w:r>
        <w:rPr>
          <w:sz w:val="24"/>
        </w:rPr>
        <w:t>3.1.1</w:t>
      </w:r>
      <w:r>
        <w:rPr>
          <w:sz w:val="24"/>
        </w:rPr>
        <w:t>合同生效后</w:t>
      </w:r>
      <w:r>
        <w:rPr>
          <w:sz w:val="24"/>
        </w:rPr>
        <w:t>10</w:t>
      </w:r>
      <w:r>
        <w:rPr>
          <w:sz w:val="24"/>
        </w:rPr>
        <w:t>个工作日内，甲方向乙方支付合同总价的</w:t>
      </w:r>
      <w:r>
        <w:rPr>
          <w:sz w:val="24"/>
        </w:rPr>
        <w:t>30%</w:t>
      </w:r>
      <w:r>
        <w:rPr>
          <w:sz w:val="24"/>
        </w:rPr>
        <w:t>，即人民币</w:t>
      </w:r>
      <w:r>
        <w:rPr>
          <w:sz w:val="24"/>
        </w:rPr>
        <w:t>xx</w:t>
      </w:r>
      <w:r>
        <w:rPr>
          <w:sz w:val="24"/>
        </w:rPr>
        <w:t>元整（￥</w:t>
      </w:r>
      <w:r>
        <w:rPr>
          <w:sz w:val="24"/>
        </w:rPr>
        <w:t>xx</w:t>
      </w:r>
      <w:r>
        <w:rPr>
          <w:sz w:val="24"/>
        </w:rPr>
        <w:t>）。</w:t>
      </w:r>
    </w:p>
    <w:p>
      <w:pPr>
        <w:pStyle w:val="null3"/>
        <w:ind w:firstLine="480"/>
      </w:pPr>
      <w:r>
        <w:rPr>
          <w:sz w:val="24"/>
        </w:rPr>
        <w:t>3.1.2</w:t>
      </w:r>
      <w:r>
        <w:rPr>
          <w:sz w:val="24"/>
        </w:rPr>
        <w:t>乙方收到合同首期款后</w:t>
      </w:r>
      <w:r>
        <w:rPr>
          <w:sz w:val="24"/>
        </w:rPr>
        <w:t>10</w:t>
      </w:r>
      <w:r>
        <w:rPr>
          <w:sz w:val="24"/>
        </w:rPr>
        <w:t>个工作日内，向甲方提交金额为本合同总额</w:t>
      </w:r>
      <w:r>
        <w:rPr>
          <w:sz w:val="24"/>
        </w:rPr>
        <w:t>5%</w:t>
      </w:r>
      <w:r>
        <w:rPr>
          <w:sz w:val="24"/>
        </w:rPr>
        <w:t>的履约保证金。在系统及设备最终验收合格，合同全部履行完毕且乙方不存在违约情形的</w:t>
      </w:r>
      <w:r>
        <w:rPr>
          <w:sz w:val="24"/>
        </w:rPr>
        <w:t>10</w:t>
      </w:r>
      <w:r>
        <w:rPr>
          <w:sz w:val="24"/>
        </w:rPr>
        <w:t>个工作日内甲方无息退还履约保证金。乙方应在约定时间内提交履约保证金，否则甲方有权延期支付应付未付的款项。</w:t>
      </w:r>
      <w:r>
        <w:rPr>
          <w:sz w:val="21"/>
        </w:rPr>
        <w:t>（履约保证金的退还按法律规定处理。采购人无正当理由逾期退还履约保证金，导致供应商权益受损的，采购人除应退还履约保证金外，应赔偿中标供应商的损失。）</w:t>
      </w:r>
    </w:p>
    <w:p>
      <w:pPr>
        <w:pStyle w:val="null3"/>
        <w:ind w:firstLine="480"/>
      </w:pPr>
      <w:r>
        <w:rPr>
          <w:sz w:val="24"/>
        </w:rPr>
        <w:t>3.1.3</w:t>
      </w:r>
      <w:r>
        <w:rPr>
          <w:sz w:val="24"/>
        </w:rPr>
        <w:t>乙方按时按质向甲方交付本合同及附件约定的全部系统及设备，完成安装调试和系统集成，经甲方初步验收合格后</w:t>
      </w:r>
      <w:r>
        <w:rPr>
          <w:sz w:val="24"/>
        </w:rPr>
        <w:t>10</w:t>
      </w:r>
      <w:r>
        <w:rPr>
          <w:sz w:val="24"/>
        </w:rPr>
        <w:t>个工作日内，甲方向乙方支付合同总价的</w:t>
      </w:r>
      <w:r>
        <w:rPr>
          <w:sz w:val="24"/>
        </w:rPr>
        <w:t>50%</w:t>
      </w:r>
      <w:r>
        <w:rPr>
          <w:sz w:val="24"/>
        </w:rPr>
        <w:t>，即人民币</w:t>
      </w:r>
      <w:r>
        <w:rPr>
          <w:sz w:val="24"/>
        </w:rPr>
        <w:t>xx</w:t>
      </w:r>
      <w:r>
        <w:rPr>
          <w:sz w:val="24"/>
        </w:rPr>
        <w:t>元整（</w:t>
      </w:r>
      <w:r>
        <w:rPr>
          <w:sz w:val="24"/>
        </w:rPr>
        <w:t>¥xx.xx</w:t>
      </w:r>
      <w:r>
        <w:rPr>
          <w:sz w:val="24"/>
        </w:rPr>
        <w:t>）。</w:t>
      </w:r>
    </w:p>
    <w:p>
      <w:pPr>
        <w:pStyle w:val="null3"/>
        <w:ind w:firstLine="480"/>
      </w:pPr>
      <w:r>
        <w:rPr>
          <w:sz w:val="24"/>
        </w:rPr>
        <w:t>3.1.4</w:t>
      </w:r>
      <w:r>
        <w:rPr>
          <w:sz w:val="24"/>
        </w:rPr>
        <w:t>广东卫视</w:t>
      </w:r>
      <w:r>
        <w:rPr>
          <w:sz w:val="24"/>
        </w:rPr>
        <w:t>4K</w:t>
      </w:r>
      <w:r>
        <w:rPr>
          <w:sz w:val="24"/>
        </w:rPr>
        <w:t>超高清播出系统建设项目整体经甲方最终验收合格后</w:t>
      </w:r>
      <w:r>
        <w:rPr>
          <w:sz w:val="24"/>
        </w:rPr>
        <w:t>10</w:t>
      </w:r>
      <w:r>
        <w:rPr>
          <w:sz w:val="24"/>
        </w:rPr>
        <w:t>个工作日内，甲方向乙方支付合同总价的</w:t>
      </w:r>
      <w:r>
        <w:rPr>
          <w:sz w:val="24"/>
        </w:rPr>
        <w:t>20%</w:t>
      </w:r>
      <w:r>
        <w:rPr>
          <w:sz w:val="24"/>
        </w:rPr>
        <w:t>，即人民币</w:t>
      </w:r>
      <w:r>
        <w:rPr>
          <w:sz w:val="24"/>
        </w:rPr>
        <w:t>xx</w:t>
      </w:r>
      <w:r>
        <w:rPr>
          <w:sz w:val="24"/>
        </w:rPr>
        <w:t>元整（</w:t>
      </w:r>
      <w:r>
        <w:rPr>
          <w:sz w:val="24"/>
        </w:rPr>
        <w:t>¥xx.xx</w:t>
      </w:r>
      <w:r>
        <w:rPr>
          <w:sz w:val="24"/>
        </w:rPr>
        <w:t>）。</w:t>
      </w:r>
    </w:p>
    <w:p>
      <w:pPr>
        <w:pStyle w:val="null3"/>
        <w:ind w:firstLine="480"/>
      </w:pPr>
      <w:r>
        <w:rPr>
          <w:sz w:val="24"/>
        </w:rPr>
        <w:t>3.2</w:t>
      </w:r>
      <w:r>
        <w:rPr>
          <w:sz w:val="24"/>
        </w:rPr>
        <w:t>乙方在甲方按照上述支付方式支付每笔款项前五个工作日，必须开具等额有效的增值税专用发票提供给甲方，否则甲方有权延期付款。</w:t>
      </w:r>
    </w:p>
    <w:p>
      <w:pPr>
        <w:pStyle w:val="null3"/>
        <w:ind w:firstLine="480"/>
      </w:pPr>
      <w:r>
        <w:rPr>
          <w:sz w:val="24"/>
        </w:rPr>
        <w:t>3.3</w:t>
      </w:r>
      <w:r>
        <w:rPr>
          <w:sz w:val="24"/>
          <w:b/>
        </w:rPr>
        <w:t>本合同为财政拨款方式支付，上述付款期限为甲方向上级部门和政府采购部门提交办理财政支付申请手续的期限（不含上级部门和政府财政部门审查的时间），最终付款时间以政府采购支付部门审批及实际支付时间为准。在上述付款期限内，甲方向上级部门和政府财政部门提交了办理财政支付申请手续的，即视为甲方履行了付款义务，乙方不得追究甲方逾期付款的违约责任。</w:t>
      </w:r>
    </w:p>
    <w:p>
      <w:pPr>
        <w:pStyle w:val="null3"/>
        <w:ind w:firstLine="480"/>
      </w:pPr>
      <w:r>
        <w:rPr>
          <w:sz w:val="24"/>
        </w:rPr>
        <w:t>3.4</w:t>
      </w:r>
      <w:r>
        <w:rPr>
          <w:sz w:val="24"/>
        </w:rPr>
        <w:t>根据本合同相关条款的规定，乙方若存在过错，则由乙方承担由此引发的一切法律责任和经济责任。乙方过错导致甲方损失的，甲方有权直接从本合同项下应付而未付给乙方的任何款项予以扣除，不足以扣除的，甲方有权继续向乙方追偿。</w:t>
      </w:r>
    </w:p>
    <w:p>
      <w:pPr>
        <w:pStyle w:val="null3"/>
        <w:ind w:firstLine="480"/>
      </w:pPr>
      <w:r>
        <w:rPr>
          <w:sz w:val="24"/>
        </w:rPr>
        <w:t>3.5</w:t>
      </w:r>
      <w:r>
        <w:rPr>
          <w:sz w:val="24"/>
        </w:rPr>
        <w:t>甲方开票信息为：</w:t>
      </w:r>
    </w:p>
    <w:p>
      <w:pPr>
        <w:pStyle w:val="null3"/>
        <w:ind w:firstLine="480"/>
      </w:pPr>
      <w:r>
        <w:rPr>
          <w:sz w:val="24"/>
        </w:rPr>
        <w:t>甲方开户名：广东广播电视台</w:t>
      </w:r>
    </w:p>
    <w:p>
      <w:pPr>
        <w:pStyle w:val="null3"/>
        <w:ind w:firstLine="480"/>
      </w:pPr>
      <w:r>
        <w:rPr>
          <w:sz w:val="24"/>
        </w:rPr>
        <w:t>纳税人识别号：</w:t>
      </w:r>
      <w:r>
        <w:rPr>
          <w:sz w:val="24"/>
        </w:rPr>
        <w:t>12440000315266663P</w:t>
      </w:r>
    </w:p>
    <w:p>
      <w:pPr>
        <w:pStyle w:val="null3"/>
        <w:ind w:firstLine="480"/>
        <w:jc w:val="both"/>
      </w:pPr>
      <w:r>
        <w:rPr>
          <w:sz w:val="24"/>
        </w:rPr>
        <w:t>地址：广州市越秀区环市东路</w:t>
      </w:r>
      <w:r>
        <w:rPr>
          <w:sz w:val="24"/>
        </w:rPr>
        <w:t>331</w:t>
      </w:r>
      <w:r>
        <w:rPr>
          <w:sz w:val="24"/>
        </w:rPr>
        <w:t>、</w:t>
      </w:r>
      <w:r>
        <w:rPr>
          <w:sz w:val="24"/>
        </w:rPr>
        <w:t>333</w:t>
      </w:r>
      <w:r>
        <w:rPr>
          <w:sz w:val="24"/>
        </w:rPr>
        <w:t>号自编</w:t>
      </w:r>
      <w:r>
        <w:rPr>
          <w:sz w:val="24"/>
        </w:rPr>
        <w:t>22</w:t>
      </w:r>
      <w:r>
        <w:rPr>
          <w:sz w:val="24"/>
        </w:rPr>
        <w:t>号</w:t>
      </w:r>
    </w:p>
    <w:p>
      <w:pPr>
        <w:pStyle w:val="null3"/>
        <w:ind w:firstLine="480"/>
      </w:pPr>
      <w:r>
        <w:rPr>
          <w:sz w:val="24"/>
        </w:rPr>
        <w:t>电话</w:t>
      </w:r>
      <w:r>
        <w:rPr>
          <w:sz w:val="24"/>
        </w:rPr>
        <w:t>:020-61293802</w:t>
      </w:r>
    </w:p>
    <w:p>
      <w:pPr>
        <w:pStyle w:val="null3"/>
        <w:ind w:firstLine="480"/>
      </w:pPr>
      <w:r>
        <w:rPr>
          <w:sz w:val="24"/>
        </w:rPr>
        <w:t>甲方银行账号：</w:t>
      </w:r>
      <w:r>
        <w:rPr>
          <w:sz w:val="24"/>
        </w:rPr>
        <w:t>441162903018170017932</w:t>
      </w:r>
    </w:p>
    <w:p>
      <w:pPr>
        <w:pStyle w:val="null3"/>
        <w:ind w:firstLine="480"/>
      </w:pPr>
      <w:r>
        <w:rPr>
          <w:sz w:val="24"/>
        </w:rPr>
        <w:t>甲方开户行：交通银行广州人民北支行</w:t>
      </w:r>
    </w:p>
    <w:p>
      <w:pPr>
        <w:pStyle w:val="null3"/>
        <w:ind w:firstLine="480"/>
      </w:pPr>
      <w:r>
        <w:rPr>
          <w:sz w:val="24"/>
        </w:rPr>
        <w:t>3.6</w:t>
      </w:r>
      <w:r>
        <w:rPr>
          <w:sz w:val="24"/>
        </w:rPr>
        <w:t>乙方账户信息如下：</w:t>
      </w:r>
    </w:p>
    <w:p>
      <w:pPr>
        <w:pStyle w:val="null3"/>
        <w:ind w:firstLine="480"/>
      </w:pPr>
      <w:r>
        <w:rPr>
          <w:sz w:val="24"/>
        </w:rPr>
        <w:t>开户名称：</w:t>
      </w:r>
    </w:p>
    <w:p>
      <w:pPr>
        <w:pStyle w:val="null3"/>
        <w:ind w:firstLine="480"/>
      </w:pPr>
      <w:r>
        <w:rPr>
          <w:sz w:val="24"/>
        </w:rPr>
        <w:t>开户银行：</w:t>
      </w:r>
    </w:p>
    <w:p>
      <w:pPr>
        <w:pStyle w:val="null3"/>
        <w:ind w:firstLine="480"/>
      </w:pPr>
      <w:r>
        <w:rPr>
          <w:sz w:val="24"/>
        </w:rPr>
        <w:t>银行账号：</w:t>
      </w:r>
    </w:p>
    <w:p>
      <w:pPr>
        <w:pStyle w:val="null3"/>
        <w:ind w:firstLine="482"/>
        <w:jc w:val="center"/>
      </w:pPr>
      <w:r>
        <w:rPr>
          <w:sz w:val="24"/>
          <w:b/>
        </w:rPr>
        <w:t>第四条交付、风险及包装</w:t>
      </w:r>
    </w:p>
    <w:p>
      <w:pPr>
        <w:pStyle w:val="null3"/>
        <w:ind w:firstLine="480"/>
      </w:pPr>
      <w:r>
        <w:rPr>
          <w:sz w:val="24"/>
        </w:rPr>
        <w:t>4.1</w:t>
      </w:r>
      <w:r>
        <w:rPr>
          <w:sz w:val="24"/>
        </w:rPr>
        <w:t>交付时间：系统及设备交付时间为合同生效后</w:t>
      </w:r>
      <w:r>
        <w:rPr>
          <w:sz w:val="24"/>
          <w:u w:val="single"/>
        </w:rPr>
        <w:t>30</w:t>
      </w:r>
      <w:r>
        <w:rPr>
          <w:sz w:val="24"/>
        </w:rPr>
        <w:t>日历天内。若甲方要求变更交付时间，应当提前</w:t>
      </w:r>
      <w:r>
        <w:rPr>
          <w:sz w:val="24"/>
          <w:u w:val="single"/>
        </w:rPr>
        <w:t>1</w:t>
      </w:r>
      <w:r>
        <w:rPr>
          <w:sz w:val="24"/>
        </w:rPr>
        <w:t>天书面通知乙方，乙方应当按照甲方通知的时间交付设备。</w:t>
      </w:r>
    </w:p>
    <w:p>
      <w:pPr>
        <w:pStyle w:val="null3"/>
        <w:ind w:firstLine="480"/>
      </w:pPr>
      <w:r>
        <w:rPr>
          <w:sz w:val="24"/>
        </w:rPr>
        <w:t>4.2</w:t>
      </w:r>
      <w:r>
        <w:rPr>
          <w:sz w:val="24"/>
        </w:rPr>
        <w:t>交付地点：</w:t>
      </w:r>
      <w:r>
        <w:rPr>
          <w:sz w:val="24"/>
          <w:u w:val="single"/>
        </w:rPr>
        <w:t>广州市越秀区环市东路</w:t>
      </w:r>
      <w:r>
        <w:rPr>
          <w:sz w:val="24"/>
          <w:u w:val="single"/>
        </w:rPr>
        <w:t>331</w:t>
      </w:r>
      <w:r>
        <w:rPr>
          <w:sz w:val="24"/>
          <w:u w:val="single"/>
        </w:rPr>
        <w:t>号</w:t>
      </w:r>
      <w:r>
        <w:rPr>
          <w:sz w:val="24"/>
        </w:rPr>
        <w:t>。</w:t>
      </w:r>
    </w:p>
    <w:p>
      <w:pPr>
        <w:pStyle w:val="null3"/>
        <w:ind w:firstLine="480"/>
      </w:pPr>
      <w:r>
        <w:rPr>
          <w:sz w:val="24"/>
        </w:rPr>
        <w:t>4.3</w:t>
      </w:r>
      <w:r>
        <w:rPr>
          <w:sz w:val="24"/>
        </w:rPr>
        <w:t>风险转移：</w:t>
      </w:r>
    </w:p>
    <w:p>
      <w:pPr>
        <w:pStyle w:val="null3"/>
        <w:ind w:firstLine="480"/>
      </w:pPr>
      <w:r>
        <w:rPr>
          <w:sz w:val="24"/>
        </w:rPr>
        <w:t>4.3.1</w:t>
      </w:r>
      <w:r>
        <w:rPr>
          <w:sz w:val="24"/>
        </w:rPr>
        <w:t>乙方交由承运人运输的在途系统及设备，毁损、灭失的风险由乙方承担。</w:t>
      </w:r>
    </w:p>
    <w:p>
      <w:pPr>
        <w:pStyle w:val="null3"/>
        <w:ind w:firstLine="480"/>
      </w:pPr>
      <w:r>
        <w:rPr>
          <w:sz w:val="24"/>
        </w:rPr>
        <w:t>4.3.2</w:t>
      </w:r>
      <w:r>
        <w:rPr>
          <w:sz w:val="24"/>
        </w:rPr>
        <w:t>系统及设备损坏、灭失的风险，在甲方验收合格后由乙方转移至甲方。</w:t>
      </w:r>
    </w:p>
    <w:p>
      <w:pPr>
        <w:pStyle w:val="null3"/>
        <w:ind w:firstLine="480"/>
      </w:pPr>
      <w:r>
        <w:rPr>
          <w:sz w:val="24"/>
        </w:rPr>
        <w:t xml:space="preserve">4.3.3 </w:t>
      </w:r>
      <w:r>
        <w:rPr>
          <w:sz w:val="24"/>
        </w:rPr>
        <w:t>因系统及设备验收不合格导致甲方拒收的，或双方解除合同，货物毁损、灭失的风险由乙方承担。</w:t>
      </w:r>
    </w:p>
    <w:p>
      <w:pPr>
        <w:pStyle w:val="null3"/>
        <w:ind w:firstLine="480"/>
      </w:pPr>
      <w:r>
        <w:rPr>
          <w:sz w:val="24"/>
        </w:rPr>
        <w:t>4.3.4</w:t>
      </w:r>
      <w:r>
        <w:rPr>
          <w:sz w:val="24"/>
        </w:rPr>
        <w:t>所有权和风险的转移，不影响因乙方不按本合同约定履行义务时，甲方要求其承担违约责任的权利。</w:t>
      </w:r>
    </w:p>
    <w:p>
      <w:pPr>
        <w:pStyle w:val="null3"/>
        <w:ind w:firstLine="480"/>
      </w:pPr>
      <w:r>
        <w:rPr>
          <w:sz w:val="24"/>
        </w:rPr>
        <w:t>4.3.5</w:t>
      </w:r>
      <w:r>
        <w:rPr>
          <w:sz w:val="24"/>
        </w:rPr>
        <w:t>甲方验收合格并不免除乙方对所供应系统及设备的质量保证责任。</w:t>
      </w:r>
    </w:p>
    <w:p>
      <w:pPr>
        <w:pStyle w:val="null3"/>
        <w:ind w:firstLine="480"/>
      </w:pPr>
      <w:r>
        <w:rPr>
          <w:sz w:val="24"/>
        </w:rPr>
        <w:t>4.3.6</w:t>
      </w:r>
      <w:r>
        <w:rPr>
          <w:sz w:val="24"/>
        </w:rPr>
        <w:t>产品损坏、灭失风险转移至甲方后，并不能免除乙方按本合同约定所应承担的系统及设备质量责任以及质保、维护的义务。</w:t>
      </w:r>
    </w:p>
    <w:p>
      <w:pPr>
        <w:pStyle w:val="null3"/>
        <w:ind w:firstLine="480"/>
      </w:pPr>
      <w:r>
        <w:rPr>
          <w:sz w:val="24"/>
        </w:rPr>
        <w:t>4.3.7</w:t>
      </w:r>
      <w:r>
        <w:rPr>
          <w:sz w:val="24"/>
        </w:rPr>
        <w:t>根据本合同关于产权与风险转移条款规定，乙方承担系统及设备到达交付地点并进行安装调试及最终验收合格交付使用之前的所有风险。因此，乙方应按合同总价的</w:t>
      </w:r>
      <w:r>
        <w:rPr>
          <w:sz w:val="24"/>
        </w:rPr>
        <w:t>110</w:t>
      </w:r>
      <w:r>
        <w:rPr>
          <w:sz w:val="24"/>
        </w:rPr>
        <w:t>％价值为系统及设备投保一切险、为派往甲方服务的人员投保人身险、为系统及设备通过最终验收交付使用前可能涉及的第三方投保相关险种，保险费用均由乙方负责。若乙方未投保或未足额投保，甲方不承担任何责任；由此造成甲方或其他第三方损失，乙方应予以赔偿。</w:t>
      </w:r>
    </w:p>
    <w:p>
      <w:pPr>
        <w:pStyle w:val="null3"/>
        <w:ind w:firstLine="480"/>
      </w:pPr>
      <w:r>
        <w:rPr>
          <w:sz w:val="24"/>
        </w:rPr>
        <w:t>4.4</w:t>
      </w:r>
      <w:r>
        <w:rPr>
          <w:sz w:val="24"/>
        </w:rPr>
        <w:t>包装：</w:t>
      </w:r>
    </w:p>
    <w:p>
      <w:pPr>
        <w:pStyle w:val="null3"/>
        <w:ind w:firstLine="480"/>
      </w:pPr>
      <w:r>
        <w:rPr>
          <w:sz w:val="24"/>
        </w:rPr>
        <w:t>4.4.1</w:t>
      </w:r>
      <w:r>
        <w:rPr>
          <w:sz w:val="24"/>
        </w:rPr>
        <w:t>包装必须与运输方式相适应，包装方式的确定及包装费用均由乙方负责；由于不适当的包装而造成系统及设备在运输过程中有任何损坏、灭失由乙方负责。</w:t>
      </w:r>
    </w:p>
    <w:p>
      <w:pPr>
        <w:pStyle w:val="null3"/>
        <w:ind w:firstLine="480"/>
      </w:pPr>
      <w:r>
        <w:rPr>
          <w:sz w:val="24"/>
        </w:rPr>
        <w:t>4.4.2</w:t>
      </w:r>
      <w:r>
        <w:rPr>
          <w:sz w:val="24"/>
        </w:rPr>
        <w:t>包装应足以承受整个过程中的运输、转运、装卸、储存等，充分考虑到运输途中的各种情况（如暴露于恶劣气候等），以及露天存放的需要。</w:t>
      </w:r>
    </w:p>
    <w:p>
      <w:pPr>
        <w:pStyle w:val="null3"/>
        <w:ind w:firstLine="480"/>
      </w:pPr>
      <w:r>
        <w:rPr>
          <w:sz w:val="24"/>
        </w:rPr>
        <w:t>4.4.3</w:t>
      </w:r>
      <w:r>
        <w:rPr>
          <w:sz w:val="24"/>
        </w:rPr>
        <w:t>包装费、运费已包含在合同价内。</w:t>
      </w:r>
    </w:p>
    <w:p>
      <w:pPr>
        <w:pStyle w:val="null3"/>
        <w:ind w:firstLine="482"/>
        <w:jc w:val="center"/>
      </w:pPr>
      <w:r>
        <w:rPr>
          <w:sz w:val="24"/>
          <w:b/>
        </w:rPr>
        <w:t>第五条设备交货及检验</w:t>
      </w:r>
    </w:p>
    <w:p>
      <w:pPr>
        <w:pStyle w:val="null3"/>
        <w:ind w:firstLine="480"/>
      </w:pPr>
      <w:r>
        <w:rPr>
          <w:sz w:val="24"/>
        </w:rPr>
        <w:t>5.1</w:t>
      </w:r>
      <w:r>
        <w:rPr>
          <w:sz w:val="24"/>
        </w:rPr>
        <w:t>乙方应向甲方提供由制造厂商出具的检验、测试记录，上述资料可作为质量保证证明。所有系统及设备检验、测试的费用均由乙方承担。</w:t>
      </w:r>
    </w:p>
    <w:p>
      <w:pPr>
        <w:pStyle w:val="null3"/>
        <w:ind w:firstLine="480"/>
      </w:pPr>
      <w:r>
        <w:rPr>
          <w:sz w:val="24"/>
        </w:rPr>
        <w:t>5.2</w:t>
      </w:r>
      <w:r>
        <w:rPr>
          <w:sz w:val="24"/>
        </w:rPr>
        <w:t>乙方提供的系统及设备的开箱检验，将由甲乙双方派代表在系统及设备到达交付地点后</w:t>
      </w:r>
      <w:r>
        <w:rPr>
          <w:sz w:val="24"/>
        </w:rPr>
        <w:t>7</w:t>
      </w:r>
      <w:r>
        <w:rPr>
          <w:sz w:val="24"/>
        </w:rPr>
        <w:t>个工作日内在安装现场共同进行。在进行开箱检验的过程中，如果系统及设备发生灭失、短少、缺损，或发现与合同约定不符的情况，除甲方自身原因外，在甲方发出更换或索赔要求之日起</w:t>
      </w:r>
      <w:r>
        <w:rPr>
          <w:sz w:val="24"/>
        </w:rPr>
        <w:t>30</w:t>
      </w:r>
      <w:r>
        <w:rPr>
          <w:sz w:val="24"/>
        </w:rPr>
        <w:t>个工作日内，乙方需免费提供更换或增补索赔系统及设备。</w:t>
      </w:r>
    </w:p>
    <w:p>
      <w:pPr>
        <w:pStyle w:val="null3"/>
        <w:ind w:firstLine="480"/>
      </w:pPr>
      <w:r>
        <w:rPr>
          <w:sz w:val="24"/>
        </w:rPr>
        <w:t>设备通电测试应单台进行，所有设备均应通电自检正常。</w:t>
      </w:r>
    </w:p>
    <w:p>
      <w:pPr>
        <w:pStyle w:val="null3"/>
        <w:ind w:firstLine="480"/>
      </w:pPr>
      <w:r>
        <w:rPr>
          <w:sz w:val="24"/>
        </w:rPr>
        <w:t>5.3</w:t>
      </w:r>
      <w:r>
        <w:rPr>
          <w:sz w:val="24"/>
        </w:rPr>
        <w:t>系统及设备交付要求</w:t>
      </w:r>
    </w:p>
    <w:p>
      <w:pPr>
        <w:pStyle w:val="null3"/>
        <w:ind w:firstLine="480"/>
      </w:pPr>
      <w:r>
        <w:rPr>
          <w:sz w:val="24"/>
        </w:rPr>
        <w:t>5.3.1</w:t>
      </w:r>
      <w:r>
        <w:rPr>
          <w:sz w:val="24"/>
        </w:rPr>
        <w:t>系统及设备为原制造商制造的全新产品，整机无污染，无侵权行为、表面无划损、无任何缺陷隐患，在中国境内可依常规安全合法使用。</w:t>
      </w:r>
    </w:p>
    <w:p>
      <w:pPr>
        <w:pStyle w:val="null3"/>
        <w:ind w:firstLine="480"/>
      </w:pPr>
      <w:r>
        <w:rPr>
          <w:sz w:val="24"/>
        </w:rPr>
        <w:t>5.3.2</w:t>
      </w:r>
      <w:r>
        <w:rPr>
          <w:sz w:val="24"/>
        </w:rPr>
        <w:t>交付验收标准依次序对照适用标准为：</w:t>
      </w:r>
      <w:r>
        <w:rPr>
          <w:sz w:val="24"/>
        </w:rPr>
        <w:t>①</w:t>
      </w:r>
      <w:r>
        <w:rPr>
          <w:sz w:val="24"/>
        </w:rPr>
        <w:t>符合中华人民共和国国家安全质量标准、环保标准或行业标准；</w:t>
      </w:r>
      <w:r>
        <w:rPr>
          <w:sz w:val="24"/>
        </w:rPr>
        <w:t>②</w:t>
      </w:r>
      <w:r>
        <w:rPr>
          <w:sz w:val="24"/>
        </w:rPr>
        <w:t>符合采购文件和响应承诺中甲方认可的合理最佳配置、参数及各项要求；</w:t>
      </w:r>
      <w:r>
        <w:rPr>
          <w:sz w:val="24"/>
        </w:rPr>
        <w:t>③</w:t>
      </w:r>
      <w:r>
        <w:rPr>
          <w:sz w:val="24"/>
        </w:rPr>
        <w:t>系统及设备来源国官方标准。</w:t>
      </w:r>
      <w:r>
        <w:rPr>
          <w:sz w:val="20"/>
        </w:rPr>
        <w:t xml:space="preserve">   </w:t>
      </w:r>
    </w:p>
    <w:p>
      <w:pPr>
        <w:pStyle w:val="null3"/>
        <w:ind w:firstLine="480"/>
      </w:pPr>
      <w:r>
        <w:rPr>
          <w:sz w:val="24"/>
        </w:rPr>
        <w:t>5.3.3</w:t>
      </w:r>
      <w:r>
        <w:rPr>
          <w:sz w:val="24"/>
        </w:rPr>
        <w:t>进口系统及设备必须具备原产地证明书、品质保证书、中华人民共和国海关的清关文件、进出口检验检疫部门出具的商检证明文件、完整的原厂资料、中文安装资料及安装图纸等。</w:t>
      </w:r>
    </w:p>
    <w:p>
      <w:pPr>
        <w:pStyle w:val="null3"/>
        <w:ind w:firstLine="480"/>
      </w:pPr>
      <w:r>
        <w:rPr>
          <w:sz w:val="24"/>
        </w:rPr>
        <w:t>5.3.4</w:t>
      </w:r>
      <w:r>
        <w:rPr>
          <w:sz w:val="24"/>
        </w:rPr>
        <w:t>系统及设备为原厂商未启封全新包装，具备出厂合格证，序列号、包装箱号与出厂批号一致，并可追索查阅。</w:t>
      </w:r>
    </w:p>
    <w:p>
      <w:pPr>
        <w:pStyle w:val="null3"/>
        <w:ind w:firstLine="480"/>
      </w:pPr>
      <w:r>
        <w:rPr>
          <w:sz w:val="24"/>
        </w:rPr>
        <w:t>5.3.5</w:t>
      </w:r>
      <w:r>
        <w:rPr>
          <w:sz w:val="24"/>
        </w:rPr>
        <w:t>乙方应将关键主机设备及系统的用户手册、保修手册、有关单证资料及配备件、随机工具等交付给甲方，使用操作及安全须知等重要资料应附有中文说明。</w:t>
      </w:r>
    </w:p>
    <w:p>
      <w:pPr>
        <w:pStyle w:val="null3"/>
        <w:ind w:firstLine="480"/>
      </w:pPr>
      <w:r>
        <w:rPr>
          <w:sz w:val="24"/>
        </w:rPr>
        <w:t>5.4</w:t>
      </w:r>
      <w:r>
        <w:rPr>
          <w:sz w:val="24"/>
        </w:rPr>
        <w:t>乙方应保证甲方在使用系统及设备或系统及设备的任何一部分时，免受第三方提出的侵犯其专利权、商标权或其他知识产权等合法权利的诉讼或仲裁。如发生上述纠纷，由乙方承担责任并负责支付一切损害赔偿费、诉讼费、仲裁费、行政罚款、律师费和其它费用，即使民事判决、仲裁裁决、行政决定等确定由甲方承担责任，此责任最终也由乙方承担。同时，在前述纠纷未解决之前，甲方有权暂停向乙方支付本合同项下的任何一笔应付而未付之款项且不构成违约。若前述纠纷导致甲方损失的，甲方有权直接从本合同项下应付而未付给乙方的任何款项予以扣除，不足以扣除的，甲方有权继续向乙方追偿。</w:t>
      </w:r>
    </w:p>
    <w:p>
      <w:pPr>
        <w:pStyle w:val="null3"/>
        <w:ind w:firstLine="482"/>
        <w:jc w:val="center"/>
      </w:pPr>
      <w:r>
        <w:rPr>
          <w:sz w:val="24"/>
          <w:b/>
        </w:rPr>
        <w:t>第六条安装调试及验收</w:t>
      </w:r>
    </w:p>
    <w:p>
      <w:pPr>
        <w:pStyle w:val="null3"/>
        <w:ind w:firstLine="480"/>
      </w:pPr>
      <w:r>
        <w:rPr>
          <w:sz w:val="24"/>
        </w:rPr>
        <w:t>6.1</w:t>
      </w:r>
      <w:r>
        <w:rPr>
          <w:sz w:val="24"/>
        </w:rPr>
        <w:t>乙方应向甲方技术人员对系统及设备的正确安装进行示范及技术指导。</w:t>
      </w:r>
    </w:p>
    <w:p>
      <w:pPr>
        <w:pStyle w:val="null3"/>
        <w:ind w:firstLine="480"/>
      </w:pPr>
      <w:r>
        <w:rPr>
          <w:sz w:val="24"/>
        </w:rPr>
        <w:t>6.2</w:t>
      </w:r>
      <w:r>
        <w:rPr>
          <w:sz w:val="24"/>
        </w:rPr>
        <w:t>系统的集成和设备的调试由乙方负责，甲方提供人员、场地、电力和必要设施配合乙方。系统及设备交货后，在</w:t>
      </w:r>
      <w:r>
        <w:rPr>
          <w:sz w:val="24"/>
        </w:rPr>
        <w:t>15</w:t>
      </w:r>
      <w:r>
        <w:rPr>
          <w:sz w:val="24"/>
        </w:rPr>
        <w:t>天内完成调试，甲方代表对系统及设备进行初步验收。</w:t>
      </w:r>
    </w:p>
    <w:p>
      <w:pPr>
        <w:pStyle w:val="null3"/>
        <w:ind w:firstLine="480"/>
      </w:pPr>
      <w:r>
        <w:rPr>
          <w:sz w:val="24"/>
        </w:rPr>
        <w:t>6.3</w:t>
      </w:r>
      <w:r>
        <w:rPr>
          <w:sz w:val="24"/>
        </w:rPr>
        <w:t>初步验收测试由甲方进行，乙方提供必要的配合。如果系统及设备中的任何部分不能通过初验，乙方应采取一切补救措施以使测试能够在</w:t>
      </w:r>
      <w:r>
        <w:rPr>
          <w:sz w:val="24"/>
        </w:rPr>
        <w:t>3</w:t>
      </w:r>
      <w:r>
        <w:rPr>
          <w:sz w:val="24"/>
        </w:rPr>
        <w:t>个工作日内再次进行。再次测试由乙方负担费用。如延迟超过</w:t>
      </w:r>
      <w:r>
        <w:rPr>
          <w:sz w:val="24"/>
        </w:rPr>
        <w:t>3</w:t>
      </w:r>
      <w:r>
        <w:rPr>
          <w:sz w:val="24"/>
        </w:rPr>
        <w:t>个工作日的，每延迟一日，乙方应按合同总价的万分之三向甲方承担违约责任。如果再次测试仍无法通过初步验收，甲方有权要求就系统及设备的全部或部分进行退货、更换，并有权单方解除合同。乙方应积极配合甲方，并承担相应的违约责任及因此产生的全部费用，如给甲方造成损失的，乙方应承担相应赔偿责任。</w:t>
      </w:r>
    </w:p>
    <w:p>
      <w:pPr>
        <w:pStyle w:val="null3"/>
        <w:ind w:firstLine="480"/>
      </w:pPr>
      <w:r>
        <w:rPr>
          <w:sz w:val="24"/>
        </w:rPr>
        <w:t>6.4</w:t>
      </w:r>
      <w:r>
        <w:rPr>
          <w:sz w:val="24"/>
        </w:rPr>
        <w:t>初验合格后开始系统及设备试运行。试运行应体现系统及设备的功能和性能符合乙方的承诺和担保及达到甲方的要求。如果在试运行期间发现任何不符点，乙方有责任进行修改和矫正直到达到乙方承诺的功能和性能。如果由于乙方设计及生产失误所引起的质量和性能问题造成整个系统瘫痪或设备故障，并且不能在试运行期内一段合理时间内恢复，乙方应尽快调整系统或更换相关设备，以保证系统及设备能按时交付使用。若超出</w:t>
      </w:r>
      <w:r>
        <w:rPr>
          <w:sz w:val="24"/>
        </w:rPr>
        <w:t>5</w:t>
      </w:r>
      <w:r>
        <w:rPr>
          <w:sz w:val="24"/>
        </w:rPr>
        <w:t>个工作日，乙方仍没有按时交付甲方使用，每延迟一日，乙方应按合同总价的千分之三向甲方承担违约责任。</w:t>
      </w:r>
    </w:p>
    <w:p>
      <w:pPr>
        <w:pStyle w:val="null3"/>
        <w:ind w:firstLine="480"/>
      </w:pPr>
      <w:r>
        <w:rPr>
          <w:sz w:val="24"/>
        </w:rPr>
        <w:t>6.5</w:t>
      </w:r>
      <w:r>
        <w:rPr>
          <w:sz w:val="24"/>
        </w:rPr>
        <w:t>系统如需经过国家广电行业权威检测机构按国家标准进行技术指标检测，并出具测试报告，检测费用由乙方负责。</w:t>
      </w:r>
    </w:p>
    <w:p>
      <w:pPr>
        <w:pStyle w:val="null3"/>
        <w:ind w:firstLine="480"/>
      </w:pPr>
      <w:r>
        <w:rPr>
          <w:sz w:val="24"/>
        </w:rPr>
        <w:t>6.6</w:t>
      </w:r>
      <w:r>
        <w:rPr>
          <w:sz w:val="24"/>
        </w:rPr>
        <w:t>系统及设备交付使用后，系统及设备的运行作为试运行的延续，至系统及设备安全运行不少于一个月后，进行最终验收。</w:t>
      </w:r>
    </w:p>
    <w:p>
      <w:pPr>
        <w:pStyle w:val="null3"/>
        <w:ind w:firstLine="480"/>
      </w:pPr>
      <w:r>
        <w:rPr>
          <w:sz w:val="24"/>
        </w:rPr>
        <w:t>6.7</w:t>
      </w:r>
      <w:r>
        <w:rPr>
          <w:sz w:val="24"/>
        </w:rPr>
        <w:t>如果系统及设备所有性能和指标均符合甲方及国家有关部门的要求，由甲乙双方签署最终验收合格文件，标志该系统及设备已验收合格，交双方各自保存。</w:t>
      </w:r>
    </w:p>
    <w:p>
      <w:pPr>
        <w:pStyle w:val="null3"/>
        <w:ind w:firstLine="480"/>
      </w:pPr>
      <w:r>
        <w:rPr>
          <w:sz w:val="24"/>
        </w:rPr>
        <w:t>6.8</w:t>
      </w:r>
      <w:r>
        <w:rPr>
          <w:sz w:val="24"/>
        </w:rPr>
        <w:t>为了避免互不信任，如果存在对合同中系统及设备无实质性影响的微小故障，在乙方对这些故障采取及时措施进行修理或替换后不影响甲方正常使用及双方书面同意的前提下，双方仍可由双方代表签署最终验收合格文件。</w:t>
      </w:r>
    </w:p>
    <w:p>
      <w:pPr>
        <w:pStyle w:val="null3"/>
        <w:jc w:val="center"/>
      </w:pPr>
      <w:r>
        <w:rPr>
          <w:sz w:val="24"/>
          <w:b/>
        </w:rPr>
        <w:t>第七条售后服务</w:t>
      </w:r>
    </w:p>
    <w:p>
      <w:pPr>
        <w:pStyle w:val="null3"/>
        <w:ind w:firstLine="480"/>
      </w:pPr>
      <w:r>
        <w:rPr>
          <w:sz w:val="24"/>
        </w:rPr>
        <w:t>7.1</w:t>
      </w:r>
      <w:r>
        <w:rPr>
          <w:sz w:val="24"/>
        </w:rPr>
        <w:t>本合同所涉系统及设备的售后服务由乙方承担，乙方对招标文件中的补充承诺负责。</w:t>
      </w:r>
    </w:p>
    <w:p>
      <w:pPr>
        <w:pStyle w:val="null3"/>
        <w:ind w:firstLine="480"/>
      </w:pPr>
      <w:r>
        <w:rPr>
          <w:sz w:val="24"/>
        </w:rPr>
        <w:t>7.2</w:t>
      </w:r>
      <w:r>
        <w:rPr>
          <w:sz w:val="24"/>
        </w:rPr>
        <w:t>乙方保证提供的系统及设备制造标准、安装标准及技术规范等有关资料符合我国相应的国家标准、行业标准及规范要求；视音频指标达到广播级标准；乙方应向甲方开具所售系统及设备在正常寿命内的所需易损件的型号、数量和价格清单。</w:t>
      </w:r>
    </w:p>
    <w:p>
      <w:pPr>
        <w:pStyle w:val="null3"/>
        <w:ind w:firstLine="480"/>
      </w:pPr>
      <w:r>
        <w:rPr>
          <w:sz w:val="24"/>
        </w:rPr>
        <w:t>7.3</w:t>
      </w:r>
      <w:r>
        <w:rPr>
          <w:sz w:val="24"/>
        </w:rPr>
        <w:t>乙方保证其向甲方销售的系统及设备为全新、完整、未使用过的原装合格系统及设备，并且保证其性能、规格和质量与乙方的产品资料技术指标相符。乙方应保证所提供的系统及设备在出厂前经过严格和完善的测试检验；在系统及设备验收中出现故障或性能指标未达到要求的，经甲方书面确认，乙方应无条件免费更换。</w:t>
      </w:r>
    </w:p>
    <w:p>
      <w:pPr>
        <w:pStyle w:val="null3"/>
        <w:ind w:firstLine="480"/>
      </w:pPr>
      <w:r>
        <w:rPr>
          <w:sz w:val="24"/>
        </w:rPr>
        <w:t>7.4</w:t>
      </w:r>
      <w:r>
        <w:rPr>
          <w:sz w:val="24"/>
        </w:rPr>
        <w:t>乙方所提供的系统及设备在安装期、试运转期及最终验收后的保修期内，由于在系统设计、设备制造上等技术和质量问题而产生故障影响系统及设备正常运转，以及甲方无法处理的各种问题，乙方均应免费提供修理服务，及时解决时系统及设备中存在的各种软件问题和硬件修理问题。如果故障属甲方人为因素损坏，乙方在保修期内免费维修、更换配件，由甲方支付更换配件的成本费。</w:t>
      </w:r>
    </w:p>
    <w:p>
      <w:pPr>
        <w:pStyle w:val="null3"/>
        <w:ind w:firstLine="480"/>
      </w:pPr>
      <w:r>
        <w:rPr>
          <w:sz w:val="24"/>
        </w:rPr>
        <w:t>7.5</w:t>
      </w:r>
      <w:r>
        <w:rPr>
          <w:sz w:val="24"/>
        </w:rPr>
        <w:t>乙方须向甲方提供终身的系统及设备原厂免费软件升级保证书。</w:t>
      </w:r>
    </w:p>
    <w:p>
      <w:pPr>
        <w:pStyle w:val="null3"/>
        <w:ind w:firstLine="480"/>
      </w:pPr>
      <w:r>
        <w:rPr>
          <w:sz w:val="24"/>
        </w:rPr>
        <w:t>7.6</w:t>
      </w:r>
      <w:r>
        <w:rPr>
          <w:sz w:val="24"/>
        </w:rPr>
        <w:t>系统及设备最终验收合格后，乙方提供</w:t>
      </w:r>
      <w:r>
        <w:rPr>
          <w:sz w:val="20"/>
        </w:rPr>
        <w:t xml:space="preserve">  </w:t>
      </w:r>
      <w:r>
        <w:rPr>
          <w:sz w:val="24"/>
          <w:u w:val="single"/>
        </w:rPr>
        <w:t>年</w:t>
      </w:r>
      <w:r>
        <w:rPr>
          <w:sz w:val="24"/>
        </w:rPr>
        <w:t>的原厂免费质量保证期（保修期）。在免费质保期内，乙方免费负责所有零配件维修和更换，并保证系统及设备按验收合格之时的性能正常运行。</w:t>
      </w:r>
    </w:p>
    <w:p>
      <w:pPr>
        <w:pStyle w:val="null3"/>
        <w:ind w:firstLine="480"/>
      </w:pPr>
      <w:r>
        <w:rPr>
          <w:sz w:val="24"/>
        </w:rPr>
        <w:t>7.7</w:t>
      </w:r>
      <w:r>
        <w:rPr>
          <w:sz w:val="24"/>
        </w:rPr>
        <w:t>系统及设备若发生故障，乙方的维护人员在接到维修通知后的</w:t>
      </w:r>
      <w:r>
        <w:rPr>
          <w:sz w:val="24"/>
          <w:u w:val="single"/>
        </w:rPr>
        <w:t>半小时</w:t>
      </w:r>
      <w:r>
        <w:rPr>
          <w:sz w:val="24"/>
        </w:rPr>
        <w:t>内响应，</w:t>
      </w:r>
      <w:r>
        <w:rPr>
          <w:sz w:val="24"/>
          <w:u w:val="single"/>
        </w:rPr>
        <w:t>2</w:t>
      </w:r>
      <w:r>
        <w:rPr>
          <w:sz w:val="24"/>
          <w:u w:val="single"/>
        </w:rPr>
        <w:t>小时</w:t>
      </w:r>
      <w:r>
        <w:rPr>
          <w:sz w:val="24"/>
        </w:rPr>
        <w:t>内到达现场排除故障，</w:t>
      </w:r>
      <w:r>
        <w:rPr>
          <w:sz w:val="24"/>
          <w:u w:val="single"/>
        </w:rPr>
        <w:t>6</w:t>
      </w:r>
      <w:r>
        <w:rPr>
          <w:sz w:val="24"/>
          <w:u w:val="single"/>
        </w:rPr>
        <w:t>小时</w:t>
      </w:r>
      <w:r>
        <w:rPr>
          <w:sz w:val="24"/>
        </w:rPr>
        <w:t>内完全解决故障，在检修</w:t>
      </w:r>
      <w:r>
        <w:rPr>
          <w:sz w:val="24"/>
        </w:rPr>
        <w:t>6</w:t>
      </w:r>
      <w:r>
        <w:rPr>
          <w:sz w:val="24"/>
        </w:rPr>
        <w:t>小时后仍无法解决问题的设备，应在</w:t>
      </w:r>
      <w:r>
        <w:rPr>
          <w:sz w:val="24"/>
        </w:rPr>
        <w:t>48</w:t>
      </w:r>
      <w:r>
        <w:rPr>
          <w:sz w:val="24"/>
        </w:rPr>
        <w:t>小时内提供不低于故障设备规格型号档次的替代设备。</w:t>
      </w:r>
    </w:p>
    <w:p>
      <w:pPr>
        <w:pStyle w:val="null3"/>
        <w:ind w:firstLine="480"/>
      </w:pPr>
      <w:r>
        <w:rPr>
          <w:sz w:val="24"/>
        </w:rPr>
        <w:t>7.8</w:t>
      </w:r>
      <w:r>
        <w:rPr>
          <w:sz w:val="24"/>
        </w:rPr>
        <w:t>若系统及设备质量问题在质保期内发生，但乙方在质保期内未进行更换或质保期满后该问题未处理完毕的，乙方仍然应当对该系统及设备质量问题承担免费保修责任。</w:t>
      </w:r>
    </w:p>
    <w:p>
      <w:pPr>
        <w:pStyle w:val="null3"/>
        <w:ind w:firstLine="480"/>
      </w:pPr>
      <w:r>
        <w:rPr>
          <w:sz w:val="24"/>
        </w:rPr>
        <w:t>7.9</w:t>
      </w:r>
      <w:r>
        <w:rPr>
          <w:sz w:val="24"/>
        </w:rPr>
        <w:t>乙方应按甲方要求及时提供维护中所需的各种修理零配件和备件，乙方所售系统及设备的维修件在</w:t>
      </w:r>
      <w:r>
        <w:rPr>
          <w:sz w:val="24"/>
        </w:rPr>
        <w:t>5</w:t>
      </w:r>
      <w:r>
        <w:rPr>
          <w:sz w:val="24"/>
        </w:rPr>
        <w:t>年至</w:t>
      </w:r>
      <w:r>
        <w:rPr>
          <w:sz w:val="24"/>
        </w:rPr>
        <w:t>8</w:t>
      </w:r>
      <w:r>
        <w:rPr>
          <w:sz w:val="24"/>
        </w:rPr>
        <w:t>年内供货，如制造商计划停产，乙方提前</w:t>
      </w:r>
      <w:r>
        <w:rPr>
          <w:sz w:val="24"/>
        </w:rPr>
        <w:t>6</w:t>
      </w:r>
      <w:r>
        <w:rPr>
          <w:sz w:val="24"/>
        </w:rPr>
        <w:t>个月通知甲方。停产后按照国际惯例保证配件供应</w:t>
      </w:r>
      <w:r>
        <w:rPr>
          <w:sz w:val="24"/>
        </w:rPr>
        <w:t>5</w:t>
      </w:r>
      <w:r>
        <w:rPr>
          <w:sz w:val="24"/>
        </w:rPr>
        <w:t>年。</w:t>
      </w:r>
    </w:p>
    <w:p>
      <w:pPr>
        <w:pStyle w:val="null3"/>
        <w:ind w:firstLine="480"/>
      </w:pPr>
      <w:r>
        <w:rPr>
          <w:sz w:val="24"/>
        </w:rPr>
        <w:t>7.10</w:t>
      </w:r>
      <w:r>
        <w:rPr>
          <w:sz w:val="24"/>
        </w:rPr>
        <w:t>在质保期满后，乙方提供良好的售后服务和优良的技术支持及零配件优惠供应。</w:t>
      </w:r>
    </w:p>
    <w:p>
      <w:pPr>
        <w:pStyle w:val="null3"/>
        <w:ind w:firstLine="480"/>
      </w:pPr>
      <w:r>
        <w:rPr>
          <w:sz w:val="24"/>
        </w:rPr>
        <w:t>7.11</w:t>
      </w:r>
      <w:r>
        <w:rPr>
          <w:sz w:val="24"/>
        </w:rPr>
        <w:t>当甲方增加新功能以满足业务需要时，乙方和系统及设备生产商应该及时提供服务。</w:t>
      </w:r>
    </w:p>
    <w:p>
      <w:pPr>
        <w:pStyle w:val="null3"/>
        <w:ind w:firstLine="480"/>
      </w:pPr>
      <w:r>
        <w:rPr>
          <w:sz w:val="24"/>
        </w:rPr>
        <w:t>7.12</w:t>
      </w:r>
      <w:r>
        <w:rPr>
          <w:sz w:val="24"/>
        </w:rPr>
        <w:t>系统及设备的局部修改：</w:t>
      </w:r>
    </w:p>
    <w:p>
      <w:pPr>
        <w:pStyle w:val="null3"/>
        <w:ind w:firstLine="480"/>
      </w:pPr>
      <w:r>
        <w:rPr>
          <w:sz w:val="24"/>
        </w:rPr>
        <w:t>7.12.1</w:t>
      </w:r>
      <w:r>
        <w:rPr>
          <w:sz w:val="24"/>
        </w:rPr>
        <w:t>系统及设备在运营期内，除甲方自身原因外（如任何设计、制作缺陷等）而发生的系统及设备修改或更换，乙方应免费提供并负责修改。</w:t>
      </w:r>
    </w:p>
    <w:p>
      <w:pPr>
        <w:pStyle w:val="null3"/>
        <w:ind w:firstLine="480"/>
      </w:pPr>
      <w:r>
        <w:rPr>
          <w:sz w:val="24"/>
        </w:rPr>
        <w:t>7.12.2</w:t>
      </w:r>
      <w:r>
        <w:rPr>
          <w:sz w:val="24"/>
        </w:rPr>
        <w:t>甲方需改进系统及硬件设备的执行情况和可靠性时，乙方应免费提供服务。</w:t>
      </w:r>
    </w:p>
    <w:p>
      <w:pPr>
        <w:pStyle w:val="null3"/>
        <w:ind w:firstLine="480"/>
      </w:pPr>
      <w:r>
        <w:rPr>
          <w:sz w:val="24"/>
        </w:rPr>
        <w:t>7.12.3</w:t>
      </w:r>
      <w:r>
        <w:rPr>
          <w:sz w:val="24"/>
        </w:rPr>
        <w:t>系统及设备在今后利用新技术方面有任何性能或功能的改进以及产品革新，乙方需及时、免费书面通知甲方有关改进和革新的详细情况。</w:t>
      </w:r>
    </w:p>
    <w:p>
      <w:pPr>
        <w:pStyle w:val="null3"/>
        <w:ind w:firstLine="480"/>
      </w:pPr>
      <w:r>
        <w:rPr>
          <w:sz w:val="24"/>
        </w:rPr>
        <w:t>7.13</w:t>
      </w:r>
      <w:r>
        <w:rPr>
          <w:sz w:val="24"/>
        </w:rPr>
        <w:t>所有提供的技术文件的内容必须与所提供的系统及设备相一致，在双方商定的某一时期内由于系统的变更而导致任何修改，乙方均应提供修正或补充的印刷文件，其内容应包括：</w:t>
      </w:r>
      <w:r>
        <w:rPr>
          <w:sz w:val="24"/>
        </w:rPr>
        <w:t>①</w:t>
      </w:r>
      <w:r>
        <w:rPr>
          <w:sz w:val="24"/>
        </w:rPr>
        <w:t>修改的内容；</w:t>
      </w:r>
      <w:r>
        <w:rPr>
          <w:sz w:val="24"/>
        </w:rPr>
        <w:t>②</w:t>
      </w:r>
      <w:r>
        <w:rPr>
          <w:sz w:val="24"/>
        </w:rPr>
        <w:t>修改理由；</w:t>
      </w:r>
      <w:r>
        <w:rPr>
          <w:sz w:val="24"/>
        </w:rPr>
        <w:t>③</w:t>
      </w:r>
      <w:r>
        <w:rPr>
          <w:sz w:val="24"/>
        </w:rPr>
        <w:t>系统及设备可能受到的影响。经甲方书面同意后方可更改。</w:t>
      </w:r>
    </w:p>
    <w:p>
      <w:pPr>
        <w:pStyle w:val="null3"/>
        <w:ind w:firstLine="480"/>
      </w:pPr>
      <w:r>
        <w:rPr>
          <w:sz w:val="24"/>
        </w:rPr>
        <w:t>7.14</w:t>
      </w:r>
      <w:r>
        <w:rPr>
          <w:sz w:val="24"/>
        </w:rPr>
        <w:t>甲方有权复制乙方提供的资料作为系统及设备的维护管理使用。</w:t>
      </w:r>
    </w:p>
    <w:p>
      <w:pPr>
        <w:pStyle w:val="null3"/>
        <w:ind w:firstLine="480"/>
      </w:pPr>
      <w:r>
        <w:rPr>
          <w:sz w:val="24"/>
        </w:rPr>
        <w:t>7.15</w:t>
      </w:r>
      <w:r>
        <w:rPr>
          <w:sz w:val="24"/>
        </w:rPr>
        <w:t>乙方提供的所有技术文件最好按照文件的技术说明要求用</w:t>
      </w:r>
      <w:r>
        <w:rPr>
          <w:sz w:val="24"/>
        </w:rPr>
        <w:t>CD-ROM</w:t>
      </w:r>
      <w:r>
        <w:rPr>
          <w:sz w:val="24"/>
        </w:rPr>
        <w:t>作主版本。</w:t>
      </w:r>
    </w:p>
    <w:p>
      <w:pPr>
        <w:pStyle w:val="null3"/>
        <w:ind w:firstLine="480"/>
      </w:pPr>
      <w:r>
        <w:rPr>
          <w:sz w:val="24"/>
        </w:rPr>
        <w:t>7.16</w:t>
      </w:r>
      <w:r>
        <w:rPr>
          <w:sz w:val="24"/>
        </w:rPr>
        <w:t>乙方在系统及设备到达时应免费提供全套技术文件和文件清单。所有文件均应有简洁明了的名称和编号。各种文件的文字说明应通俗易懂，所有图纸的图幅及图形符号等均应规范化。具体包括但不限于：</w:t>
      </w:r>
    </w:p>
    <w:p>
      <w:pPr>
        <w:pStyle w:val="null3"/>
        <w:ind w:firstLine="480"/>
      </w:pPr>
      <w:r>
        <w:rPr>
          <w:sz w:val="24"/>
        </w:rPr>
        <w:t>7.16.1</w:t>
      </w:r>
      <w:r>
        <w:rPr>
          <w:sz w:val="24"/>
        </w:rPr>
        <w:t>设备技术文件、安装和测试文件。</w:t>
      </w:r>
    </w:p>
    <w:p>
      <w:pPr>
        <w:pStyle w:val="null3"/>
        <w:ind w:firstLine="480"/>
      </w:pPr>
      <w:r>
        <w:rPr>
          <w:sz w:val="24"/>
        </w:rPr>
        <w:t>7.16.2</w:t>
      </w:r>
      <w:r>
        <w:rPr>
          <w:sz w:val="24"/>
        </w:rPr>
        <w:t>系统及设备的操作和维修手册（包括中</w:t>
      </w:r>
      <w:r>
        <w:rPr>
          <w:sz w:val="24"/>
        </w:rPr>
        <w:t>/</w:t>
      </w:r>
      <w:r>
        <w:rPr>
          <w:sz w:val="24"/>
        </w:rPr>
        <w:t>英文、印刷品和电脑光碟）。</w:t>
      </w:r>
    </w:p>
    <w:p>
      <w:pPr>
        <w:pStyle w:val="null3"/>
        <w:ind w:firstLine="480"/>
      </w:pPr>
      <w:r>
        <w:rPr>
          <w:sz w:val="24"/>
        </w:rPr>
        <w:t>7.16.3</w:t>
      </w:r>
      <w:r>
        <w:rPr>
          <w:sz w:val="24"/>
        </w:rPr>
        <w:t>系统及设备到货清单。</w:t>
      </w:r>
    </w:p>
    <w:p>
      <w:pPr>
        <w:pStyle w:val="null3"/>
        <w:ind w:firstLine="480"/>
      </w:pPr>
      <w:r>
        <w:rPr>
          <w:sz w:val="24"/>
        </w:rPr>
        <w:t>7.16.4</w:t>
      </w:r>
      <w:r>
        <w:rPr>
          <w:sz w:val="24"/>
        </w:rPr>
        <w:t>系统及设备的零件手册。</w:t>
      </w:r>
    </w:p>
    <w:p>
      <w:pPr>
        <w:pStyle w:val="null3"/>
        <w:ind w:firstLine="480"/>
      </w:pPr>
      <w:r>
        <w:rPr>
          <w:sz w:val="24"/>
        </w:rPr>
        <w:t>7.16.5</w:t>
      </w:r>
      <w:r>
        <w:rPr>
          <w:sz w:val="24"/>
        </w:rPr>
        <w:t>系统及设备的技术规格说明书。</w:t>
      </w:r>
    </w:p>
    <w:p>
      <w:pPr>
        <w:pStyle w:val="null3"/>
        <w:ind w:firstLine="480"/>
      </w:pPr>
      <w:r>
        <w:rPr>
          <w:sz w:val="24"/>
        </w:rPr>
        <w:t>7.16.6</w:t>
      </w:r>
      <w:r>
        <w:rPr>
          <w:sz w:val="24"/>
        </w:rPr>
        <w:t>产品出厂检验合格证书。</w:t>
      </w:r>
    </w:p>
    <w:p>
      <w:pPr>
        <w:pStyle w:val="null3"/>
        <w:ind w:firstLine="480"/>
      </w:pPr>
      <w:r>
        <w:rPr>
          <w:sz w:val="24"/>
        </w:rPr>
        <w:t>7.16.7</w:t>
      </w:r>
      <w:r>
        <w:rPr>
          <w:sz w:val="24"/>
        </w:rPr>
        <w:t>原产地证书。</w:t>
      </w:r>
    </w:p>
    <w:p>
      <w:pPr>
        <w:pStyle w:val="null3"/>
        <w:ind w:firstLine="480"/>
      </w:pPr>
      <w:r>
        <w:rPr>
          <w:sz w:val="24"/>
        </w:rPr>
        <w:t>7.16.8</w:t>
      </w:r>
      <w:r>
        <w:rPr>
          <w:sz w:val="24"/>
        </w:rPr>
        <w:t>验收时提供系统调试报告、软硬件设备保修证明。</w:t>
      </w:r>
    </w:p>
    <w:p>
      <w:pPr>
        <w:pStyle w:val="null3"/>
        <w:ind w:firstLine="480"/>
      </w:pPr>
      <w:r>
        <w:rPr>
          <w:sz w:val="24"/>
        </w:rPr>
        <w:t>7.16.9</w:t>
      </w:r>
      <w:r>
        <w:rPr>
          <w:sz w:val="24"/>
        </w:rPr>
        <w:t>进口软硬件设备要求提供入关证明材料。</w:t>
      </w:r>
    </w:p>
    <w:p>
      <w:pPr>
        <w:pStyle w:val="null3"/>
        <w:ind w:firstLine="482"/>
        <w:jc w:val="center"/>
      </w:pPr>
      <w:r>
        <w:rPr>
          <w:sz w:val="24"/>
          <w:b/>
        </w:rPr>
        <w:t>第八条保修期</w:t>
      </w:r>
    </w:p>
    <w:p>
      <w:pPr>
        <w:pStyle w:val="null3"/>
        <w:ind w:firstLine="480"/>
      </w:pPr>
      <w:r>
        <w:rPr>
          <w:sz w:val="24"/>
        </w:rPr>
        <w:t>8.1</w:t>
      </w:r>
      <w:r>
        <w:rPr>
          <w:sz w:val="24"/>
        </w:rPr>
        <w:t>保修期</w:t>
      </w:r>
      <w:r>
        <w:rPr>
          <w:sz w:val="20"/>
        </w:rPr>
        <w:t xml:space="preserve">  </w:t>
      </w:r>
      <w:r>
        <w:rPr>
          <w:sz w:val="24"/>
        </w:rPr>
        <w:t>年，从系统及设备最终验收合格之日开始计算。</w:t>
      </w:r>
    </w:p>
    <w:p>
      <w:pPr>
        <w:pStyle w:val="null3"/>
        <w:ind w:firstLine="480"/>
      </w:pPr>
      <w:r>
        <w:rPr>
          <w:sz w:val="24"/>
        </w:rPr>
        <w:t>8.2</w:t>
      </w:r>
      <w:r>
        <w:rPr>
          <w:sz w:val="24"/>
        </w:rPr>
        <w:t>在保修期内，若发现系统及设备缺陷或系统及设备与合同中的规定不符的情况，除甲方自身原因外，甲方有权索赔。乙方应免费更换索赔系统及设备。若是轻微损坏，在乙方同意时可由甲方自己修理，发生的费用由乙方承担。</w:t>
      </w:r>
    </w:p>
    <w:p>
      <w:pPr>
        <w:pStyle w:val="null3"/>
        <w:ind w:firstLine="480"/>
      </w:pPr>
      <w:r>
        <w:rPr>
          <w:sz w:val="24"/>
        </w:rPr>
        <w:t>8.3</w:t>
      </w:r>
      <w:r>
        <w:rPr>
          <w:sz w:val="24"/>
        </w:rPr>
        <w:t>在保修期内，由于系统问题或设备损坏导致停机，除甲方自身原因外，保修期因系统及设备的停机顺延。在保修期内发生的系统及设备损坏，乙方应向甲方赔偿合同总价</w:t>
      </w:r>
      <w:r>
        <w:rPr>
          <w:sz w:val="24"/>
        </w:rPr>
        <w:t>10%</w:t>
      </w:r>
      <w:r>
        <w:rPr>
          <w:sz w:val="24"/>
        </w:rPr>
        <w:t>的违约金或赔偿甲方因此导致的全部损失，以金额高的为准。</w:t>
      </w:r>
    </w:p>
    <w:p>
      <w:pPr>
        <w:pStyle w:val="null3"/>
        <w:ind w:firstLine="480"/>
      </w:pPr>
      <w:r>
        <w:rPr>
          <w:sz w:val="24"/>
        </w:rPr>
        <w:t>8.4</w:t>
      </w:r>
      <w:r>
        <w:rPr>
          <w:sz w:val="24"/>
        </w:rPr>
        <w:t>乙方保证保修期满后，继续以不高于本合同折扣后的价格向甲方提供备件。</w:t>
      </w:r>
    </w:p>
    <w:p>
      <w:pPr>
        <w:pStyle w:val="null3"/>
        <w:ind w:firstLine="482"/>
        <w:jc w:val="center"/>
      </w:pPr>
      <w:r>
        <w:rPr>
          <w:sz w:val="24"/>
          <w:b/>
        </w:rPr>
        <w:t>第九条培训</w:t>
      </w:r>
    </w:p>
    <w:p>
      <w:pPr>
        <w:pStyle w:val="null3"/>
        <w:ind w:firstLine="480"/>
      </w:pPr>
      <w:r>
        <w:rPr>
          <w:sz w:val="24"/>
        </w:rPr>
        <w:t>9.1</w:t>
      </w:r>
      <w:r>
        <w:rPr>
          <w:sz w:val="24"/>
        </w:rPr>
        <w:t>整体要求</w:t>
      </w:r>
    </w:p>
    <w:p>
      <w:pPr>
        <w:pStyle w:val="null3"/>
        <w:ind w:firstLine="480"/>
      </w:pPr>
      <w:r>
        <w:rPr>
          <w:sz w:val="24"/>
        </w:rPr>
        <w:t>乙方应提供完整的实施培训方案，并在初验后</w:t>
      </w:r>
      <w:r>
        <w:rPr>
          <w:sz w:val="24"/>
        </w:rPr>
        <w:t>1</w:t>
      </w:r>
      <w:r>
        <w:rPr>
          <w:sz w:val="24"/>
        </w:rPr>
        <w:t>个月内完成所有用户及管理员培训，实现全员上线正式使用。</w:t>
      </w:r>
    </w:p>
    <w:p>
      <w:pPr>
        <w:pStyle w:val="null3"/>
        <w:ind w:firstLine="480"/>
      </w:pPr>
      <w:r>
        <w:rPr>
          <w:sz w:val="24"/>
        </w:rPr>
        <w:t>9.2</w:t>
      </w:r>
      <w:r>
        <w:rPr>
          <w:sz w:val="24"/>
        </w:rPr>
        <w:t>培训内容主要包含但不限于以下内容：</w:t>
      </w:r>
    </w:p>
    <w:p>
      <w:pPr>
        <w:pStyle w:val="null3"/>
        <w:ind w:firstLine="480"/>
      </w:pPr>
      <w:r>
        <w:rPr>
          <w:sz w:val="24"/>
        </w:rPr>
        <w:t>9.2.1</w:t>
      </w:r>
      <w:r>
        <w:rPr>
          <w:sz w:val="24"/>
        </w:rPr>
        <w:t>设备使用和管理。</w:t>
      </w:r>
    </w:p>
    <w:p>
      <w:pPr>
        <w:pStyle w:val="null3"/>
        <w:ind w:firstLine="480"/>
      </w:pPr>
      <w:r>
        <w:rPr>
          <w:sz w:val="24"/>
        </w:rPr>
        <w:t>9.2.2</w:t>
      </w:r>
      <w:r>
        <w:rPr>
          <w:sz w:val="24"/>
        </w:rPr>
        <w:t>操作系统等。</w:t>
      </w:r>
    </w:p>
    <w:p>
      <w:pPr>
        <w:pStyle w:val="null3"/>
        <w:ind w:firstLine="480"/>
      </w:pPr>
      <w:r>
        <w:rPr>
          <w:sz w:val="24"/>
        </w:rPr>
        <w:t>9.2.3</w:t>
      </w:r>
      <w:r>
        <w:rPr>
          <w:sz w:val="24"/>
        </w:rPr>
        <w:t>网络连接和系统管理。</w:t>
      </w:r>
    </w:p>
    <w:p>
      <w:pPr>
        <w:pStyle w:val="null3"/>
        <w:ind w:firstLine="480"/>
      </w:pPr>
      <w:r>
        <w:rPr>
          <w:sz w:val="24"/>
        </w:rPr>
        <w:t>9.2.4</w:t>
      </w:r>
      <w:r>
        <w:rPr>
          <w:sz w:val="24"/>
        </w:rPr>
        <w:t>其他相关技术。</w:t>
      </w:r>
    </w:p>
    <w:p>
      <w:pPr>
        <w:pStyle w:val="null3"/>
        <w:ind w:firstLine="480"/>
      </w:pPr>
      <w:r>
        <w:rPr>
          <w:sz w:val="24"/>
        </w:rPr>
        <w:t>9.2.5</w:t>
      </w:r>
      <w:r>
        <w:rPr>
          <w:sz w:val="24"/>
        </w:rPr>
        <w:t>系统功能使用。</w:t>
      </w:r>
    </w:p>
    <w:p>
      <w:pPr>
        <w:pStyle w:val="null3"/>
        <w:ind w:firstLine="480"/>
      </w:pPr>
      <w:r>
        <w:rPr>
          <w:sz w:val="24"/>
        </w:rPr>
        <w:t>9.3</w:t>
      </w:r>
      <w:r>
        <w:rPr>
          <w:sz w:val="24"/>
        </w:rPr>
        <w:t>要求培训后使甲方受训人员掌握：</w:t>
      </w:r>
    </w:p>
    <w:p>
      <w:pPr>
        <w:pStyle w:val="null3"/>
        <w:ind w:firstLine="480"/>
      </w:pPr>
      <w:r>
        <w:rPr>
          <w:sz w:val="24"/>
        </w:rPr>
        <w:t>技术管理人员经培训后应能熟练地掌握系统及设备维护工作并能及时排除大部分的系统及设备故障。</w:t>
      </w:r>
    </w:p>
    <w:p>
      <w:pPr>
        <w:pStyle w:val="null3"/>
        <w:ind w:firstLine="480"/>
      </w:pPr>
      <w:r>
        <w:rPr>
          <w:sz w:val="24"/>
        </w:rPr>
        <w:t>9.4</w:t>
      </w:r>
      <w:r>
        <w:rPr>
          <w:sz w:val="24"/>
        </w:rPr>
        <w:t>培训方式和教材：</w:t>
      </w:r>
    </w:p>
    <w:p>
      <w:pPr>
        <w:pStyle w:val="null3"/>
        <w:ind w:firstLine="480"/>
      </w:pPr>
      <w:r>
        <w:rPr>
          <w:sz w:val="24"/>
        </w:rPr>
        <w:t>乙方应提供培训的详细计划（包括人数、时间、课程等）及培训所需的教材和教师讲解和说明。培训用教材应提供最新并和供给的系统及设备相一致。</w:t>
      </w:r>
    </w:p>
    <w:p>
      <w:pPr>
        <w:pStyle w:val="null3"/>
        <w:ind w:firstLine="482"/>
        <w:jc w:val="center"/>
      </w:pPr>
      <w:r>
        <w:rPr>
          <w:sz w:val="24"/>
          <w:b/>
        </w:rPr>
        <w:t>第十条保密责任</w:t>
      </w:r>
    </w:p>
    <w:p>
      <w:pPr>
        <w:pStyle w:val="null3"/>
        <w:ind w:firstLine="480"/>
      </w:pPr>
      <w:r>
        <w:rPr>
          <w:sz w:val="24"/>
        </w:rPr>
        <w:t>10.1</w:t>
      </w:r>
      <w:r>
        <w:rPr>
          <w:sz w:val="24"/>
        </w:rPr>
        <w:t>本合同项目未经甲方书面同意，乙方不得将此作为商事范例对外泄露。</w:t>
      </w:r>
    </w:p>
    <w:p>
      <w:pPr>
        <w:pStyle w:val="null3"/>
        <w:ind w:firstLine="480"/>
      </w:pPr>
      <w:r>
        <w:rPr>
          <w:sz w:val="24"/>
        </w:rPr>
        <w:t>10.2</w:t>
      </w:r>
      <w:r>
        <w:rPr>
          <w:sz w:val="24"/>
        </w:rPr>
        <w:t>乙方保证对其在履行本合同过程中了解到的甲方的</w:t>
      </w:r>
      <w:r>
        <w:rPr>
          <w:sz w:val="24"/>
        </w:rPr>
        <w:t>“</w:t>
      </w:r>
      <w:r>
        <w:rPr>
          <w:sz w:val="24"/>
        </w:rPr>
        <w:t>专有信息</w:t>
      </w:r>
      <w:r>
        <w:rPr>
          <w:sz w:val="24"/>
        </w:rPr>
        <w:t>”</w:t>
      </w:r>
      <w:r>
        <w:rPr>
          <w:sz w:val="24"/>
        </w:rPr>
        <w:t>（包括但不限于甲方提供的相关资料、所有系统及设备的数据、公司组织结构、运作方式、市场、经营、本合同内容、本合同价格等各方面信息）均负有保密义务，无论前述保密内容及信息是书面的、口头的、图形的、电磁的或其它任何形式。未经甲方书面许可，乙方不得在任何时候以任何形式或方式向第三方透露。乙方保证对其所获得或知悉的甲方专有信息进行与保护己方专有信息同等程度的保护，且不低于合理程度。若乙方违反保密义务，应按合同总金额的</w:t>
      </w:r>
      <w:r>
        <w:rPr>
          <w:sz w:val="24"/>
        </w:rPr>
        <w:t>30%</w:t>
      </w:r>
      <w:r>
        <w:rPr>
          <w:sz w:val="24"/>
        </w:rPr>
        <w:t>向甲方支付违约金，违约金不足以弥补甲方损失的，乙方应按甲方实际损失赔偿。</w:t>
      </w:r>
    </w:p>
    <w:p>
      <w:pPr>
        <w:pStyle w:val="null3"/>
        <w:ind w:firstLine="480"/>
      </w:pPr>
      <w:r>
        <w:rPr>
          <w:sz w:val="24"/>
        </w:rPr>
        <w:t>10.3</w:t>
      </w:r>
      <w:r>
        <w:rPr>
          <w:sz w:val="24"/>
        </w:rPr>
        <w:t>本合同的保密期限自合同签订之日起至甲方主动公开之日止。本保密条款不因本合同变更、无效、解除或终止等而失效。</w:t>
      </w:r>
    </w:p>
    <w:p>
      <w:pPr>
        <w:pStyle w:val="null3"/>
        <w:ind w:firstLine="482"/>
        <w:jc w:val="center"/>
      </w:pPr>
      <w:r>
        <w:rPr>
          <w:sz w:val="24"/>
          <w:b/>
        </w:rPr>
        <w:t>第十一条不可抗力</w:t>
      </w:r>
    </w:p>
    <w:p>
      <w:pPr>
        <w:pStyle w:val="null3"/>
        <w:ind w:firstLine="480"/>
      </w:pPr>
      <w:r>
        <w:rPr>
          <w:sz w:val="24"/>
        </w:rPr>
        <w:t>11.1</w:t>
      </w:r>
      <w:r>
        <w:rPr>
          <w:sz w:val="24"/>
        </w:rPr>
        <w:t>本合同所称</w:t>
      </w:r>
      <w:r>
        <w:rPr>
          <w:sz w:val="24"/>
        </w:rPr>
        <w:t>“</w:t>
      </w:r>
      <w:r>
        <w:rPr>
          <w:sz w:val="24"/>
        </w:rPr>
        <w:t>不可抗力</w:t>
      </w:r>
      <w:r>
        <w:rPr>
          <w:sz w:val="24"/>
        </w:rPr>
        <w:t>”</w:t>
      </w:r>
      <w:r>
        <w:rPr>
          <w:sz w:val="24"/>
        </w:rPr>
        <w:t>是指受影响一方不能合理控制的，无法预料或即使可预料到也不可避免且无法克服，并于本合同签订日之后出现的，使该方对本合同全部或部分的履行在客观上成为不可能或不实际的任何事件。此等事件包括但不限于自然灾害如水灾、火灾、旱灾、台风、地震，以及社会事件如战争（不论曾否宣战）、动乱、罢工，政府行为或法律规定等。</w:t>
      </w:r>
    </w:p>
    <w:p>
      <w:pPr>
        <w:pStyle w:val="null3"/>
        <w:ind w:firstLine="480"/>
      </w:pPr>
      <w:r>
        <w:rPr>
          <w:sz w:val="24"/>
        </w:rPr>
        <w:t>11.2</w:t>
      </w:r>
      <w:r>
        <w:rPr>
          <w:sz w:val="24"/>
        </w:rPr>
        <w:t>声称受到不可抗力事件影响的一方应尽可能在最短的时间内通过书面形式将不可抗力事件的发生通知另一方，并在该不可抗力事件发生后五日内向另一方提供关于此种不可抗力事件及其持续时间的适当证据及合同不能履行或者需要延期履行的书面资料。声称不可抗力事件导致其对本合同的履行在客观上成为不可能或不实际的一方，有责任尽一切合理的努力消除或减轻此等不可抗力事件的影响。</w:t>
      </w:r>
    </w:p>
    <w:p>
      <w:pPr>
        <w:pStyle w:val="null3"/>
        <w:ind w:firstLine="480"/>
      </w:pPr>
      <w:r>
        <w:rPr>
          <w:sz w:val="24"/>
        </w:rPr>
        <w:t>11.3</w:t>
      </w:r>
      <w:r>
        <w:rPr>
          <w:sz w:val="24"/>
        </w:rPr>
        <w:t>不可抗力事件发生时，双方应立即通过友好协商决定如何执行本合同。不可抗力事件或其影响终止或消除后，双方须立即恢复履行各自在本合同项下的各项义务。如不可抗力及其影响无法终止或消除而致使合同任何一方丧失继续履行合同的能力，则双方可协商解除合同或暂时延迟合同的履行，且遭遇不可抗力一方无须为此承担责任。当事人迟延履行后发生不可抗力的，不能免除责任。</w:t>
      </w:r>
    </w:p>
    <w:p>
      <w:pPr>
        <w:pStyle w:val="null3"/>
        <w:ind w:firstLine="482"/>
        <w:jc w:val="center"/>
      </w:pPr>
      <w:r>
        <w:rPr>
          <w:sz w:val="24"/>
          <w:b/>
        </w:rPr>
        <w:t>第十二条违约责任</w:t>
      </w:r>
    </w:p>
    <w:p>
      <w:pPr>
        <w:pStyle w:val="null3"/>
        <w:ind w:firstLine="480"/>
      </w:pPr>
      <w:r>
        <w:rPr>
          <w:sz w:val="24"/>
        </w:rPr>
        <w:t>12.1</w:t>
      </w:r>
      <w:r>
        <w:rPr>
          <w:sz w:val="24"/>
        </w:rPr>
        <w:t>如果乙方未按合同规定的时间交付系统及设备，甲方有权以如下方式向乙方追究逾期交付的违约责任：每延迟一日交货，乙方应按合同总价的万分之五向甲方支付违约金。上述违约责任不解除乙方的交付责任。如果乙方逾期一个月未交付，甲方有权终止合同，乙方须退还甲方支付的全部已支付款项，并向甲方支付合同总价</w:t>
      </w:r>
      <w:r>
        <w:rPr>
          <w:sz w:val="24"/>
        </w:rPr>
        <w:t>20%</w:t>
      </w:r>
      <w:r>
        <w:rPr>
          <w:sz w:val="24"/>
        </w:rPr>
        <w:t>的违约金。违约金不足以赔偿甲方损失的，乙方应按甲方实际损失赔偿。</w:t>
      </w:r>
    </w:p>
    <w:p>
      <w:pPr>
        <w:pStyle w:val="null3"/>
        <w:ind w:firstLine="480"/>
      </w:pPr>
      <w:r>
        <w:rPr>
          <w:sz w:val="24"/>
        </w:rPr>
        <w:t>12.2</w:t>
      </w:r>
      <w:r>
        <w:rPr>
          <w:sz w:val="24"/>
        </w:rPr>
        <w:t>乙方所交付的系统及设备的品种、型号、规格、质量等不符合合同及附件规定的，甲方有权拒收。甲方拒收的，乙方应向甲方支付合同总价</w:t>
      </w:r>
      <w:r>
        <w:rPr>
          <w:sz w:val="24"/>
        </w:rPr>
        <w:t>20%</w:t>
      </w:r>
      <w:r>
        <w:rPr>
          <w:sz w:val="24"/>
        </w:rPr>
        <w:t>的违约金，乙方应及时安排更换、退换。此条款不影响乙方承担</w:t>
      </w:r>
      <w:r>
        <w:rPr>
          <w:sz w:val="24"/>
        </w:rPr>
        <w:t>12.1</w:t>
      </w:r>
      <w:r>
        <w:rPr>
          <w:sz w:val="24"/>
        </w:rPr>
        <w:t>条款约定的逾期交付的违约责任。</w:t>
      </w:r>
    </w:p>
    <w:p>
      <w:pPr>
        <w:pStyle w:val="null3"/>
        <w:ind w:firstLine="480"/>
      </w:pPr>
      <w:r>
        <w:rPr>
          <w:sz w:val="24"/>
        </w:rPr>
        <w:t>若乙方设备验收结果和投标的应答不一致或虚假应答，甲方有权选择拒收全部货物、解除合同，乙方应向甲方支付合同总价</w:t>
      </w:r>
      <w:r>
        <w:rPr>
          <w:sz w:val="24"/>
        </w:rPr>
        <w:t>20%</w:t>
      </w:r>
      <w:r>
        <w:rPr>
          <w:sz w:val="24"/>
        </w:rPr>
        <w:t>的违约金。此条款不影响乙方承担</w:t>
      </w:r>
      <w:r>
        <w:rPr>
          <w:sz w:val="24"/>
        </w:rPr>
        <w:t>12.1</w:t>
      </w:r>
      <w:r>
        <w:rPr>
          <w:sz w:val="24"/>
        </w:rPr>
        <w:t>条款约定的逾期交付的违约责任。</w:t>
      </w:r>
    </w:p>
    <w:p>
      <w:pPr>
        <w:pStyle w:val="null3"/>
        <w:ind w:firstLine="480"/>
      </w:pPr>
      <w:r>
        <w:rPr>
          <w:sz w:val="24"/>
        </w:rPr>
        <w:t>12.3</w:t>
      </w:r>
      <w:r>
        <w:rPr>
          <w:sz w:val="24"/>
        </w:rPr>
        <w:t>如系统及设备未通过系统初步验收或最终验收，乙方应及时排除故障，并承担相关费用，同时延长试运行期限</w:t>
      </w:r>
      <w:r>
        <w:rPr>
          <w:sz w:val="24"/>
        </w:rPr>
        <w:t>15</w:t>
      </w:r>
      <w:r>
        <w:rPr>
          <w:sz w:val="24"/>
        </w:rPr>
        <w:t>日，直至系统及设备完全符合验收标准。如在发现故障之日起</w:t>
      </w:r>
      <w:r>
        <w:rPr>
          <w:sz w:val="24"/>
        </w:rPr>
        <w:t>30</w:t>
      </w:r>
      <w:r>
        <w:rPr>
          <w:sz w:val="24"/>
        </w:rPr>
        <w:t>日内，乙方仍无法排除故障，导致初步验收或最终验收未通过，甲方有权解除合同，并要求乙方</w:t>
      </w:r>
      <w:r>
        <w:rPr>
          <w:sz w:val="24"/>
        </w:rPr>
        <w:t>7</w:t>
      </w:r>
      <w:r>
        <w:rPr>
          <w:sz w:val="24"/>
        </w:rPr>
        <w:t>日内退还甲方已支付的所有款项，并有权要求乙方按合同总价的</w:t>
      </w:r>
      <w:r>
        <w:rPr>
          <w:sz w:val="24"/>
        </w:rPr>
        <w:t>20%</w:t>
      </w:r>
      <w:r>
        <w:rPr>
          <w:sz w:val="24"/>
        </w:rPr>
        <w:t>向甲方支付违约金，违约金不足以赔偿甲方损失的，乙方应按甲方实际损失赔偿。此条款不影响乙方承担</w:t>
      </w:r>
      <w:r>
        <w:rPr>
          <w:sz w:val="24"/>
        </w:rPr>
        <w:t>12.1</w:t>
      </w:r>
      <w:r>
        <w:rPr>
          <w:sz w:val="24"/>
        </w:rPr>
        <w:t>条款约定的逾期交付的违约责任。</w:t>
      </w:r>
    </w:p>
    <w:p>
      <w:pPr>
        <w:pStyle w:val="null3"/>
        <w:ind w:firstLine="480"/>
      </w:pPr>
      <w:r>
        <w:rPr>
          <w:sz w:val="24"/>
        </w:rPr>
        <w:t>12.4</w:t>
      </w:r>
      <w:r>
        <w:rPr>
          <w:sz w:val="24"/>
        </w:rPr>
        <w:t>在本合同及其附件承诺的或国家规定的质量保证期内（取两者中最长的期限），如经乙方三次维修或更换，系统及设备仍不能达到合同约定的质量标准，严重影响甲方正常使用的，甲方有权退货，乙方应退回甲方已支付的全部款项，并应向甲方支付合同总价</w:t>
      </w:r>
      <w:r>
        <w:rPr>
          <w:sz w:val="24"/>
        </w:rPr>
        <w:t>10%</w:t>
      </w:r>
      <w:r>
        <w:rPr>
          <w:sz w:val="24"/>
        </w:rPr>
        <w:t>的违约金，违约金不足以赔偿甲方损失的，乙方应按甲方实际损失赔偿。</w:t>
      </w:r>
    </w:p>
    <w:p>
      <w:pPr>
        <w:pStyle w:val="null3"/>
        <w:ind w:firstLine="480"/>
      </w:pPr>
      <w:r>
        <w:rPr>
          <w:sz w:val="24"/>
        </w:rPr>
        <w:t>12.5</w:t>
      </w:r>
      <w:r>
        <w:rPr>
          <w:sz w:val="24"/>
        </w:rPr>
        <w:t>乙方未按本合同的规定及附件的服务承诺提供随附服务、售后服务的，每延迟一日提供相应服务的，应按合同总价的万分之五向甲方承担违约责任。如延迟提供相应服务超过七日，乙方应向甲方支付合同总价</w:t>
      </w:r>
      <w:r>
        <w:rPr>
          <w:sz w:val="24"/>
        </w:rPr>
        <w:t>20%</w:t>
      </w:r>
      <w:r>
        <w:rPr>
          <w:sz w:val="24"/>
        </w:rPr>
        <w:t>的违约金，违约金不足以赔偿甲方损失的，乙方应按甲方实际损失赔偿。</w:t>
      </w:r>
    </w:p>
    <w:p>
      <w:pPr>
        <w:pStyle w:val="null3"/>
        <w:ind w:firstLine="480"/>
      </w:pPr>
      <w:r>
        <w:rPr>
          <w:sz w:val="24"/>
        </w:rPr>
        <w:t>12.6</w:t>
      </w:r>
      <w:r>
        <w:rPr>
          <w:sz w:val="24"/>
        </w:rPr>
        <w:t>如乙方违反本合同及附件中的约定及承诺，乙方应承担相应违约责任，甲方有权从上述任何一笔应付款项中直接扣除相关金额作为违约金，甲方同时向乙方通知违约行为涉及的违约金额及相应原因。如乙方对该违约责任有异议</w:t>
      </w:r>
      <w:r>
        <w:rPr>
          <w:sz w:val="24"/>
        </w:rPr>
        <w:t>,</w:t>
      </w:r>
      <w:r>
        <w:rPr>
          <w:sz w:val="24"/>
        </w:rPr>
        <w:t>应在接到甲方通知后</w:t>
      </w:r>
      <w:r>
        <w:rPr>
          <w:sz w:val="24"/>
        </w:rPr>
        <w:t>15</w:t>
      </w:r>
      <w:r>
        <w:rPr>
          <w:sz w:val="24"/>
        </w:rPr>
        <w:t>日内提出。</w:t>
      </w:r>
    </w:p>
    <w:p>
      <w:pPr>
        <w:pStyle w:val="null3"/>
        <w:ind w:firstLine="480"/>
        <w:jc w:val="center"/>
      </w:pPr>
      <w:r>
        <w:rPr>
          <w:sz w:val="24"/>
          <w:b/>
        </w:rPr>
        <w:t>第十三条争议的处理</w:t>
      </w:r>
    </w:p>
    <w:p>
      <w:pPr>
        <w:pStyle w:val="null3"/>
        <w:ind w:firstLine="480"/>
      </w:pPr>
      <w:r>
        <w:rPr>
          <w:sz w:val="24"/>
        </w:rPr>
        <w:t>13.1</w:t>
      </w:r>
      <w:r>
        <w:rPr>
          <w:sz w:val="24"/>
        </w:rPr>
        <w:t>本合同受中华人民共和国法律管辖并按其进行解释。</w:t>
      </w:r>
    </w:p>
    <w:p>
      <w:pPr>
        <w:pStyle w:val="null3"/>
        <w:ind w:firstLine="480"/>
      </w:pPr>
      <w:r>
        <w:rPr>
          <w:sz w:val="24"/>
        </w:rPr>
        <w:t>13.2</w:t>
      </w:r>
      <w:r>
        <w:rPr>
          <w:sz w:val="24"/>
        </w:rPr>
        <w:t>因履行本合同而引起的一切争议，由双方当事人协商解决，也可由有关部门调解；协商或调解不成的，双方应将争议提交至广州市越秀区人民法院裁决。</w:t>
      </w:r>
    </w:p>
    <w:p>
      <w:pPr>
        <w:pStyle w:val="null3"/>
        <w:ind w:firstLine="480"/>
      </w:pPr>
      <w:r>
        <w:rPr>
          <w:sz w:val="24"/>
        </w:rPr>
        <w:t>13.3</w:t>
      </w:r>
      <w:r>
        <w:rPr>
          <w:sz w:val="24"/>
        </w:rPr>
        <w:t>在诉讼过程中，对合同没有争议的部分，双方应继续履行。</w:t>
      </w:r>
    </w:p>
    <w:p>
      <w:pPr>
        <w:pStyle w:val="null3"/>
        <w:ind w:firstLine="480"/>
        <w:jc w:val="center"/>
      </w:pPr>
      <w:r>
        <w:rPr>
          <w:sz w:val="24"/>
          <w:b/>
        </w:rPr>
        <w:t>第十四条通知和送达</w:t>
      </w:r>
    </w:p>
    <w:p>
      <w:pPr>
        <w:pStyle w:val="null3"/>
        <w:ind w:firstLine="480"/>
      </w:pPr>
      <w:r>
        <w:rPr>
          <w:sz w:val="24"/>
        </w:rPr>
        <w:t>14.1</w:t>
      </w:r>
      <w:r>
        <w:rPr>
          <w:sz w:val="24"/>
        </w:rPr>
        <w:t>双方确认的办公地址及通讯方式如下：</w:t>
      </w:r>
    </w:p>
    <w:p>
      <w:pPr>
        <w:pStyle w:val="null3"/>
        <w:ind w:firstLine="480"/>
      </w:pPr>
      <w:r>
        <w:rPr>
          <w:sz w:val="24"/>
        </w:rPr>
        <w:t>14.1.1</w:t>
      </w:r>
      <w:r>
        <w:rPr>
          <w:sz w:val="24"/>
        </w:rPr>
        <w:t>甲方：</w:t>
      </w:r>
      <w:r>
        <w:rPr>
          <w:sz w:val="20"/>
        </w:rPr>
        <w:t xml:space="preserve">                        </w:t>
      </w:r>
    </w:p>
    <w:p>
      <w:pPr>
        <w:pStyle w:val="null3"/>
        <w:ind w:firstLine="480"/>
      </w:pPr>
      <w:r>
        <w:rPr>
          <w:sz w:val="24"/>
        </w:rPr>
        <w:t>地址：</w:t>
      </w:r>
      <w:r>
        <w:rPr>
          <w:sz w:val="24"/>
        </w:rPr>
        <w:t xml:space="preserve">____________________________________                        </w:t>
      </w:r>
    </w:p>
    <w:p>
      <w:pPr>
        <w:pStyle w:val="null3"/>
        <w:ind w:firstLine="480"/>
      </w:pPr>
      <w:r>
        <w:rPr>
          <w:sz w:val="24"/>
        </w:rPr>
        <w:t>联系人：</w:t>
      </w:r>
      <w:r>
        <w:rPr>
          <w:sz w:val="24"/>
        </w:rPr>
        <w:t xml:space="preserve">__________________________________                   </w:t>
      </w:r>
    </w:p>
    <w:p>
      <w:pPr>
        <w:pStyle w:val="null3"/>
        <w:ind w:firstLine="480"/>
      </w:pPr>
      <w:r>
        <w:rPr>
          <w:sz w:val="24"/>
        </w:rPr>
        <w:t>电话：</w:t>
      </w:r>
      <w:r>
        <w:rPr>
          <w:sz w:val="24"/>
        </w:rPr>
        <w:t xml:space="preserve">____________________________________                        </w:t>
      </w:r>
    </w:p>
    <w:p>
      <w:pPr>
        <w:pStyle w:val="null3"/>
        <w:ind w:firstLine="480"/>
      </w:pPr>
      <w:r>
        <w:rPr>
          <w:sz w:val="24"/>
        </w:rPr>
        <w:t>E-mail</w:t>
      </w:r>
      <w:r>
        <w:rPr>
          <w:sz w:val="24"/>
        </w:rPr>
        <w:t>：</w:t>
      </w:r>
      <w:r>
        <w:rPr>
          <w:sz w:val="24"/>
        </w:rPr>
        <w:t xml:space="preserve">__________________________________                      </w:t>
      </w:r>
    </w:p>
    <w:p>
      <w:pPr>
        <w:pStyle w:val="null3"/>
        <w:ind w:firstLine="480"/>
      </w:pPr>
      <w:r>
        <w:rPr>
          <w:sz w:val="24"/>
        </w:rPr>
        <w:t>14.1.2</w:t>
      </w:r>
      <w:r>
        <w:rPr>
          <w:sz w:val="24"/>
        </w:rPr>
        <w:t>乙方：</w:t>
      </w:r>
      <w:r>
        <w:rPr>
          <w:sz w:val="20"/>
        </w:rPr>
        <w:t xml:space="preserve">                        </w:t>
      </w:r>
    </w:p>
    <w:p>
      <w:pPr>
        <w:pStyle w:val="null3"/>
        <w:ind w:firstLine="480"/>
      </w:pPr>
      <w:r>
        <w:rPr>
          <w:sz w:val="24"/>
        </w:rPr>
        <w:t>地址：</w:t>
      </w:r>
      <w:r>
        <w:rPr>
          <w:sz w:val="24"/>
        </w:rPr>
        <w:t xml:space="preserve">____________________________________                        </w:t>
      </w:r>
    </w:p>
    <w:p>
      <w:pPr>
        <w:pStyle w:val="null3"/>
        <w:ind w:firstLine="480"/>
      </w:pPr>
      <w:r>
        <w:rPr>
          <w:sz w:val="24"/>
        </w:rPr>
        <w:t>联系人：</w:t>
      </w:r>
      <w:r>
        <w:rPr>
          <w:sz w:val="24"/>
        </w:rPr>
        <w:t xml:space="preserve">__________________________________                      </w:t>
      </w:r>
    </w:p>
    <w:p>
      <w:pPr>
        <w:pStyle w:val="null3"/>
        <w:ind w:firstLine="480"/>
      </w:pPr>
      <w:r>
        <w:rPr>
          <w:sz w:val="24"/>
        </w:rPr>
        <w:t>电话：</w:t>
      </w:r>
      <w:r>
        <w:rPr>
          <w:sz w:val="24"/>
        </w:rPr>
        <w:t xml:space="preserve">____________________________________                        </w:t>
      </w:r>
    </w:p>
    <w:p>
      <w:pPr>
        <w:pStyle w:val="null3"/>
        <w:ind w:firstLine="480"/>
      </w:pPr>
      <w:r>
        <w:rPr>
          <w:sz w:val="24"/>
        </w:rPr>
        <w:t>E-mail</w:t>
      </w:r>
      <w:r>
        <w:rPr>
          <w:sz w:val="24"/>
        </w:rPr>
        <w:t>：</w:t>
      </w:r>
      <w:r>
        <w:rPr>
          <w:sz w:val="24"/>
        </w:rPr>
        <w:t xml:space="preserve">__________________________________                      </w:t>
      </w:r>
    </w:p>
    <w:p>
      <w:pPr>
        <w:pStyle w:val="null3"/>
        <w:ind w:firstLine="480"/>
      </w:pPr>
      <w:r>
        <w:rPr>
          <w:sz w:val="24"/>
        </w:rPr>
        <w:t>14.2</w:t>
      </w:r>
      <w:r>
        <w:rPr>
          <w:sz w:val="24"/>
        </w:rPr>
        <w:t>甲方发给乙方的文件或电邮均以上述乙方的地址、电话及</w:t>
      </w:r>
      <w:r>
        <w:rPr>
          <w:sz w:val="24"/>
        </w:rPr>
        <w:t>E-mail</w:t>
      </w:r>
      <w:r>
        <w:rPr>
          <w:sz w:val="24"/>
        </w:rPr>
        <w:t>为准，若乙方变更地址、电话、</w:t>
      </w:r>
      <w:r>
        <w:rPr>
          <w:sz w:val="24"/>
        </w:rPr>
        <w:t>E-mail</w:t>
      </w:r>
      <w:r>
        <w:rPr>
          <w:sz w:val="24"/>
        </w:rPr>
        <w:t>，应立即以书面形式通知甲方。否则，合同中乙方的地址、电话、</w:t>
      </w:r>
      <w:r>
        <w:rPr>
          <w:sz w:val="24"/>
        </w:rPr>
        <w:t>E-mail</w:t>
      </w:r>
      <w:r>
        <w:rPr>
          <w:sz w:val="24"/>
        </w:rPr>
        <w:t>将被视为有效，甲方按合同中乙方的地址、电话或</w:t>
      </w:r>
      <w:r>
        <w:rPr>
          <w:sz w:val="24"/>
        </w:rPr>
        <w:t>E-mail</w:t>
      </w:r>
      <w:r>
        <w:rPr>
          <w:sz w:val="24"/>
        </w:rPr>
        <w:t>发给乙方的文件视为甲方履行了送达文件的义务。如因合同中乙方上述联系方式错误或更改而没有书面通知甲方造成送达不能的，由乙方自行承担一切损失和责任。</w:t>
      </w:r>
    </w:p>
    <w:p>
      <w:pPr>
        <w:pStyle w:val="null3"/>
        <w:ind w:firstLine="480"/>
      </w:pPr>
      <w:r>
        <w:rPr>
          <w:sz w:val="24"/>
        </w:rPr>
        <w:t>14.3</w:t>
      </w:r>
      <w:r>
        <w:rPr>
          <w:sz w:val="24"/>
        </w:rPr>
        <w:t>通知以送达日期或通知书上载明的生效日期为生效日期，两者中以相较为晚的日期为准。</w:t>
      </w:r>
    </w:p>
    <w:p>
      <w:pPr>
        <w:pStyle w:val="null3"/>
        <w:ind w:firstLine="480"/>
        <w:jc w:val="center"/>
      </w:pPr>
      <w:r>
        <w:rPr>
          <w:sz w:val="24"/>
          <w:b/>
        </w:rPr>
        <w:t>第十五条其他</w:t>
      </w:r>
    </w:p>
    <w:p>
      <w:pPr>
        <w:pStyle w:val="null3"/>
        <w:ind w:firstLine="480"/>
      </w:pPr>
      <w:r>
        <w:rPr>
          <w:sz w:val="24"/>
        </w:rPr>
        <w:t>15.1</w:t>
      </w:r>
      <w:r>
        <w:rPr>
          <w:sz w:val="24"/>
        </w:rPr>
        <w:t>本合同自双方代表签字并盖章之日起生效。</w:t>
      </w:r>
    </w:p>
    <w:p>
      <w:pPr>
        <w:pStyle w:val="null3"/>
        <w:ind w:firstLine="480"/>
      </w:pPr>
      <w:r>
        <w:rPr>
          <w:sz w:val="24"/>
        </w:rPr>
        <w:t>15.2</w:t>
      </w:r>
      <w:r>
        <w:rPr>
          <w:sz w:val="24"/>
        </w:rPr>
        <w:t>本合同一式肆份，甲方执贰份，乙方执贰份，每份具有同等法律效力。</w:t>
      </w:r>
    </w:p>
    <w:p>
      <w:pPr>
        <w:pStyle w:val="null3"/>
        <w:ind w:firstLine="480"/>
      </w:pPr>
      <w:r>
        <w:rPr>
          <w:sz w:val="24"/>
        </w:rPr>
        <w:t>15.3</w:t>
      </w:r>
      <w:r>
        <w:rPr>
          <w:sz w:val="24"/>
        </w:rPr>
        <w:t>招标文件、投标文件、中标通知书以及合同附件是本合同不可分割的部分，与本合同具有同等法律效力。</w:t>
      </w:r>
    </w:p>
    <w:p>
      <w:pPr>
        <w:pStyle w:val="null3"/>
        <w:ind w:firstLine="480"/>
      </w:pPr>
      <w:r>
        <w:rPr>
          <w:sz w:val="24"/>
        </w:rPr>
        <w:t>15.4</w:t>
      </w:r>
      <w:r>
        <w:rPr>
          <w:sz w:val="24"/>
        </w:rPr>
        <w:t>所有对条款和条件的修正、补充、更改均以书面形式表述，并经双方协商达成一致意见后，由双方授权代表签字，其为本合同不可分割的部分，与本合同具有同等法律效力。</w:t>
      </w:r>
    </w:p>
    <w:p>
      <w:pPr>
        <w:pStyle w:val="null3"/>
        <w:ind w:firstLine="480"/>
      </w:pPr>
      <w:r>
        <w:rPr>
          <w:sz w:val="24"/>
        </w:rPr>
        <w:t>15.5</w:t>
      </w:r>
      <w:r>
        <w:rPr>
          <w:sz w:val="24"/>
        </w:rPr>
        <w:t>本合同效力直至双方已完全履行合同项下的所有义务并且双方之间的所有付款和索赔已结清。</w:t>
      </w:r>
    </w:p>
    <w:p>
      <w:pPr>
        <w:pStyle w:val="null3"/>
        <w:ind w:firstLine="480"/>
      </w:pPr>
      <w:r>
        <w:rPr>
          <w:sz w:val="24"/>
        </w:rPr>
        <w:t>15.6</w:t>
      </w:r>
      <w:r>
        <w:rPr>
          <w:sz w:val="24"/>
        </w:rPr>
        <w:t>任何与本合同相关但未在本合同中明确规定的事项由双方友好协商并达成补充协议解决，补充协议与本合同具有同等法律效力。</w:t>
      </w:r>
    </w:p>
    <w:p>
      <w:pPr>
        <w:pStyle w:val="null3"/>
        <w:ind w:firstLine="480"/>
      </w:pPr>
      <w:r>
        <w:rPr>
          <w:sz w:val="24"/>
        </w:rPr>
        <w:t xml:space="preserve">15.7 </w:t>
      </w:r>
      <w:r>
        <w:rPr>
          <w:sz w:val="24"/>
        </w:rPr>
        <w:t>为清楚起见，本合同中提及的损失除经济损失外，均包括行政处罚决定书、法院裁判文书载明的金额，以及守约方为应对前述行政投诉、民事诉讼等法律程序，以及对违约方启动法律程序支出的全部费用，包括但不限于合理律师费、公证费、差旅费、诉讼费、赔偿金等。</w:t>
      </w:r>
    </w:p>
    <w:p>
      <w:pPr>
        <w:pStyle w:val="null3"/>
        <w:ind w:firstLine="480"/>
      </w:pPr>
      <w:r>
        <w:rPr>
          <w:sz w:val="24"/>
        </w:rPr>
        <w:t>（以下无正文，为签署页）</w:t>
      </w:r>
    </w:p>
    <w:p>
      <w:pPr>
        <w:pStyle w:val="null3"/>
        <w:ind w:firstLine="480"/>
      </w:pPr>
      <w:r>
        <w:rPr>
          <w:sz w:val="24"/>
        </w:rPr>
        <w:t>附件一：系统及设备清单</w:t>
      </w:r>
    </w:p>
    <w:p>
      <w:pPr>
        <w:pStyle w:val="null3"/>
        <w:ind w:firstLine="480"/>
      </w:pPr>
      <w:r>
        <w:rPr>
          <w:sz w:val="24"/>
        </w:rPr>
        <w:t>附件二：售后服务承诺书</w:t>
      </w:r>
    </w:p>
    <w:p>
      <w:pPr>
        <w:pStyle w:val="null3"/>
        <w:ind w:firstLine="480"/>
      </w:pPr>
      <w:r>
        <w:rPr>
          <w:sz w:val="24"/>
        </w:rPr>
        <w:t>甲方（盖章）：</w:t>
      </w:r>
      <w:r>
        <w:rPr>
          <w:sz w:val="24"/>
        </w:rPr>
        <w:t xml:space="preserve">__________________      </w:t>
      </w:r>
      <w:r>
        <w:rPr>
          <w:sz w:val="24"/>
        </w:rPr>
        <w:t>乙方（盖章）：</w:t>
      </w:r>
      <w:r>
        <w:rPr>
          <w:sz w:val="24"/>
        </w:rPr>
        <w:t>__________________</w:t>
      </w:r>
    </w:p>
    <w:p>
      <w:pPr>
        <w:pStyle w:val="null3"/>
        <w:ind w:firstLine="480"/>
        <w:jc w:val="both"/>
      </w:pPr>
      <w:r>
        <w:rPr>
          <w:sz w:val="24"/>
        </w:rPr>
        <w:t>法定代表人或代理人</w:t>
      </w:r>
      <w:r>
        <w:rPr>
          <w:sz w:val="24"/>
        </w:rPr>
        <w:t>(</w:t>
      </w:r>
      <w:r>
        <w:rPr>
          <w:sz w:val="24"/>
        </w:rPr>
        <w:t>签字）：</w:t>
      </w:r>
      <w:r>
        <w:rPr>
          <w:sz w:val="24"/>
        </w:rPr>
        <w:t>_________</w:t>
      </w:r>
      <w:r>
        <w:rPr>
          <w:sz w:val="24"/>
        </w:rPr>
        <w:t>法定代表人或代理人</w:t>
      </w:r>
      <w:r>
        <w:rPr>
          <w:sz w:val="24"/>
        </w:rPr>
        <w:t>(</w:t>
      </w:r>
      <w:r>
        <w:rPr>
          <w:sz w:val="24"/>
        </w:rPr>
        <w:t>签字）：</w:t>
      </w:r>
      <w:r>
        <w:rPr>
          <w:sz w:val="24"/>
        </w:rPr>
        <w:t>________</w:t>
      </w:r>
    </w:p>
    <w:p>
      <w:pPr>
        <w:pStyle w:val="null3"/>
        <w:spacing w:before="0" w:after="0" w:lineRule="auto" w:line="360"/>
        <w:ind w:left="0" w:right="0"/>
        <w:jc w:val="center"/>
      </w:pPr>
      <w:r>
        <w:rPr>
          <w:sz w:val="24"/>
        </w:rPr>
        <w:t>签订时间：</w:t>
      </w:r>
      <w:r>
        <w:rPr>
          <w:sz w:val="24"/>
        </w:rPr>
        <w:t>______</w:t>
      </w:r>
      <w:r>
        <w:rPr>
          <w:sz w:val="24"/>
        </w:rPr>
        <w:t>年</w:t>
      </w:r>
      <w:r>
        <w:rPr>
          <w:sz w:val="24"/>
        </w:rPr>
        <w:t>_____</w:t>
      </w:r>
      <w:r>
        <w:rPr>
          <w:sz w:val="24"/>
        </w:rPr>
        <w:t>月</w:t>
      </w:r>
      <w:r>
        <w:rPr>
          <w:sz w:val="24"/>
        </w:rPr>
        <w:t>_____</w:t>
      </w:r>
      <w:r>
        <w:rPr>
          <w:sz w:val="24"/>
        </w:rPr>
        <w:t>日</w:t>
      </w:r>
      <w:r>
        <w:rPr>
          <w:sz w:val="48"/>
        </w:rPr>
        <w:t xml:space="preserve">       </w:t>
      </w:r>
      <w:r>
        <w:rPr>
          <w:sz w:val="24"/>
        </w:rPr>
        <w:t>签订时间：</w:t>
      </w:r>
      <w:r>
        <w:rPr>
          <w:sz w:val="24"/>
        </w:rPr>
        <w:t>______</w:t>
      </w:r>
      <w:r>
        <w:rPr>
          <w:sz w:val="24"/>
        </w:rPr>
        <w:t>年</w:t>
      </w:r>
      <w:r>
        <w:rPr>
          <w:sz w:val="24"/>
        </w:rPr>
        <w:t>_____</w:t>
      </w:r>
      <w:r>
        <w:rPr>
          <w:sz w:val="24"/>
        </w:rPr>
        <w:t>月</w:t>
      </w:r>
    </w:p>
    <w:p>
      <w:pPr>
        <w:pStyle w:val="null3"/>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440001-2025-03113</w:t>
      </w:r>
    </w:p>
    <w:p>
      <w:pPr>
        <w:pStyle w:val="null3"/>
        <w:jc w:val="center"/>
        <w:outlineLvl w:val="3"/>
      </w:pPr>
      <w:r>
        <w:rPr>
          <w:sz w:val="24"/>
          <w:b/>
        </w:rPr>
        <w:t>采购项目编号：</w:t>
      </w:r>
      <w:r>
        <w:rPr>
          <w:sz w:val="24"/>
          <w:b/>
        </w:rPr>
        <w:t>GPCGD253185HG006F</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广东省政府采购中心</w:t>
      </w:r>
    </w:p>
    <w:p>
      <w:pPr>
        <w:pStyle w:val="null3"/>
        <w:ind w:firstLine="480"/>
      </w:pPr>
      <w:r>
        <w:rPr/>
        <w:t xml:space="preserve"> 你方组织的</w:t>
      </w:r>
      <w:r>
        <w:rPr>
          <w:u w:val="single"/>
        </w:rPr>
        <w:t>“</w:t>
      </w:r>
      <w:r>
        <w:rPr>
          <w:u w:val="single"/>
        </w:rPr>
        <w:t>广东卫视4K超高清频道播出系统建设项目（标段3：视音频播出通道系统）</w:t>
      </w:r>
      <w:r>
        <w:rPr>
          <w:u w:val="single"/>
        </w:rPr>
        <w:t>”</w:t>
      </w:r>
      <w:r>
        <w:rPr/>
        <w:t>项目的招标[采购项目编号为：</w:t>
      </w:r>
      <w:r>
        <w:rPr>
          <w:u w:val="single"/>
        </w:rPr>
        <w:t>GPCGD253185HG006F</w:t>
      </w:r>
      <w:r>
        <w:rPr/>
        <w:t>]，我方愿参与投标。</w:t>
      </w:r>
    </w:p>
    <w:p>
      <w:pPr>
        <w:pStyle w:val="null3"/>
        <w:ind w:firstLine="480"/>
      </w:pPr>
      <w:r>
        <w:rPr/>
        <w:t>我方确认收到贵方提供的</w:t>
      </w:r>
      <w:r>
        <w:rPr>
          <w:u w:val="single"/>
        </w:rPr>
        <w:t>“</w:t>
      </w:r>
      <w:r>
        <w:rPr>
          <w:u w:val="single"/>
        </w:rPr>
        <w:t>广东卫视4K超高清频道播出系统建设项目（标段3：视音频播出通道系统）</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利。</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（三）我方明白并同意，在规定的开标日之后，投标有效期之内撤回投标或中标后不按规定与采购人签订合同或不提交履约保证金,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（六）我方如果中标，将保证履行招标文件及其澄清、修改文件（如果有）中的全部责任和义务，按质、按量、按期完成《采购需求》及《合同书》中的全部任务。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（八）我方投标报价已包含应向知识产权所有权人支付的所有相关税费，并保证采购人在中国使用我方提供的货物时，如有第三方提出侵犯其知识产权主张的，责任由我方承担。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 xml:space="preserve"> （十四）我方具备《中华人民共和国政府采购法》第二十二条规定的条件，承诺如下：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（十五）我方对在本函及投标文件中所作的所有承诺承担法律责任。</w:t>
      </w:r>
    </w:p>
    <w:p>
      <w:pPr>
        <w:pStyle w:val="null3"/>
        <w:ind w:firstLine="480"/>
      </w:pPr>
      <w:r>
        <w:rPr/>
        <w:t xml:space="preserve"> （十六）所有与本招标有关的函件请发往下列地址：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广东省政府采购中心</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广东卫视4K超高清频道播出系统建设项目（标段3：视音频播出通道系统）</w:t>
      </w:r>
      <w:r>
        <w:rPr/>
        <w:t>”项目采购[采购项目编号为</w:t>
      </w:r>
      <w:r>
        <w:rPr/>
        <w:t>GPCGD253185HG006F</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广东广播电视台</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广东省政府采购中心</w:t>
      </w:r>
    </w:p>
    <w:p>
      <w:pPr>
        <w:pStyle w:val="null3"/>
        <w:ind w:firstLine="480"/>
      </w:pPr>
      <w:r>
        <w:rPr/>
        <w:t xml:space="preserve"> 如果我方在贵采购代理机构组织的</w:t>
      </w:r>
      <w:r>
        <w:rPr/>
        <w:t>广东卫视4K超高清频道播出系统建设项目（标段3：视音频播出通道系统）</w:t>
      </w:r>
      <w:r>
        <w:rPr/>
        <w:t>招标中获中标（采购项目编号：</w:t>
      </w:r>
      <w:r>
        <w:rPr/>
        <w:t>GPCGD253185HG006F</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广东省政府采购中心</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广东省政府采购中心</w:t>
      </w:r>
    </w:p>
    <w:p>
      <w:pPr>
        <w:pStyle w:val="null3"/>
        <w:ind w:firstLine="480"/>
      </w:pPr>
      <w:r>
        <w:rPr/>
        <w:t>我单位已登记并准备参与“</w:t>
      </w:r>
      <w:r>
        <w:rPr/>
        <w:t>广东卫视4K超高清频道播出系统建设项目（标段3：视音频播出通道系统）</w:t>
      </w:r>
      <w:r>
        <w:rPr/>
        <w:t>”项目（采购项目编号：</w:t>
      </w:r>
      <w:r>
        <w:rPr/>
        <w:t>GPCGD253185HG006F</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media/image1.jpeg" Type="http://schemas.openxmlformats.org/officeDocument/2006/relationships/imag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