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440001-2025-01898</w:t>
      </w:r>
    </w:p>
    <w:p>
      <w:pPr>
        <w:pStyle w:val="null3"/>
        <w:jc w:val="center"/>
        <w:outlineLvl w:val="3"/>
      </w:pPr>
      <w:r>
        <w:rPr>
          <w:sz w:val="24"/>
          <w:b/>
        </w:rPr>
        <w:t>采购项目编号：</w:t>
      </w:r>
      <w:r>
        <w:rPr>
          <w:sz w:val="24"/>
          <w:b/>
        </w:rPr>
        <w:t>GPCGD253109HG013J</w:t>
      </w:r>
    </w:p>
    <w:p>
      <w:pPr>
        <w:pStyle w:val="null3"/>
        <w:jc w:val="center"/>
        <w:outlineLvl w:val="3"/>
      </w:pPr>
      <w:r>
        <w:rPr>
          <w:sz w:val="24"/>
          <w:b/>
        </w:rPr>
        <w:t>项目名称：</w:t>
      </w:r>
      <w:r>
        <w:rPr>
          <w:sz w:val="24"/>
          <w:b/>
        </w:rPr>
        <w:t>广东省地图院计算机设备采购（2025年）</w:t>
      </w:r>
    </w:p>
    <w:p>
      <w:pPr>
        <w:pStyle w:val="null3"/>
        <w:jc w:val="center"/>
        <w:outlineLvl w:val="3"/>
      </w:pPr>
      <w:r>
        <w:rPr>
          <w:sz w:val="24"/>
          <w:b/>
        </w:rPr>
        <w:t>采购人：</w:t>
      </w:r>
      <w:r>
        <w:rPr>
          <w:sz w:val="24"/>
          <w:b/>
        </w:rPr>
        <w:t>广东省地图院</w:t>
      </w:r>
    </w:p>
    <w:p>
      <w:pPr>
        <w:pStyle w:val="null3"/>
        <w:jc w:val="center"/>
        <w:outlineLvl w:val="3"/>
      </w:pPr>
      <w:r>
        <w:rPr>
          <w:sz w:val="24"/>
          <w:b/>
        </w:rPr>
        <w:t>采购代理机构：</w:t>
      </w:r>
      <w:r>
        <w:rPr>
          <w:sz w:val="24"/>
          <w:b/>
        </w:rPr>
        <w:t>广东省政府采购中心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广东省政府采购中心</w:t>
      </w:r>
      <w:r>
        <w:rPr/>
        <w:t>受</w:t>
      </w:r>
      <w:r>
        <w:rPr/>
        <w:t>广东省地图院</w:t>
      </w:r>
      <w:r>
        <w:rPr/>
        <w:t>的委托，采用</w:t>
      </w:r>
      <w:r>
        <w:rPr/>
        <w:t>公开招标</w:t>
      </w:r>
      <w:r>
        <w:rPr/>
        <w:t>方式组织采购</w:t>
      </w:r>
      <w:r>
        <w:rPr/>
        <w:t>广东省地图院计算机设备采购（2025年）</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广东省地图院计算机设备采购（2025年）</w:t>
      </w:r>
    </w:p>
    <w:p>
      <w:pPr>
        <w:pStyle w:val="null3"/>
        <w:ind w:firstLine="480"/>
      </w:pPr>
      <w:r>
        <w:rPr/>
        <w:t>采购计划编号：</w:t>
      </w:r>
      <w:r>
        <w:rPr/>
        <w:t>440001-2025-01898</w:t>
      </w:r>
    </w:p>
    <w:p>
      <w:pPr>
        <w:pStyle w:val="null3"/>
        <w:ind w:firstLine="480"/>
      </w:pPr>
      <w:r>
        <w:rPr/>
        <w:t>采购项目编号：</w:t>
      </w:r>
      <w:r>
        <w:rPr/>
        <w:t>GPCGD253109HG013J</w:t>
      </w:r>
    </w:p>
    <w:p>
      <w:pPr>
        <w:pStyle w:val="null3"/>
        <w:ind w:firstLine="480"/>
      </w:pPr>
      <w:r>
        <w:rPr/>
        <w:t>采购方式：</w:t>
      </w:r>
      <w:r>
        <w:rPr/>
        <w:t>公开招标</w:t>
      </w:r>
    </w:p>
    <w:p>
      <w:pPr>
        <w:pStyle w:val="null3"/>
        <w:ind w:firstLine="480"/>
      </w:pPr>
      <w:r>
        <w:rPr/>
        <w:t>预算金额：</w:t>
      </w:r>
      <w:r>
        <w:rPr/>
        <w:t>1,440,000.00</w:t>
      </w:r>
      <w:r>
        <w:rPr/>
        <w:t>元</w:t>
      </w:r>
    </w:p>
    <w:p>
      <w:pPr>
        <w:pStyle w:val="null3"/>
        <w:outlineLvl w:val="3"/>
      </w:pPr>
      <w:r>
        <w:rPr>
          <w:sz w:val="24"/>
          <w:b/>
        </w:rPr>
        <w:t>2.项目内容及需求情况（采购项目技术规格、参数及要求）</w:t>
      </w:r>
    </w:p>
    <w:p>
      <w:pPr>
        <w:pStyle w:val="null3"/>
      </w:pPr>
      <w:r>
        <w:rPr/>
        <w:t>采购包1(广东省地图院计算机设备采购（2025年）):</w:t>
      </w:r>
    </w:p>
    <w:p>
      <w:pPr>
        <w:pStyle w:val="null3"/>
      </w:pPr>
      <w:r>
        <w:rPr/>
        <w:t>采购包预算金额：1,440,000.00元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图形工作站</w:t>
            </w:r>
          </w:p>
        </w:tc>
        <w:tc>
          <w:tcPr>
            <w:tcW w:type="dxa" w:w="2136"/>
          </w:tcPr>
          <w:p>
            <w:pPr>
              <w:pStyle w:val="null3"/>
            </w:pPr>
            <w:r>
              <w:rPr/>
              <w:t>图形工作站</w:t>
            </w:r>
          </w:p>
        </w:tc>
        <w:tc>
          <w:tcPr>
            <w:tcW w:type="dxa" w:w="1187"/>
          </w:tcPr>
          <w:p>
            <w:pPr>
              <w:pStyle w:val="null3"/>
            </w:pPr>
            <w:r>
              <w:rPr/>
              <w:t>29(台)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移动工作站</w:t>
            </w:r>
          </w:p>
        </w:tc>
        <w:tc>
          <w:tcPr>
            <w:tcW w:type="dxa" w:w="2136"/>
          </w:tcPr>
          <w:p>
            <w:pPr>
              <w:pStyle w:val="null3"/>
            </w:pPr>
            <w:r>
              <w:rPr/>
              <w:t>移动工作站</w:t>
            </w:r>
          </w:p>
        </w:tc>
        <w:tc>
          <w:tcPr>
            <w:tcW w:type="dxa" w:w="1187"/>
          </w:tcPr>
          <w:p>
            <w:pPr>
              <w:pStyle w:val="null3"/>
            </w:pPr>
            <w:r>
              <w:rPr/>
              <w:t>12(台)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服务器</w:t>
            </w:r>
          </w:p>
        </w:tc>
        <w:tc>
          <w:tcPr>
            <w:tcW w:type="dxa" w:w="2136"/>
          </w:tcPr>
          <w:p>
            <w:pPr>
              <w:pStyle w:val="null3"/>
            </w:pPr>
            <w:r>
              <w:rPr/>
              <w:t>服务器</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合同履行期限：合同生效之日起至投标人承诺的服务周期为止。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书面声明（承诺具有依法缴纳税收和社会保障资金的良好记录），格式自拟；或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提供书面声明（承诺具有良好的商业信誉和健全的财务会计制度），格式自拟；或提供经会计师事务所审计的投标人2023年度或2024年度财务状况报告；或同时提供a.基本开户行出具的资信证明，b.《基本存款账号信息》或《开户许可证》。</w:t>
      </w:r>
    </w:p>
    <w:p>
      <w:pPr>
        <w:pStyle w:val="null3"/>
      </w:pPr>
      <w:r>
        <w:rPr/>
        <w:t>4）履行合同所必需的设备和专业技术能力：提供书面声明（承诺具备履行合同所必需的设备和专业技术能力），格式自拟；或按投标（响应）文件格式填报设备及专业技术能力情况。</w:t>
      </w:r>
    </w:p>
    <w:p>
      <w:pPr>
        <w:pStyle w:val="null3"/>
      </w:pPr>
      <w:r>
        <w:rPr/>
        <w:t>5）参加采购活动前3年内，在经营活动中没有重大违法记录：按照《投标函》相关内容格式要求提供承诺。注：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采购包1（广东省地图院计算机设备采购（2025年））：</w:t>
      </w:r>
    </w:p>
    <w:p>
      <w:pPr>
        <w:pStyle w:val="null3"/>
      </w:pPr>
      <w:r>
        <w:rPr/>
        <w:t>1)供应商未被“信用中国”网站(www.creditchina.gov.cn)列入“失信被执行人”“重大税收违法失信主体”“政府采购严重违法失信行为记录名单”；不处于中国政府采购网(www.ccgp.gov.cn)“政府采购严重违法失信行为信息记录”中的禁止参加政府采购活动期间。（以采购代理机构于投标（响应）截止日当天在“信用中国”网站（www.creditchina.gov.cn）及中国政府采购网（www.ccgp.gov.cn）查询结果为准，如相关失信记录已失效，报价人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不得再参与本项目投标（响应）。按《投标函》相关内容格式要求提供承诺。</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广东省地图院</w:t>
      </w:r>
    </w:p>
    <w:p>
      <w:pPr>
        <w:pStyle w:val="null3"/>
        <w:ind w:firstLine="480"/>
      </w:pPr>
      <w:r>
        <w:rPr/>
        <w:t xml:space="preserve"> 地址：</w:t>
      </w:r>
      <w:r>
        <w:rPr/>
        <w:t>广东省广州市越秀区环市东路468号1号办公楼</w:t>
      </w:r>
    </w:p>
    <w:p>
      <w:pPr>
        <w:pStyle w:val="null3"/>
        <w:ind w:firstLine="480"/>
      </w:pPr>
      <w:r>
        <w:rPr/>
        <w:t xml:space="preserve"> 联系方式：</w:t>
      </w:r>
      <w:r>
        <w:rPr/>
        <w:t>020-37628337</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020-836187191</w:t>
      </w:r>
    </w:p>
    <w:p>
      <w:pPr>
        <w:pStyle w:val="null3"/>
        <w:outlineLvl w:val="3"/>
      </w:pPr>
      <w:r>
        <w:rPr>
          <w:sz w:val="24"/>
          <w:b/>
        </w:rPr>
        <w:t xml:space="preserve"> 3.项目联系方式</w:t>
      </w:r>
    </w:p>
    <w:p>
      <w:pPr>
        <w:pStyle w:val="null3"/>
        <w:ind w:firstLine="480"/>
      </w:pPr>
      <w:r>
        <w:rPr/>
        <w:t xml:space="preserve"> 项目联系人：</w:t>
      </w:r>
      <w:r>
        <w:rPr/>
        <w:t>王工</w:t>
      </w:r>
    </w:p>
    <w:p>
      <w:pPr>
        <w:pStyle w:val="null3"/>
        <w:ind w:firstLine="480"/>
      </w:pPr>
      <w:r>
        <w:rPr/>
        <w:t xml:space="preserve"> 电话：</w:t>
      </w:r>
      <w:r>
        <w:rPr/>
        <w:t>020-836187191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8"/>
          <w:b/>
        </w:rPr>
        <w:t>一、项目概况：</w:t>
      </w:r>
    </w:p>
    <w:p>
      <w:pPr>
        <w:pStyle w:val="null3"/>
        <w:ind w:firstLine="420"/>
      </w:pPr>
      <w:r>
        <w:rPr>
          <w:sz w:val="21"/>
        </w:rPr>
        <w:t>1.</w:t>
      </w:r>
      <w:r>
        <w:rPr>
          <w:sz w:val="21"/>
        </w:rPr>
        <w:t>采购项目编号：</w:t>
      </w:r>
    </w:p>
    <w:p>
      <w:pPr>
        <w:pStyle w:val="null3"/>
        <w:ind w:firstLine="420"/>
      </w:pPr>
      <w:r>
        <w:rPr>
          <w:sz w:val="21"/>
        </w:rPr>
        <w:t>2.</w:t>
      </w:r>
      <w:r>
        <w:rPr>
          <w:sz w:val="21"/>
        </w:rPr>
        <w:t>采购项目名称：</w:t>
      </w:r>
      <w:r>
        <w:rPr>
          <w:sz w:val="20"/>
        </w:rPr>
        <w:t>广东省地图院计算机设备采购（</w:t>
      </w:r>
      <w:r>
        <w:rPr>
          <w:sz w:val="20"/>
        </w:rPr>
        <w:t>2025</w:t>
      </w:r>
      <w:r>
        <w:rPr>
          <w:sz w:val="20"/>
        </w:rPr>
        <w:t>年）</w:t>
      </w:r>
    </w:p>
    <w:p>
      <w:pPr>
        <w:pStyle w:val="null3"/>
        <w:ind w:firstLine="420"/>
      </w:pPr>
      <w:r>
        <w:rPr>
          <w:sz w:val="21"/>
        </w:rPr>
        <w:t>3.</w:t>
      </w:r>
      <w:r>
        <w:rPr>
          <w:sz w:val="21"/>
        </w:rPr>
        <w:t>采购人：广东省地图院</w:t>
      </w:r>
    </w:p>
    <w:p>
      <w:pPr>
        <w:pStyle w:val="null3"/>
        <w:ind w:firstLine="420"/>
      </w:pPr>
      <w:r>
        <w:rPr>
          <w:sz w:val="21"/>
        </w:rPr>
        <w:t>4.</w:t>
      </w:r>
      <w:r>
        <w:rPr>
          <w:sz w:val="21"/>
        </w:rPr>
        <w:t>采购预算：</w:t>
      </w:r>
      <w:r>
        <w:rPr>
          <w:sz w:val="21"/>
        </w:rPr>
        <w:t>144</w:t>
      </w:r>
      <w:r>
        <w:rPr>
          <w:sz w:val="21"/>
        </w:rPr>
        <w:t>万元</w:t>
      </w:r>
    </w:p>
    <w:p>
      <w:pPr>
        <w:pStyle w:val="null3"/>
        <w:ind w:firstLine="420"/>
      </w:pPr>
      <w:r>
        <w:rPr>
          <w:sz w:val="21"/>
        </w:rPr>
        <w:t>5.</w:t>
      </w:r>
      <w:r>
        <w:rPr>
          <w:sz w:val="21"/>
        </w:rPr>
        <w:t>采购方式：公开招标</w:t>
      </w:r>
    </w:p>
    <w:p>
      <w:pPr>
        <w:pStyle w:val="null3"/>
        <w:ind w:firstLine="420"/>
      </w:pPr>
      <w:r>
        <w:rPr>
          <w:sz w:val="21"/>
        </w:rPr>
        <w:t>6.</w:t>
      </w:r>
      <w:r>
        <w:rPr>
          <w:sz w:val="21"/>
        </w:rPr>
        <w:t>项目内容及需求：（采购项目技术规格、参数及要求、需要落实的政府采购政策）</w:t>
      </w:r>
    </w:p>
    <w:tbl>
      <w:tblPr>
        <w:tblW w:w="0" w:type="auto"/>
        <w:tblBorders>
          <w:top w:val="none" w:color="000000" w:sz="4"/>
          <w:left w:val="none" w:color="000000" w:sz="4"/>
          <w:bottom w:val="none" w:color="000000" w:sz="4"/>
          <w:right w:val="none" w:color="000000" w:sz="4"/>
          <w:insideH w:val="none"/>
          <w:insideV w:val="none"/>
        </w:tblBorders>
      </w:tblPr>
      <w:tblGrid>
        <w:gridCol w:w="678"/>
        <w:gridCol w:w="1526"/>
        <w:gridCol w:w="1610"/>
        <w:gridCol w:w="848"/>
        <w:gridCol w:w="1271"/>
        <w:gridCol w:w="1102"/>
        <w:gridCol w:w="1271"/>
      </w:tblGrid>
      <w:tr>
        <w:tc>
          <w:tcPr>
            <w:tcW w:type="dxa" w:w="67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152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品目名称</w:t>
            </w:r>
          </w:p>
        </w:tc>
        <w:tc>
          <w:tcPr>
            <w:tcW w:type="dxa" w:w="161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采购标的</w:t>
            </w:r>
          </w:p>
        </w:tc>
        <w:tc>
          <w:tcPr>
            <w:tcW w:type="dxa" w:w="84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数量（台）</w:t>
            </w:r>
          </w:p>
        </w:tc>
        <w:tc>
          <w:tcPr>
            <w:tcW w:type="dxa" w:w="127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分项预算单价（万元）</w:t>
            </w:r>
          </w:p>
        </w:tc>
        <w:tc>
          <w:tcPr>
            <w:tcW w:type="dxa" w:w="110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分项预算（万元）</w:t>
            </w:r>
          </w:p>
        </w:tc>
        <w:tc>
          <w:tcPr>
            <w:tcW w:type="dxa" w:w="127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技术规格、参数及要求</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A02010107</w:t>
            </w:r>
          </w:p>
          <w:p>
            <w:pPr>
              <w:pStyle w:val="null3"/>
              <w:jc w:val="center"/>
            </w:pPr>
            <w:r>
              <w:rPr>
                <w:sz w:val="21"/>
              </w:rPr>
              <w:t>图形工作站</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图形工作站</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29</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2.7</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78.3</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9"/>
              </w:rPr>
              <w:t>详见技术和商务要求</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A02010106</w:t>
            </w:r>
          </w:p>
          <w:p>
            <w:pPr>
              <w:pStyle w:val="null3"/>
              <w:jc w:val="center"/>
            </w:pPr>
            <w:r>
              <w:rPr>
                <w:sz w:val="21"/>
              </w:rPr>
              <w:t>移动工作站</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移动工作站</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1.4</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16.8</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9"/>
              </w:rPr>
              <w:t>详见技术和商务要求</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A02010104</w:t>
            </w:r>
          </w:p>
          <w:p>
            <w:pPr>
              <w:pStyle w:val="null3"/>
              <w:jc w:val="center"/>
            </w:pPr>
            <w:r>
              <w:rPr>
                <w:sz w:val="21"/>
              </w:rPr>
              <w:t>服务器</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服务器</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48.9</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48.9</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9"/>
              </w:rPr>
              <w:t>详见技术和商务要求</w:t>
            </w:r>
          </w:p>
        </w:tc>
      </w:tr>
    </w:tbl>
    <w:p>
      <w:pPr>
        <w:pStyle w:val="null3"/>
        <w:ind w:firstLine="420"/>
        <w:jc w:val="both"/>
      </w:pPr>
      <w:r>
        <w:rPr>
          <w:sz w:val="21"/>
        </w:rPr>
        <w:t>本项目不接受联合体投标，不允许转包或分包。</w:t>
      </w:r>
    </w:p>
    <w:p>
      <w:pPr>
        <w:pStyle w:val="null3"/>
        <w:ind w:firstLine="420"/>
        <w:jc w:val="both"/>
      </w:pPr>
      <w:r>
        <w:rPr>
          <w:sz w:val="21"/>
        </w:rPr>
        <w:t>需要落实的政府采购政策：《政府采购促进中小企业发展管理办法》（财库（</w:t>
      </w:r>
      <w:r>
        <w:rPr>
          <w:sz w:val="21"/>
        </w:rPr>
        <w:t>2020</w:t>
      </w:r>
      <w:r>
        <w:rPr>
          <w:sz w:val="21"/>
        </w:rPr>
        <w:t>）</w:t>
      </w:r>
      <w:r>
        <w:rPr>
          <w:sz w:val="21"/>
        </w:rPr>
        <w:t>46</w:t>
      </w:r>
      <w:r>
        <w:rPr>
          <w:sz w:val="21"/>
        </w:rPr>
        <w:t>号）、《关于政府采购支持监狱企业发展有关问题的通知》（财库（</w:t>
      </w:r>
      <w:r>
        <w:rPr>
          <w:sz w:val="21"/>
        </w:rPr>
        <w:t>2014</w:t>
      </w:r>
      <w:r>
        <w:rPr>
          <w:sz w:val="21"/>
        </w:rPr>
        <w:t>）</w:t>
      </w:r>
      <w:r>
        <w:rPr>
          <w:sz w:val="21"/>
        </w:rPr>
        <w:t>68</w:t>
      </w:r>
      <w:r>
        <w:rPr>
          <w:sz w:val="21"/>
        </w:rPr>
        <w:t>号）、《关于促进残疾人就业政府采购政策的通知》（财库（</w:t>
      </w:r>
      <w:r>
        <w:rPr>
          <w:sz w:val="21"/>
        </w:rPr>
        <w:t>2017</w:t>
      </w:r>
      <w:r>
        <w:rPr>
          <w:sz w:val="21"/>
        </w:rPr>
        <w:t>）</w:t>
      </w:r>
      <w:r>
        <w:rPr>
          <w:sz w:val="21"/>
        </w:rPr>
        <w:t>141</w:t>
      </w:r>
      <w:r>
        <w:rPr>
          <w:sz w:val="21"/>
        </w:rPr>
        <w:t>号）、《关于调整优化节能产品、环境标志产品政府采购执行机制的通知》（财库（</w:t>
      </w:r>
      <w:r>
        <w:rPr>
          <w:sz w:val="21"/>
        </w:rPr>
        <w:t>2019</w:t>
      </w:r>
      <w:r>
        <w:rPr>
          <w:sz w:val="21"/>
        </w:rPr>
        <w:t>）</w:t>
      </w:r>
      <w:r>
        <w:rPr>
          <w:sz w:val="21"/>
        </w:rPr>
        <w:t>9</w:t>
      </w:r>
      <w:r>
        <w:rPr>
          <w:sz w:val="21"/>
        </w:rPr>
        <w:t>号）等。</w:t>
      </w:r>
    </w:p>
    <w:p>
      <w:pPr>
        <w:pStyle w:val="null3"/>
        <w:ind w:firstLine="420"/>
        <w:jc w:val="both"/>
      </w:pPr>
      <w:r>
        <w:rPr>
          <w:sz w:val="21"/>
        </w:rPr>
        <w:t>本项目属于货物类项目，中小企业划分标准所属行业为：工业。</w:t>
      </w:r>
    </w:p>
    <w:p>
      <w:pPr>
        <w:pStyle w:val="null3"/>
        <w:ind w:firstLine="420"/>
        <w:jc w:val="both"/>
      </w:pPr>
      <w:r>
        <w:rPr>
          <w:sz w:val="21"/>
        </w:rPr>
        <w:t>本项目属于非专门面向中小企业采购项目。</w:t>
      </w:r>
    </w:p>
    <w:p>
      <w:pPr>
        <w:pStyle w:val="null3"/>
      </w:pPr>
      <w:r>
        <w:rPr>
          <w:sz w:val="28"/>
          <w:b/>
        </w:rPr>
        <w:t>用户需求书</w:t>
      </w:r>
    </w:p>
    <w:p>
      <w:pPr>
        <w:pStyle w:val="null3"/>
        <w:ind w:firstLine="420"/>
        <w:jc w:val="both"/>
      </w:pPr>
      <w:r>
        <w:rPr>
          <w:sz w:val="21"/>
        </w:rPr>
        <w:t>供应商须对本项目为单位的货物及服务进行整体响应，任何只对本项目其中一部分内容进行的响应都被视为无效响应。</w:t>
      </w:r>
    </w:p>
    <w:p>
      <w:pPr>
        <w:pStyle w:val="null3"/>
        <w:ind w:firstLine="420"/>
        <w:jc w:val="both"/>
      </w:pPr>
      <w:r>
        <w:rPr>
          <w:sz w:val="21"/>
        </w:rPr>
        <w:t>《用户需求书》中标注有“★”号的条款必须实质性响应，负偏离任一“★”号条款（不满足要求）将导致报价无效。</w:t>
      </w:r>
    </w:p>
    <w:p>
      <w:pPr>
        <w:pStyle w:val="null3"/>
        <w:ind w:firstLine="420"/>
        <w:jc w:val="both"/>
      </w:pPr>
      <w:r>
        <w:rPr>
          <w:sz w:val="21"/>
        </w:rPr>
        <w:t>《用户需求书》中标注有“▲”的为重要参数指标，投标人若有部分“▲”条款未响应或不满足，将导致其响应性评审扣分。</w:t>
      </w:r>
    </w:p>
    <w:p>
      <w:pPr>
        <w:pStyle w:val="null3"/>
        <w:ind w:firstLine="422"/>
        <w:jc w:val="both"/>
      </w:pPr>
      <w:r>
        <w:rPr>
          <w:sz w:val="21"/>
          <w:b/>
        </w:rPr>
        <w:t>供应商所投的产品，符合节能产品、环境标志产品政策要求的，按附件中《政策适用性说明》格式提供说明。</w:t>
      </w:r>
    </w:p>
    <w:p>
      <w:pPr>
        <w:pStyle w:val="null3"/>
        <w:ind w:firstLine="422"/>
        <w:jc w:val="both"/>
      </w:pPr>
      <w:r>
        <w:rPr>
          <w:sz w:val="21"/>
          <w:b/>
        </w:rPr>
        <w:t>一、项目背景</w:t>
      </w:r>
    </w:p>
    <w:p>
      <w:pPr>
        <w:pStyle w:val="null3"/>
        <w:ind w:firstLine="420"/>
        <w:jc w:val="both"/>
      </w:pPr>
      <w:r>
        <w:rPr>
          <w:sz w:val="21"/>
        </w:rPr>
        <w:t>为支撑</w:t>
      </w:r>
      <w:r>
        <w:rPr>
          <w:sz w:val="21"/>
        </w:rPr>
        <w:t>2025</w:t>
      </w:r>
      <w:r>
        <w:rPr>
          <w:sz w:val="21"/>
        </w:rPr>
        <w:t>年度省级基础测绘、广东省地表水资源基础调查监测体系建设和自然资源确权登记项目的建设，本项目采购</w:t>
      </w:r>
      <w:r>
        <w:rPr>
          <w:sz w:val="21"/>
        </w:rPr>
        <w:t>29</w:t>
      </w:r>
      <w:r>
        <w:rPr>
          <w:sz w:val="21"/>
        </w:rPr>
        <w:t>台图形工作站、</w:t>
      </w:r>
      <w:r>
        <w:rPr>
          <w:sz w:val="21"/>
        </w:rPr>
        <w:t>12</w:t>
      </w:r>
      <w:r>
        <w:rPr>
          <w:sz w:val="21"/>
        </w:rPr>
        <w:t>台移动工作站和</w:t>
      </w:r>
      <w:r>
        <w:rPr>
          <w:sz w:val="21"/>
        </w:rPr>
        <w:t>1</w:t>
      </w:r>
      <w:r>
        <w:rPr>
          <w:sz w:val="21"/>
        </w:rPr>
        <w:t>台服务器等货物，为相关项目提供作业装备，支撑相关工作的开展。</w:t>
      </w:r>
    </w:p>
    <w:p>
      <w:pPr>
        <w:pStyle w:val="null3"/>
        <w:ind w:firstLine="422"/>
        <w:jc w:val="both"/>
      </w:pPr>
      <w:r>
        <w:rPr>
          <w:sz w:val="21"/>
          <w:b/>
        </w:rPr>
        <w:t>二、项目预算</w:t>
      </w:r>
    </w:p>
    <w:p>
      <w:pPr>
        <w:pStyle w:val="null3"/>
        <w:ind w:firstLine="420"/>
        <w:jc w:val="both"/>
      </w:pPr>
      <w:r>
        <w:rPr>
          <w:sz w:val="21"/>
        </w:rPr>
        <w:t>本项目总预算为人民币壹佰肆拾肆万元整（</w:t>
      </w:r>
      <w:r>
        <w:rPr>
          <w:sz w:val="21"/>
        </w:rPr>
        <w:t>¥1,440,000.00</w:t>
      </w:r>
      <w:r>
        <w:rPr>
          <w:sz w:val="21"/>
        </w:rPr>
        <w:t>）。</w:t>
      </w:r>
    </w:p>
    <w:p>
      <w:pPr>
        <w:pStyle w:val="null3"/>
        <w:ind w:firstLine="422"/>
        <w:jc w:val="both"/>
      </w:pPr>
      <w:r>
        <w:rPr>
          <w:sz w:val="21"/>
          <w:b/>
        </w:rPr>
        <w:t>三、项目实施期限</w:t>
      </w:r>
    </w:p>
    <w:p>
      <w:pPr>
        <w:pStyle w:val="null3"/>
        <w:ind w:firstLine="400"/>
      </w:pPr>
      <w:r>
        <w:rPr>
          <w:sz w:val="20"/>
        </w:rPr>
        <w:t>合同生效之日起至合同生效之日起至投标人承诺的服务周期为止。</w:t>
      </w:r>
    </w:p>
    <w:p>
      <w:pPr>
        <w:pStyle w:val="null3"/>
        <w:ind w:firstLine="420"/>
        <w:jc w:val="both"/>
      </w:pPr>
      <w:r>
        <w:rPr>
          <w:sz w:val="21"/>
          <w:b/>
        </w:rPr>
        <w:t>四、采购标的</w:t>
      </w:r>
    </w:p>
    <w:p>
      <w:pPr>
        <w:pStyle w:val="null3"/>
        <w:ind w:firstLine="422"/>
        <w:jc w:val="both"/>
      </w:pPr>
      <w:r>
        <w:rPr>
          <w:sz w:val="21"/>
          <w:b/>
        </w:rPr>
        <w:t>（一）采购货物标的汇总表</w:t>
      </w:r>
    </w:p>
    <w:tbl>
      <w:tblPr>
        <w:tblW w:w="0" w:type="auto"/>
        <w:tblBorders>
          <w:top w:val="none" w:color="000000" w:sz="4"/>
          <w:left w:val="none" w:color="000000" w:sz="4"/>
          <w:bottom w:val="none" w:color="000000" w:sz="4"/>
          <w:right w:val="none" w:color="000000" w:sz="4"/>
          <w:insideH w:val="none"/>
          <w:insideV w:val="none"/>
        </w:tblBorders>
      </w:tblPr>
      <w:tblGrid>
        <w:gridCol w:w="514"/>
        <w:gridCol w:w="1541"/>
        <w:gridCol w:w="685"/>
        <w:gridCol w:w="685"/>
        <w:gridCol w:w="1199"/>
        <w:gridCol w:w="942"/>
        <w:gridCol w:w="1370"/>
        <w:gridCol w:w="1370"/>
      </w:tblGrid>
      <w:tr>
        <w:tc>
          <w:tcPr>
            <w:tcW w:type="dxa" w:w="51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154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采购标的</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计量单位</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数量</w:t>
            </w:r>
          </w:p>
        </w:tc>
        <w:tc>
          <w:tcPr>
            <w:tcW w:type="dxa" w:w="119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分项预算（万元）</w:t>
            </w:r>
          </w:p>
        </w:tc>
        <w:tc>
          <w:tcPr>
            <w:tcW w:type="dxa" w:w="94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是否核心产品</w:t>
            </w:r>
          </w:p>
        </w:tc>
        <w:tc>
          <w:tcPr>
            <w:tcW w:type="dxa" w:w="137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是否进口</w:t>
            </w:r>
          </w:p>
        </w:tc>
        <w:tc>
          <w:tcPr>
            <w:tcW w:type="dxa" w:w="137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技术规格、参数及要求</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图形工作站</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29</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78.3</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是</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否</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9"/>
              </w:rPr>
              <w:t>详见采购文件</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移动工作站</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16.8</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否</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否</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9"/>
              </w:rPr>
              <w:t>详见采购文件</w:t>
            </w:r>
          </w:p>
          <w:p>
            <w:pPr>
              <w:pStyle w:val="null3"/>
              <w:jc w:val="center"/>
            </w:p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服务器</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48.9</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否</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否</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9"/>
              </w:rPr>
              <w:t>详见采购文件</w:t>
            </w:r>
          </w:p>
        </w:tc>
      </w:tr>
    </w:tbl>
    <w:p>
      <w:pPr>
        <w:pStyle w:val="null3"/>
        <w:jc w:val="both"/>
      </w:pPr>
      <w:r>
        <w:rPr>
          <w:sz w:val="21"/>
        </w:rPr>
        <w:t>★</w:t>
      </w:r>
      <w:r>
        <w:rPr>
          <w:sz w:val="21"/>
          <w:b/>
        </w:rPr>
        <w:t>供应商需根据采购货物标的提供分项报价，报价均含税。无分项报价或分项报价超过分项预算的报价为无效报价，具体预算构成见上表（《采购货物标的汇总表》）。</w:t>
      </w:r>
    </w:p>
    <w:p>
      <w:pPr>
        <w:pStyle w:val="null3"/>
        <w:ind w:firstLine="420"/>
        <w:jc w:val="both"/>
      </w:pPr>
      <w:r>
        <w:rPr>
          <w:sz w:val="21"/>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w:t>
      </w:r>
      <w:r>
        <w:rPr>
          <w:sz w:val="21"/>
          <w:b/>
        </w:rPr>
        <w:t>投标时提供承诺，可参照“投标（响应）文件格式”中《承诺函》格式</w:t>
      </w:r>
      <w:r>
        <w:rPr>
          <w:sz w:val="21"/>
        </w:rPr>
        <w:t>）。</w:t>
      </w:r>
    </w:p>
    <w:p>
      <w:pPr>
        <w:pStyle w:val="null3"/>
        <w:ind w:firstLine="422"/>
        <w:jc w:val="both"/>
      </w:pPr>
      <w:r>
        <w:rPr>
          <w:sz w:val="21"/>
          <w:b/>
        </w:rPr>
        <w:t>★投标人须承诺所投设备均符合国家强制性要求。（投标时提供承诺，可参照“投标（响应）文件格式”中《承诺函》格式）。</w:t>
      </w:r>
    </w:p>
    <w:p>
      <w:pPr>
        <w:pStyle w:val="null3"/>
        <w:ind w:firstLine="422"/>
        <w:jc w:val="both"/>
      </w:pPr>
      <w:r>
        <w:rPr>
          <w:sz w:val="21"/>
          <w:b/>
        </w:rPr>
        <w:t>（二）配套服务</w:t>
      </w:r>
    </w:p>
    <w:p>
      <w:pPr>
        <w:pStyle w:val="null3"/>
        <w:ind w:firstLine="420"/>
        <w:jc w:val="both"/>
      </w:pPr>
      <w:r>
        <w:rPr>
          <w:sz w:val="21"/>
        </w:rPr>
        <w:t>安装调试服务。</w:t>
      </w:r>
    </w:p>
    <w:p>
      <w:pPr>
        <w:pStyle w:val="null3"/>
        <w:ind w:firstLine="422"/>
        <w:jc w:val="both"/>
      </w:pPr>
      <w:r>
        <w:rPr>
          <w:sz w:val="21"/>
          <w:b/>
        </w:rPr>
        <w:t>五、技术和商务要求</w:t>
      </w:r>
    </w:p>
    <w:p>
      <w:pPr>
        <w:pStyle w:val="null3"/>
        <w:ind w:firstLine="422"/>
        <w:jc w:val="both"/>
      </w:pPr>
      <w:r>
        <w:rPr>
          <w:sz w:val="21"/>
          <w:b/>
        </w:rPr>
        <w:t>1.</w:t>
      </w:r>
      <w:r>
        <w:rPr>
          <w:sz w:val="21"/>
          <w:b/>
        </w:rPr>
        <w:t>技术指标要求</w:t>
      </w:r>
    </w:p>
    <w:p>
      <w:pPr>
        <w:pStyle w:val="null3"/>
        <w:ind w:firstLine="420"/>
        <w:jc w:val="both"/>
      </w:pPr>
      <w:r>
        <w:rPr>
          <w:sz w:val="21"/>
        </w:rPr>
        <w:t>（</w:t>
      </w:r>
      <w:r>
        <w:rPr>
          <w:sz w:val="21"/>
        </w:rPr>
        <w:t>1</w:t>
      </w:r>
      <w:r>
        <w:rPr>
          <w:sz w:val="21"/>
        </w:rPr>
        <w:t>）图形工作站</w:t>
      </w:r>
    </w:p>
    <w:tbl>
      <w:tblPr>
        <w:tblW w:w="0" w:type="auto"/>
        <w:tblBorders>
          <w:top w:val="none" w:color="000000" w:sz="4"/>
          <w:left w:val="none" w:color="000000" w:sz="4"/>
          <w:bottom w:val="none" w:color="000000" w:sz="4"/>
          <w:right w:val="none" w:color="000000" w:sz="4"/>
          <w:insideH w:val="none"/>
          <w:insideV w:val="none"/>
        </w:tblBorders>
      </w:tblPr>
      <w:tblGrid>
        <w:gridCol w:w="503"/>
        <w:gridCol w:w="671"/>
        <w:gridCol w:w="671"/>
        <w:gridCol w:w="1342"/>
        <w:gridCol w:w="5118"/>
      </w:tblGrid>
      <w:tr>
        <w:tc>
          <w:tcPr>
            <w:tcW w:type="dxa" w:w="5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6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指标分类</w:t>
            </w:r>
          </w:p>
        </w:tc>
        <w:tc>
          <w:tcPr>
            <w:tcW w:type="dxa" w:w="6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一级指标</w:t>
            </w:r>
          </w:p>
        </w:tc>
        <w:tc>
          <w:tcPr>
            <w:tcW w:type="dxa" w:w="13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二级指标</w:t>
            </w:r>
          </w:p>
        </w:tc>
        <w:tc>
          <w:tcPr>
            <w:tcW w:type="dxa" w:w="51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需求指标要求</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w:t>
            </w:r>
            <w:r>
              <w:rPr>
                <w:sz w:val="21"/>
              </w:rPr>
              <w:t>规格</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CPU</w:t>
            </w:r>
            <w:r>
              <w:rPr>
                <w:sz w:val="21"/>
              </w:rPr>
              <w:t>信息</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处理器架构：兼容</w:t>
            </w:r>
            <w:r>
              <w:rPr>
                <w:sz w:val="21"/>
              </w:rPr>
              <w:t>X86</w:t>
            </w:r>
          </w:p>
          <w:p>
            <w:pPr>
              <w:pStyle w:val="null3"/>
            </w:pPr>
            <w:r>
              <w:rPr>
                <w:sz w:val="21"/>
              </w:rPr>
              <w:t>物理核心数：≥</w:t>
            </w:r>
            <w:r>
              <w:rPr>
                <w:sz w:val="21"/>
              </w:rPr>
              <w:t>8</w:t>
            </w:r>
            <w:r>
              <w:rPr>
                <w:sz w:val="21"/>
              </w:rPr>
              <w:t>核</w:t>
            </w:r>
          </w:p>
          <w:p>
            <w:pPr>
              <w:pStyle w:val="null3"/>
            </w:pPr>
            <w:r>
              <w:rPr>
                <w:sz w:val="21"/>
              </w:rPr>
              <w:t>主频：≥</w:t>
            </w:r>
            <w:r>
              <w:rPr>
                <w:sz w:val="21"/>
              </w:rPr>
              <w:t>3.0GHz</w:t>
            </w:r>
          </w:p>
          <w:p>
            <w:pPr>
              <w:pStyle w:val="null3"/>
            </w:pPr>
            <w:r>
              <w:rPr>
                <w:sz w:val="21"/>
              </w:rPr>
              <w:t>末级缓存容量：≥</w:t>
            </w:r>
            <w:r>
              <w:rPr>
                <w:sz w:val="21"/>
              </w:rPr>
              <w:t>16MB</w:t>
            </w:r>
            <w:r>
              <w:rPr>
                <w:sz w:val="21"/>
              </w:rPr>
              <w:t>三级缓存</w:t>
            </w:r>
          </w:p>
          <w:p>
            <w:pPr>
              <w:pStyle w:val="null3"/>
            </w:pPr>
            <w:r>
              <w:rPr>
                <w:sz w:val="21"/>
              </w:rPr>
              <w:t>线程数：≥</w:t>
            </w:r>
            <w:r>
              <w:rPr>
                <w:sz w:val="21"/>
              </w:rPr>
              <w:t>16</w:t>
            </w:r>
            <w:r>
              <w:rPr>
                <w:sz w:val="21"/>
              </w:rPr>
              <w:t>线程</w:t>
            </w:r>
          </w:p>
          <w:p>
            <w:pPr>
              <w:pStyle w:val="null3"/>
            </w:pPr>
            <w:r>
              <w:rPr>
                <w:sz w:val="21"/>
              </w:rPr>
              <w:t>内存最高频率：</w:t>
            </w:r>
            <w:r>
              <w:rPr>
                <w:sz w:val="21"/>
              </w:rPr>
              <w:t>2933MT/s</w:t>
            </w:r>
          </w:p>
          <w:p>
            <w:pPr>
              <w:pStyle w:val="null3"/>
            </w:pPr>
            <w:r>
              <w:rPr>
                <w:sz w:val="21"/>
              </w:rPr>
              <w:t>通道数：≥</w:t>
            </w:r>
            <w:r>
              <w:rPr>
                <w:sz w:val="21"/>
              </w:rPr>
              <w:t>2</w:t>
            </w:r>
            <w:r>
              <w:rPr>
                <w:sz w:val="21"/>
              </w:rPr>
              <w:t>个内存通道</w:t>
            </w:r>
          </w:p>
          <w:p>
            <w:pPr>
              <w:pStyle w:val="null3"/>
            </w:pPr>
            <w:r>
              <w:rPr>
                <w:sz w:val="21"/>
              </w:rPr>
              <w:t>位宽：支持单条</w:t>
            </w:r>
            <w:r>
              <w:rPr>
                <w:sz w:val="21"/>
              </w:rPr>
              <w:t>x64</w:t>
            </w:r>
            <w:r>
              <w:rPr>
                <w:sz w:val="21"/>
              </w:rPr>
              <w:t>位宽内存</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内存规格</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★内存配置容量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64GB</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★内存类型</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w:t>
            </w:r>
            <w:r>
              <w:rPr>
                <w:sz w:val="21"/>
              </w:rPr>
              <w:t>DDR4</w:t>
            </w:r>
            <w:r>
              <w:rPr>
                <w:sz w:val="21"/>
              </w:rPr>
              <w:t>或以上内存类型</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★内存条配置数量</w:t>
            </w:r>
            <w:r>
              <w:rPr>
                <w:sz w:val="21"/>
              </w:rPr>
              <w:t>(</w:t>
            </w:r>
            <w:r>
              <w:rPr>
                <w:sz w:val="21"/>
              </w:rPr>
              <w:t>板载内存不涉及</w:t>
            </w:r>
            <w:r>
              <w:rPr>
                <w:sz w:val="21"/>
              </w:rPr>
              <w:t>)</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4</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主板规格</w:t>
            </w:r>
          </w:p>
          <w:p>
            <w:pPr>
              <w:pStyle w:val="null3"/>
              <w:jc w:val="both"/>
            </w:p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★主板集成模块</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集成资源扩展模块、计算处理模块、音频扩展模块等，主板的互联拓扑可通过处理器或交换电路实现</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★主板支持的</w:t>
            </w:r>
            <w:r>
              <w:rPr>
                <w:sz w:val="21"/>
              </w:rPr>
              <w:t xml:space="preserve"> CPU</w:t>
            </w:r>
            <w:r>
              <w:rPr>
                <w:sz w:val="21"/>
              </w:rPr>
              <w:t>和内存情况</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兼容</w:t>
            </w:r>
            <w:r>
              <w:rPr>
                <w:sz w:val="21"/>
              </w:rPr>
              <w:t>X86</w:t>
            </w:r>
            <w:r>
              <w:rPr>
                <w:sz w:val="21"/>
              </w:rPr>
              <w:t>架构的</w:t>
            </w:r>
            <w:r>
              <w:rPr>
                <w:sz w:val="21"/>
              </w:rPr>
              <w:t>CPU,</w:t>
            </w:r>
            <w:r>
              <w:rPr>
                <w:sz w:val="21"/>
              </w:rPr>
              <w:t>数量：</w:t>
            </w:r>
            <w:r>
              <w:rPr>
                <w:sz w:val="21"/>
              </w:rPr>
              <w:t>1</w:t>
            </w:r>
          </w:p>
          <w:p>
            <w:pPr>
              <w:pStyle w:val="null3"/>
            </w:pPr>
            <w:r>
              <w:rPr>
                <w:sz w:val="21"/>
              </w:rPr>
              <w:t>内存：具体型号和数量根据实际配置确定，总容量最高支持到</w:t>
            </w:r>
            <w:r>
              <w:rPr>
                <w:sz w:val="21"/>
              </w:rPr>
              <w:t>256GB</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★主板其他内置接口</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4</w:t>
            </w:r>
            <w:r>
              <w:rPr>
                <w:sz w:val="21"/>
              </w:rPr>
              <w:t>个</w:t>
            </w:r>
            <w:r>
              <w:rPr>
                <w:sz w:val="21"/>
              </w:rPr>
              <w:t>SATA 3.0</w:t>
            </w:r>
            <w:r>
              <w:rPr>
                <w:sz w:val="21"/>
              </w:rPr>
              <w:t>接口</w:t>
            </w:r>
          </w:p>
          <w:p>
            <w:pPr>
              <w:pStyle w:val="null3"/>
            </w:pPr>
            <w:r>
              <w:rPr>
                <w:sz w:val="21"/>
              </w:rPr>
              <w:t>≥</w:t>
            </w:r>
            <w:r>
              <w:rPr>
                <w:sz w:val="21"/>
              </w:rPr>
              <w:t>2</w:t>
            </w:r>
            <w:r>
              <w:rPr>
                <w:sz w:val="21"/>
              </w:rPr>
              <w:t>个</w:t>
            </w:r>
            <w:r>
              <w:rPr>
                <w:sz w:val="21"/>
              </w:rPr>
              <w:t>M.2</w:t>
            </w:r>
            <w:r>
              <w:rPr>
                <w:sz w:val="21"/>
              </w:rPr>
              <w:t>接口（</w:t>
            </w:r>
            <w:r>
              <w:rPr>
                <w:sz w:val="21"/>
              </w:rPr>
              <w:t>1</w:t>
            </w:r>
            <w:r>
              <w:rPr>
                <w:sz w:val="21"/>
              </w:rPr>
              <w:t>个</w:t>
            </w:r>
            <w:r>
              <w:rPr>
                <w:sz w:val="21"/>
              </w:rPr>
              <w:t>M.2 WIFI</w:t>
            </w:r>
            <w:r>
              <w:rPr>
                <w:sz w:val="21"/>
              </w:rPr>
              <w:t>，</w:t>
            </w:r>
            <w:r>
              <w:rPr>
                <w:sz w:val="21"/>
              </w:rPr>
              <w:t>1</w:t>
            </w:r>
            <w:r>
              <w:rPr>
                <w:sz w:val="21"/>
              </w:rPr>
              <w:t>个</w:t>
            </w:r>
            <w:r>
              <w:rPr>
                <w:sz w:val="21"/>
              </w:rPr>
              <w:t>M.2 SSD</w:t>
            </w:r>
            <w:r>
              <w:rPr>
                <w:sz w:val="21"/>
              </w:rPr>
              <w:t>）</w:t>
            </w:r>
          </w:p>
          <w:p>
            <w:pPr>
              <w:pStyle w:val="null3"/>
            </w:pPr>
            <w:r>
              <w:rPr>
                <w:sz w:val="21"/>
              </w:rPr>
              <w:t>≥</w:t>
            </w:r>
            <w:r>
              <w:rPr>
                <w:sz w:val="21"/>
              </w:rPr>
              <w:t>10</w:t>
            </w:r>
            <w:r>
              <w:rPr>
                <w:sz w:val="21"/>
              </w:rPr>
              <w:t>个</w:t>
            </w:r>
            <w:r>
              <w:rPr>
                <w:sz w:val="21"/>
              </w:rPr>
              <w:t>USB</w:t>
            </w:r>
            <w:r>
              <w:rPr>
                <w:sz w:val="21"/>
              </w:rPr>
              <w:t>接口</w:t>
            </w:r>
          </w:p>
          <w:p>
            <w:pPr>
              <w:pStyle w:val="null3"/>
            </w:pPr>
            <w:r>
              <w:rPr>
                <w:sz w:val="21"/>
              </w:rPr>
              <w:t>占用情况根据实际配置确定</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★单内存插槽最大可支持容量</w:t>
            </w:r>
            <w:r>
              <w:rPr>
                <w:sz w:val="21"/>
              </w:rPr>
              <w:t>(</w:t>
            </w:r>
            <w:r>
              <w:rPr>
                <w:sz w:val="21"/>
              </w:rPr>
              <w:t>板载内存不涉及</w:t>
            </w:r>
            <w:r>
              <w:rPr>
                <w:sz w:val="21"/>
              </w:rPr>
              <w:t>)</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32GB</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★内存插槽满配时提供的最高内存总容量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128GB</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▲主板内置</w:t>
            </w:r>
            <w:r>
              <w:rPr>
                <w:sz w:val="21"/>
              </w:rPr>
              <w:t xml:space="preserve">PCIe </w:t>
            </w:r>
            <w:r>
              <w:rPr>
                <w:sz w:val="21"/>
              </w:rPr>
              <w:t>插槽数量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支持数量≥</w:t>
            </w:r>
            <w:r>
              <w:rPr>
                <w:sz w:val="21"/>
              </w:rPr>
              <w:t>3</w:t>
            </w:r>
          </w:p>
          <w:p>
            <w:pPr>
              <w:pStyle w:val="null3"/>
            </w:pPr>
            <w:r>
              <w:rPr>
                <w:sz w:val="21"/>
              </w:rPr>
              <w:t>其中至少包括一个</w:t>
            </w:r>
            <w:r>
              <w:rPr>
                <w:sz w:val="21"/>
              </w:rPr>
              <w:t>PCIex16</w:t>
            </w:r>
            <w:r>
              <w:rPr>
                <w:sz w:val="21"/>
              </w:rPr>
              <w:t>和一个</w:t>
            </w:r>
            <w:r>
              <w:rPr>
                <w:sz w:val="21"/>
              </w:rPr>
              <w:t>PCIex8</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★固态盘数量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2</w:t>
            </w:r>
            <w:r>
              <w:rPr>
                <w:sz w:val="21"/>
              </w:rPr>
              <w:t>个</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★固态存储容量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768GB</w:t>
            </w:r>
            <w:r>
              <w:rPr>
                <w:sz w:val="21"/>
              </w:rPr>
              <w:t>，其中</w:t>
            </w:r>
            <w:r>
              <w:rPr>
                <w:sz w:val="21"/>
              </w:rPr>
              <w:t>M.2 SSD</w:t>
            </w:r>
            <w:r>
              <w:rPr>
                <w:sz w:val="21"/>
              </w:rPr>
              <w:t>固态盘容量≥</w:t>
            </w:r>
            <w:r>
              <w:rPr>
                <w:sz w:val="21"/>
              </w:rPr>
              <w:t>512GB</w:t>
            </w:r>
            <w:r>
              <w:rPr>
                <w:sz w:val="21"/>
              </w:rPr>
              <w:t>，</w:t>
            </w:r>
            <w:r>
              <w:rPr>
                <w:sz w:val="21"/>
              </w:rPr>
              <w:t>SATA SSD</w:t>
            </w:r>
            <w:r>
              <w:rPr>
                <w:sz w:val="21"/>
              </w:rPr>
              <w:t>固态盘容量≥</w:t>
            </w:r>
            <w:r>
              <w:rPr>
                <w:sz w:val="21"/>
              </w:rPr>
              <w:t>256GB</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★机械硬盘数量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2</w:t>
            </w:r>
            <w:r>
              <w:rPr>
                <w:sz w:val="21"/>
              </w:rPr>
              <w:t>个</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★机械硬盘总容量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12TB</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★机械硬盘转速</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7200rpm</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★固态存储形态</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采用插卡或板载等形态，插卡形态宜符合</w:t>
            </w:r>
            <w:r>
              <w:rPr>
                <w:sz w:val="21"/>
              </w:rPr>
              <w:t xml:space="preserve">M.2 </w:t>
            </w:r>
            <w:r>
              <w:rPr>
                <w:sz w:val="21"/>
              </w:rPr>
              <w:t>或</w:t>
            </w:r>
            <w:r>
              <w:rPr>
                <w:sz w:val="21"/>
              </w:rPr>
              <w:t xml:space="preserve">mSATA </w:t>
            </w:r>
            <w:r>
              <w:rPr>
                <w:sz w:val="21"/>
              </w:rPr>
              <w:t>等标准尺寸和接口定义</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★存储设备其他参数要求</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a</w:t>
            </w:r>
            <w:r>
              <w:rPr>
                <w:sz w:val="21"/>
              </w:rPr>
              <w:t>）固态盘应符合</w:t>
            </w:r>
            <w:r>
              <w:rPr>
                <w:sz w:val="21"/>
              </w:rPr>
              <w:t xml:space="preserve">SJ/T 11654 </w:t>
            </w:r>
            <w:r>
              <w:rPr>
                <w:sz w:val="21"/>
              </w:rPr>
              <w:t>相关规定；</w:t>
            </w:r>
          </w:p>
          <w:p>
            <w:pPr>
              <w:pStyle w:val="null3"/>
            </w:pPr>
            <w:r>
              <w:rPr>
                <w:sz w:val="21"/>
              </w:rPr>
              <w:t>b</w:t>
            </w:r>
            <w:r>
              <w:rPr>
                <w:sz w:val="21"/>
              </w:rPr>
              <w:t>）机械硬盘准备时间应不大于</w:t>
            </w:r>
            <w:r>
              <w:rPr>
                <w:sz w:val="21"/>
              </w:rPr>
              <w:t>30s</w:t>
            </w:r>
            <w:r>
              <w:rPr>
                <w:sz w:val="21"/>
              </w:rPr>
              <w:t>；侧面固定螺丝孔数量可为</w:t>
            </w:r>
            <w:r>
              <w:rPr>
                <w:sz w:val="21"/>
              </w:rPr>
              <w:t>4</w:t>
            </w:r>
            <w:r>
              <w:rPr>
                <w:sz w:val="21"/>
              </w:rPr>
              <w:t>孔或</w:t>
            </w:r>
            <w:r>
              <w:rPr>
                <w:sz w:val="21"/>
              </w:rPr>
              <w:t>6</w:t>
            </w:r>
            <w:r>
              <w:rPr>
                <w:sz w:val="21"/>
              </w:rPr>
              <w:t>孔；工作状态环境温度应满足</w:t>
            </w:r>
            <w:r>
              <w:rPr>
                <w:sz w:val="21"/>
              </w:rPr>
              <w:t>5</w:t>
            </w:r>
            <w:r>
              <w:rPr>
                <w:sz w:val="21"/>
              </w:rPr>
              <w:t>℃～</w:t>
            </w:r>
            <w:r>
              <w:rPr>
                <w:sz w:val="21"/>
              </w:rPr>
              <w:t>55</w:t>
            </w:r>
            <w:r>
              <w:rPr>
                <w:sz w:val="21"/>
              </w:rPr>
              <w:t>℃；其它参数应符合</w:t>
            </w:r>
            <w:r>
              <w:rPr>
                <w:sz w:val="21"/>
              </w:rPr>
              <w:t xml:space="preserve">GB/T12628 </w:t>
            </w:r>
            <w:r>
              <w:rPr>
                <w:sz w:val="21"/>
              </w:rPr>
              <w:t>的相关规定</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显卡规格</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★显卡类型</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独立显卡</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★独立显卡显存类型</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带纠错码</w:t>
            </w:r>
            <w:r>
              <w:rPr>
                <w:sz w:val="21"/>
              </w:rPr>
              <w:t>(ECC)</w:t>
            </w:r>
            <w:r>
              <w:rPr>
                <w:sz w:val="21"/>
              </w:rPr>
              <w:t>的</w:t>
            </w:r>
            <w:r>
              <w:rPr>
                <w:sz w:val="21"/>
              </w:rPr>
              <w:t>GDDR6X</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★独立显卡显存位宽</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显存位宽≥</w:t>
            </w:r>
            <w:r>
              <w:rPr>
                <w:sz w:val="21"/>
              </w:rPr>
              <w:t>128bit</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★独立显卡显存容量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显存容量≥</w:t>
            </w:r>
            <w:r>
              <w:rPr>
                <w:sz w:val="21"/>
              </w:rPr>
              <w:t>8GB</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独立显卡接口协议</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产品支持</w:t>
            </w:r>
            <w:r>
              <w:rPr>
                <w:sz w:val="21"/>
              </w:rPr>
              <w:t>PCIe</w:t>
            </w:r>
            <w:r>
              <w:rPr>
                <w:sz w:val="21"/>
              </w:rPr>
              <w:t>协议版本大于等于</w:t>
            </w:r>
            <w:r>
              <w:rPr>
                <w:sz w:val="21"/>
              </w:rPr>
              <w:t>4.0</w:t>
            </w:r>
            <w:r>
              <w:rPr>
                <w:sz w:val="21"/>
              </w:rPr>
              <w:t>的独立显卡接口协议</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显示设备规格</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★显示接口</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DP</w:t>
            </w:r>
            <w:r>
              <w:rPr>
                <w:sz w:val="21"/>
              </w:rPr>
              <w:t>；≥</w:t>
            </w:r>
            <w:r>
              <w:rPr>
                <w:sz w:val="21"/>
              </w:rPr>
              <w:t xml:space="preserve">HDMI*2 </w:t>
            </w:r>
            <w:r>
              <w:rPr>
                <w:sz w:val="21"/>
              </w:rPr>
              <w:t>；自带</w:t>
            </w:r>
            <w:r>
              <w:rPr>
                <w:sz w:val="21"/>
              </w:rPr>
              <w:t>DP</w:t>
            </w:r>
            <w:r>
              <w:rPr>
                <w:sz w:val="21"/>
              </w:rPr>
              <w:t>线缆</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★显示设备数量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w:t>
            </w:r>
            <w:r>
              <w:rPr>
                <w:sz w:val="21"/>
              </w:rPr>
              <w:t>个</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★显示屏屏占比</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80%</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★显示屏分辨率</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3840</w:t>
            </w:r>
            <w:r>
              <w:rPr>
                <w:sz w:val="21"/>
              </w:rPr>
              <w:t>×</w:t>
            </w:r>
            <w:r>
              <w:rPr>
                <w:sz w:val="21"/>
              </w:rPr>
              <w:t>2160</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显示屏可视角度</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水平≥</w:t>
            </w:r>
            <w:r>
              <w:rPr>
                <w:sz w:val="21"/>
              </w:rPr>
              <w:t>178</w:t>
            </w:r>
            <w:r>
              <w:rPr>
                <w:sz w:val="21"/>
              </w:rPr>
              <w:t>°</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★显示屏尺寸</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 xml:space="preserve">27 </w:t>
            </w:r>
            <w:r>
              <w:rPr>
                <w:sz w:val="21"/>
              </w:rPr>
              <w:t>英寸</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★显示屏屏幕比例</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16</w:t>
            </w:r>
            <w:r>
              <w:rPr>
                <w:sz w:val="21"/>
              </w:rPr>
              <w:t>：</w:t>
            </w:r>
            <w:r>
              <w:rPr>
                <w:sz w:val="21"/>
              </w:rPr>
              <w:t>9</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★显示器外观颜色</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黑色</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★显示屏防蓝光</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支持防蓝光模式，蓝光加权辐射亮度比应≤</w:t>
            </w:r>
            <w:r>
              <w:rPr>
                <w:sz w:val="21"/>
              </w:rPr>
              <w:t>0.0012W/(</w:t>
            </w:r>
            <w:r>
              <w:rPr>
                <w:sz w:val="21"/>
              </w:rPr>
              <w:t>·</w:t>
            </w:r>
            <w:r>
              <w:rPr>
                <w:sz w:val="21"/>
              </w:rPr>
              <w:t>cd</w:t>
            </w:r>
            <w:r>
              <w:rPr>
                <w:sz w:val="21"/>
              </w:rPr>
              <w:t>·</w:t>
            </w:r>
            <w:r>
              <w:rPr>
                <w:sz w:val="21"/>
              </w:rPr>
              <w:t>sr) (</w:t>
            </w:r>
            <w:r>
              <w:rPr>
                <w:sz w:val="21"/>
              </w:rPr>
              <w:t>瓦每坎特拉每球面度</w:t>
            </w:r>
            <w:r>
              <w:rPr>
                <w:sz w:val="21"/>
              </w:rPr>
              <w:t>)</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★显示屏低频闪</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显示屏应支持低频闪≤</w:t>
            </w:r>
            <w:r>
              <w:rPr>
                <w:sz w:val="21"/>
              </w:rPr>
              <w:t>-35dB</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★显示屏防炫目</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显示屏镜面反射率≤</w:t>
            </w:r>
            <w:r>
              <w:rPr>
                <w:sz w:val="21"/>
              </w:rPr>
              <w:t>10%</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外设规格</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★鼠标数量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w:t>
            </w:r>
            <w:r>
              <w:rPr>
                <w:sz w:val="21"/>
              </w:rPr>
              <w:t>个</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★键盘数量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w:t>
            </w:r>
            <w:r>
              <w:rPr>
                <w:sz w:val="21"/>
              </w:rPr>
              <w:t>个</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★摄像头数量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本次采购不作要求</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★键盘按键数目</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104</w:t>
            </w:r>
            <w:r>
              <w:rPr>
                <w:sz w:val="21"/>
              </w:rPr>
              <w:t>键</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★摄像头像素</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本次采购不作要求</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★摄像头分辨率</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本次采购不作要求</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★扬声器功率</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本次采购不作要求</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★扬声器频率范围</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本次采购不作要求</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★键盘连接方式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有线</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★键盘键程</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2.3mm</w:t>
            </w:r>
            <w:r>
              <w:rPr>
                <w:sz w:val="21"/>
              </w:rPr>
              <w:t>～</w:t>
            </w:r>
            <w:r>
              <w:rPr>
                <w:sz w:val="21"/>
              </w:rPr>
              <w:t>4.0mm</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★键盘按键压力</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按键压力应在</w:t>
            </w:r>
            <w:r>
              <w:rPr>
                <w:sz w:val="21"/>
              </w:rPr>
              <w:t>0.54 N</w:t>
            </w:r>
            <w:r>
              <w:rPr>
                <w:sz w:val="21"/>
              </w:rPr>
              <w:t>±</w:t>
            </w:r>
            <w:r>
              <w:rPr>
                <w:sz w:val="21"/>
              </w:rPr>
              <w:t>0.14N</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★有线键盘连接线</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1.5</w:t>
            </w:r>
            <w:r>
              <w:rPr>
                <w:sz w:val="21"/>
              </w:rPr>
              <w:t>米</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★键盘颜色</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黑色</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★键盘其他要求</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键盘外观结构、连接方式、主要功能、安全、电磁兼容性、可靠性应符合</w:t>
            </w:r>
            <w:r>
              <w:rPr>
                <w:sz w:val="21"/>
              </w:rPr>
              <w:t xml:space="preserve"> GB/T14081 </w:t>
            </w:r>
            <w:r>
              <w:rPr>
                <w:sz w:val="21"/>
              </w:rPr>
              <w:t>的相关规定</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★鼠标连接方式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标配</w:t>
            </w:r>
            <w:r>
              <w:rPr>
                <w:sz w:val="21"/>
              </w:rPr>
              <w:t>USB</w:t>
            </w:r>
            <w:r>
              <w:rPr>
                <w:sz w:val="21"/>
              </w:rPr>
              <w:t>接口有线鼠标</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★有线鼠标连接线</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1.5</w:t>
            </w:r>
            <w:r>
              <w:rPr>
                <w:sz w:val="21"/>
              </w:rPr>
              <w:t>米</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★鼠标</w:t>
            </w:r>
            <w:r>
              <w:rPr>
                <w:sz w:val="21"/>
              </w:rPr>
              <w:t xml:space="preserve">DPI </w:t>
            </w:r>
            <w:r>
              <w:rPr>
                <w:sz w:val="21"/>
              </w:rPr>
              <w:t>分辨率</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800</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★鼠标其他要求</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其它参数应符合</w:t>
            </w:r>
            <w:r>
              <w:rPr>
                <w:sz w:val="21"/>
              </w:rPr>
              <w:t xml:space="preserve"> GB/T 26245</w:t>
            </w:r>
            <w:r>
              <w:rPr>
                <w:sz w:val="21"/>
              </w:rPr>
              <w:t>的相关规定</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pPr>
            <w:r>
              <w:rPr>
                <w:sz w:val="21"/>
              </w:rPr>
              <w:t>网络设备规格</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★有线网卡数量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2</w:t>
            </w:r>
            <w:r>
              <w:rPr>
                <w:sz w:val="21"/>
              </w:rPr>
              <w:t>，其中</w:t>
            </w:r>
            <w:r>
              <w:rPr>
                <w:sz w:val="21"/>
              </w:rPr>
              <w:t>1</w:t>
            </w:r>
            <w:r>
              <w:rPr>
                <w:sz w:val="21"/>
              </w:rPr>
              <w:t>张支持</w:t>
            </w:r>
            <w:r>
              <w:rPr>
                <w:sz w:val="21"/>
              </w:rPr>
              <w:t>SFP+</w:t>
            </w:r>
            <w:r>
              <w:rPr>
                <w:sz w:val="21"/>
              </w:rPr>
              <w:t>独立网卡，独立网卡网口均为光口（含光模块），网口数量≥</w:t>
            </w:r>
            <w:r>
              <w:rPr>
                <w:sz w:val="21"/>
              </w:rPr>
              <w:t>2</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产品规格</w:t>
            </w:r>
          </w:p>
        </w:tc>
        <w:tc>
          <w:tcPr>
            <w:tcW w:type="dxa" w:w="67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外部接口规格</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USB</w:t>
            </w:r>
            <w:r>
              <w:rPr>
                <w:sz w:val="21"/>
              </w:rPr>
              <w:t>接口数量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10</w:t>
            </w:r>
            <w:r>
              <w:rPr>
                <w:sz w:val="21"/>
              </w:rPr>
              <w:t>个</w:t>
            </w:r>
            <w:r>
              <w:rPr>
                <w:sz w:val="21"/>
              </w:rPr>
              <w:t>USB</w:t>
            </w:r>
            <w:r>
              <w:rPr>
                <w:sz w:val="21"/>
              </w:rPr>
              <w:t>，其中≥</w:t>
            </w:r>
            <w:r>
              <w:rPr>
                <w:sz w:val="21"/>
              </w:rPr>
              <w:t>6</w:t>
            </w:r>
            <w:r>
              <w:rPr>
                <w:sz w:val="21"/>
              </w:rPr>
              <w:t>个</w:t>
            </w:r>
            <w:r>
              <w:rPr>
                <w:sz w:val="21"/>
              </w:rPr>
              <w:t>USB3.0</w:t>
            </w:r>
            <w:r>
              <w:rPr>
                <w:sz w:val="21"/>
              </w:rPr>
              <w:t>（整机自带非</w:t>
            </w:r>
            <w:r>
              <w:rPr>
                <w:sz w:val="21"/>
              </w:rPr>
              <w:t>USB hub</w:t>
            </w:r>
            <w:r>
              <w:rPr>
                <w:sz w:val="21"/>
              </w:rPr>
              <w:t>扩展）</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产品规格</w:t>
            </w:r>
          </w:p>
        </w:tc>
        <w:tc>
          <w:tcPr>
            <w:tcW w:type="dxa" w:w="671"/>
            <w:vMerge/>
            <w:tcBorders>
              <w:top w:val="singl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★视频接口数量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4</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singl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★音频接口数量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前置：</w:t>
            </w:r>
            <w:r>
              <w:rPr>
                <w:sz w:val="21"/>
              </w:rPr>
              <w:t>1</w:t>
            </w:r>
            <w:r>
              <w:rPr>
                <w:sz w:val="21"/>
              </w:rPr>
              <w:t>个音频输出，</w:t>
            </w:r>
            <w:r>
              <w:rPr>
                <w:sz w:val="21"/>
              </w:rPr>
              <w:t>1</w:t>
            </w:r>
            <w:r>
              <w:rPr>
                <w:sz w:val="21"/>
              </w:rPr>
              <w:t>个麦克风</w:t>
            </w:r>
          </w:p>
          <w:p>
            <w:pPr>
              <w:pStyle w:val="null3"/>
            </w:pPr>
            <w:r>
              <w:rPr>
                <w:sz w:val="21"/>
              </w:rPr>
              <w:t>后置：</w:t>
            </w:r>
            <w:r>
              <w:rPr>
                <w:sz w:val="21"/>
              </w:rPr>
              <w:t>1</w:t>
            </w:r>
            <w:r>
              <w:rPr>
                <w:sz w:val="21"/>
              </w:rPr>
              <w:t>组音频输入</w:t>
            </w:r>
            <w:r>
              <w:rPr>
                <w:sz w:val="21"/>
              </w:rPr>
              <w:t>/</w:t>
            </w:r>
            <w:r>
              <w:rPr>
                <w:sz w:val="21"/>
              </w:rPr>
              <w:t>输出，</w:t>
            </w:r>
            <w:r>
              <w:rPr>
                <w:sz w:val="21"/>
              </w:rPr>
              <w:t>1</w:t>
            </w:r>
            <w:r>
              <w:rPr>
                <w:sz w:val="21"/>
              </w:rPr>
              <w:t>个麦克风</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singl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▲故障诊断模块</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内置</w:t>
            </w:r>
            <w:r>
              <w:rPr>
                <w:sz w:val="20"/>
              </w:rPr>
              <w:t>PORT80</w:t>
            </w:r>
            <w:r>
              <w:rPr>
                <w:sz w:val="21"/>
              </w:rPr>
              <w:t>诊断灯（须承诺中标后与本项目采购人签订合同后</w:t>
            </w:r>
            <w:r>
              <w:rPr>
                <w:sz w:val="21"/>
              </w:rPr>
              <w:t>2</w:t>
            </w:r>
            <w:r>
              <w:rPr>
                <w:sz w:val="21"/>
              </w:rPr>
              <w:t>个工作日内提供原厂盖章证明材料）</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整机基础规格</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★整机外观</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a) </w:t>
            </w:r>
            <w:r>
              <w:rPr>
                <w:sz w:val="21"/>
              </w:rPr>
              <w:t>产品表面不应有凹痕、划伤、裂缝、变形和污染等。表面涂层均匀，</w:t>
            </w:r>
            <w:r>
              <w:rPr>
                <w:sz w:val="21"/>
              </w:rPr>
              <w:t>不应起泡、龟裂、脱落和磨损，</w:t>
            </w:r>
            <w:r>
              <w:rPr>
                <w:sz w:val="21"/>
              </w:rPr>
              <w:t>金属零部件无锈蚀及其它机械损伤；</w:t>
            </w:r>
          </w:p>
          <w:p>
            <w:pPr>
              <w:pStyle w:val="null3"/>
            </w:pPr>
            <w:r>
              <w:rPr>
                <w:sz w:val="21"/>
              </w:rPr>
              <w:t xml:space="preserve">b) </w:t>
            </w:r>
            <w:r>
              <w:rPr>
                <w:sz w:val="21"/>
              </w:rPr>
              <w:t>产品表面说明功能的文字、符号、标志，</w:t>
            </w:r>
            <w:r>
              <w:rPr>
                <w:sz w:val="21"/>
              </w:rPr>
              <w:t>应清晰、端正、牢固；</w:t>
            </w:r>
          </w:p>
          <w:p>
            <w:pPr>
              <w:pStyle w:val="null3"/>
            </w:pPr>
            <w:r>
              <w:rPr>
                <w:sz w:val="21"/>
              </w:rPr>
              <w:t xml:space="preserve">c) </w:t>
            </w:r>
            <w:r>
              <w:rPr>
                <w:sz w:val="21"/>
              </w:rPr>
              <w:t>宜在产品显著位置提供运行状态指示功能，并由生产厂商提供详细参数</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★整机结构</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a) </w:t>
            </w:r>
            <w:r>
              <w:rPr>
                <w:sz w:val="21"/>
              </w:rPr>
              <w:t>机箱应符合</w:t>
            </w:r>
            <w:r>
              <w:rPr>
                <w:sz w:val="21"/>
              </w:rPr>
              <w:t xml:space="preserve"> GB/T 4208</w:t>
            </w:r>
            <w:r>
              <w:rPr>
                <w:sz w:val="21"/>
              </w:rPr>
              <w:t>、</w:t>
            </w:r>
            <w:r>
              <w:rPr>
                <w:sz w:val="21"/>
              </w:rPr>
              <w:t>GB/T 26246</w:t>
            </w:r>
            <w:r>
              <w:rPr>
                <w:sz w:val="21"/>
              </w:rPr>
              <w:t>的相关规定；</w:t>
            </w:r>
          </w:p>
          <w:p>
            <w:pPr>
              <w:pStyle w:val="null3"/>
            </w:pPr>
            <w:r>
              <w:rPr>
                <w:sz w:val="21"/>
              </w:rPr>
              <w:t xml:space="preserve">b) </w:t>
            </w:r>
            <w:r>
              <w:rPr>
                <w:sz w:val="21"/>
              </w:rPr>
              <w:t>产品内部结构应符合通用部件的安装需要；</w:t>
            </w:r>
          </w:p>
          <w:p>
            <w:pPr>
              <w:pStyle w:val="null3"/>
            </w:pPr>
            <w:r>
              <w:rPr>
                <w:sz w:val="21"/>
              </w:rPr>
              <w:t xml:space="preserve">c) </w:t>
            </w:r>
            <w:r>
              <w:rPr>
                <w:sz w:val="21"/>
              </w:rPr>
              <w:t>所有输入输出接口应符合相关国家或行业标准；</w:t>
            </w:r>
          </w:p>
          <w:p>
            <w:pPr>
              <w:pStyle w:val="null3"/>
            </w:pPr>
            <w:r>
              <w:rPr>
                <w:sz w:val="21"/>
              </w:rPr>
              <w:t xml:space="preserve">d) </w:t>
            </w:r>
            <w:r>
              <w:rPr>
                <w:sz w:val="21"/>
              </w:rPr>
              <w:t>产品零部件应紧固无松动，</w:t>
            </w:r>
            <w:r>
              <w:rPr>
                <w:sz w:val="21"/>
              </w:rPr>
              <w:t>可插拔部件应可靠连接，</w:t>
            </w:r>
            <w:r>
              <w:rPr>
                <w:sz w:val="21"/>
              </w:rPr>
              <w:t>开关、按钮和其它控制部件应灵活可靠，</w:t>
            </w:r>
            <w:r>
              <w:rPr>
                <w:sz w:val="21"/>
              </w:rPr>
              <w:t>布局应方便使用；</w:t>
            </w:r>
          </w:p>
          <w:p>
            <w:pPr>
              <w:pStyle w:val="null3"/>
            </w:pPr>
            <w:r>
              <w:rPr>
                <w:sz w:val="21"/>
              </w:rPr>
              <w:t xml:space="preserve">e) </w:t>
            </w:r>
            <w:r>
              <w:rPr>
                <w:sz w:val="21"/>
              </w:rPr>
              <w:t>所有</w:t>
            </w:r>
            <w:r>
              <w:rPr>
                <w:sz w:val="21"/>
              </w:rPr>
              <w:t>I/O</w:t>
            </w:r>
            <w:r>
              <w:rPr>
                <w:sz w:val="21"/>
              </w:rPr>
              <w:t>连接器及需插接线缆的部位应预留用户操作空间，方便插拔解锁与插拔线缆；</w:t>
            </w:r>
          </w:p>
          <w:p>
            <w:pPr>
              <w:pStyle w:val="null3"/>
            </w:pPr>
            <w:r>
              <w:rPr>
                <w:sz w:val="21"/>
              </w:rPr>
              <w:t xml:space="preserve">f) </w:t>
            </w:r>
            <w:r>
              <w:rPr>
                <w:sz w:val="21"/>
              </w:rPr>
              <w:t>可插拔板卡插槽部位应预留安装、拆卸或更换板卡空间；</w:t>
            </w:r>
          </w:p>
          <w:p>
            <w:pPr>
              <w:pStyle w:val="null3"/>
            </w:pPr>
            <w:r>
              <w:rPr>
                <w:sz w:val="21"/>
              </w:rPr>
              <w:t xml:space="preserve">g) </w:t>
            </w:r>
            <w:r>
              <w:rPr>
                <w:sz w:val="21"/>
              </w:rPr>
              <w:t>拆装可能接触到的金属剪口或金属尖角部位应做防划伤处理，以保证安全</w:t>
            </w:r>
            <w:r>
              <w:rPr>
                <w:sz w:val="21"/>
              </w:rPr>
              <w:t>;</w:t>
            </w:r>
          </w:p>
          <w:p>
            <w:pPr>
              <w:pStyle w:val="null3"/>
            </w:pPr>
            <w:r>
              <w:rPr>
                <w:sz w:val="21"/>
              </w:rPr>
              <w:t xml:space="preserve">h) </w:t>
            </w:r>
            <w:r>
              <w:rPr>
                <w:sz w:val="21"/>
              </w:rPr>
              <w:t>整机内部走线应规整，固线结构和位置要合理可靠并做防割线处理，需便于理线和插拔操作，走线应不影响系统各主要部件组装和拆卸；</w:t>
            </w:r>
          </w:p>
          <w:p>
            <w:pPr>
              <w:pStyle w:val="null3"/>
            </w:pPr>
            <w:r>
              <w:rPr>
                <w:sz w:val="21"/>
              </w:rPr>
              <w:t xml:space="preserve">i) </w:t>
            </w:r>
            <w:r>
              <w:rPr>
                <w:sz w:val="21"/>
              </w:rPr>
              <w:t>如需通过孔走线，</w:t>
            </w:r>
            <w:r>
              <w:rPr>
                <w:sz w:val="21"/>
              </w:rPr>
              <w:t>过线孔应做防割线处理；</w:t>
            </w:r>
          </w:p>
          <w:p>
            <w:pPr>
              <w:pStyle w:val="null3"/>
            </w:pPr>
            <w:r>
              <w:rPr>
                <w:sz w:val="21"/>
              </w:rPr>
              <w:t xml:space="preserve">j) </w:t>
            </w:r>
            <w:r>
              <w:rPr>
                <w:sz w:val="21"/>
              </w:rPr>
              <w:t>各插头位置和插拔方向应合理，</w:t>
            </w:r>
            <w:r>
              <w:rPr>
                <w:sz w:val="21"/>
              </w:rPr>
              <w:t>应做到插拔无障碍设计，</w:t>
            </w:r>
            <w:r>
              <w:rPr>
                <w:sz w:val="21"/>
              </w:rPr>
              <w:t>具备防呆设计，有效避免误操作；</w:t>
            </w:r>
          </w:p>
          <w:p>
            <w:pPr>
              <w:pStyle w:val="null3"/>
            </w:pPr>
            <w:r>
              <w:rPr>
                <w:sz w:val="21"/>
              </w:rPr>
              <w:t xml:space="preserve">k) </w:t>
            </w:r>
            <w:r>
              <w:rPr>
                <w:sz w:val="21"/>
              </w:rPr>
              <w:t>各主要部件拆装无障碍，</w:t>
            </w:r>
            <w:r>
              <w:rPr>
                <w:sz w:val="21"/>
              </w:rPr>
              <w:t>使用常规工具拆装，</w:t>
            </w:r>
            <w:r>
              <w:rPr>
                <w:sz w:val="21"/>
              </w:rPr>
              <w:t>无特殊拆装工具需求；</w:t>
            </w:r>
          </w:p>
          <w:p>
            <w:pPr>
              <w:pStyle w:val="null3"/>
            </w:pPr>
            <w:r>
              <w:rPr>
                <w:sz w:val="21"/>
              </w:rPr>
              <w:t xml:space="preserve">I) </w:t>
            </w:r>
            <w:r>
              <w:rPr>
                <w:sz w:val="21"/>
              </w:rPr>
              <w:t>各主要部件拆装步骤要少，</w:t>
            </w:r>
            <w:r>
              <w:rPr>
                <w:sz w:val="21"/>
              </w:rPr>
              <w:t>各自拆装需避免相互干扰；</w:t>
            </w:r>
          </w:p>
          <w:p>
            <w:pPr>
              <w:pStyle w:val="null3"/>
            </w:pPr>
            <w:r>
              <w:rPr>
                <w:sz w:val="21"/>
              </w:rPr>
              <w:t xml:space="preserve">m) </w:t>
            </w:r>
            <w:r>
              <w:rPr>
                <w:sz w:val="21"/>
              </w:rPr>
              <w:t>对于整机或零部件外表面为高亮面的，应粘贴保护膜，保护膜需粘贴牢固，运输、组装等过程不易脱落，撕下无残留；</w:t>
            </w:r>
          </w:p>
          <w:p>
            <w:pPr>
              <w:pStyle w:val="null3"/>
            </w:pPr>
            <w:r>
              <w:rPr>
                <w:sz w:val="21"/>
              </w:rPr>
              <w:t xml:space="preserve">n) </w:t>
            </w:r>
            <w:r>
              <w:rPr>
                <w:sz w:val="21"/>
              </w:rPr>
              <w:t>其它要求应符合</w:t>
            </w:r>
            <w:r>
              <w:rPr>
                <w:sz w:val="21"/>
              </w:rPr>
              <w:t xml:space="preserve"> GB/T 9813.1 </w:t>
            </w:r>
            <w:r>
              <w:rPr>
                <w:sz w:val="21"/>
              </w:rPr>
              <w:t>的相关规定</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★机箱防护要求</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机箱应符合</w:t>
            </w:r>
            <w:r>
              <w:rPr>
                <w:sz w:val="21"/>
              </w:rPr>
              <w:t xml:space="preserve"> GB/T 4208 </w:t>
            </w:r>
            <w:r>
              <w:rPr>
                <w:sz w:val="21"/>
              </w:rPr>
              <w:t>中</w:t>
            </w:r>
            <w:r>
              <w:rPr>
                <w:sz w:val="21"/>
              </w:rPr>
              <w:t xml:space="preserve"> IP20 </w:t>
            </w:r>
            <w:r>
              <w:rPr>
                <w:sz w:val="21"/>
              </w:rPr>
              <w:t>防护要求</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★整机噪音</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产品工作在空闲状态下，产品的声功率级应不超过</w:t>
            </w:r>
            <w:r>
              <w:rPr>
                <w:sz w:val="21"/>
              </w:rPr>
              <w:t>4.5 Bel</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★整机散热</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在环境温度</w:t>
            </w:r>
            <w:r>
              <w:rPr>
                <w:sz w:val="21"/>
              </w:rPr>
              <w:t>25</w:t>
            </w:r>
            <w:r>
              <w:rPr>
                <w:sz w:val="21"/>
              </w:rPr>
              <w:t>℃及处理器满载情况下，产品表面温度应符合下列要求：</w:t>
            </w:r>
          </w:p>
          <w:p>
            <w:pPr>
              <w:pStyle w:val="null3"/>
            </w:pPr>
            <w:r>
              <w:rPr>
                <w:sz w:val="21"/>
              </w:rPr>
              <w:t xml:space="preserve">a) </w:t>
            </w:r>
            <w:r>
              <w:rPr>
                <w:sz w:val="21"/>
              </w:rPr>
              <w:t>出风口在机箱后面板情况下，</w:t>
            </w:r>
            <w:r>
              <w:rPr>
                <w:sz w:val="21"/>
              </w:rPr>
              <w:t>出风口温度不高于</w:t>
            </w:r>
            <w:r>
              <w:rPr>
                <w:sz w:val="21"/>
              </w:rPr>
              <w:t>55</w:t>
            </w:r>
            <w:r>
              <w:rPr>
                <w:sz w:val="21"/>
              </w:rPr>
              <w:t>℃；</w:t>
            </w:r>
          </w:p>
          <w:p>
            <w:pPr>
              <w:pStyle w:val="null3"/>
            </w:pPr>
            <w:r>
              <w:rPr>
                <w:sz w:val="21"/>
              </w:rPr>
              <w:t xml:space="preserve">b) </w:t>
            </w:r>
            <w:r>
              <w:rPr>
                <w:sz w:val="21"/>
              </w:rPr>
              <w:t>可触及面温度小于</w:t>
            </w:r>
            <w:r>
              <w:rPr>
                <w:sz w:val="21"/>
              </w:rPr>
              <w:t>45</w:t>
            </w:r>
            <w:r>
              <w:rPr>
                <w:sz w:val="21"/>
              </w:rPr>
              <w:t>℃；</w:t>
            </w:r>
          </w:p>
          <w:p>
            <w:pPr>
              <w:pStyle w:val="null3"/>
            </w:pPr>
            <w:r>
              <w:rPr>
                <w:sz w:val="21"/>
              </w:rPr>
              <w:t xml:space="preserve">c) </w:t>
            </w:r>
            <w:r>
              <w:rPr>
                <w:sz w:val="21"/>
              </w:rPr>
              <w:t>显示器表面温度：</w:t>
            </w:r>
            <w:r>
              <w:rPr>
                <w:sz w:val="21"/>
              </w:rPr>
              <w:t>显示屏温度不高于</w:t>
            </w:r>
            <w:r>
              <w:rPr>
                <w:sz w:val="21"/>
              </w:rPr>
              <w:t xml:space="preserve"> 38</w:t>
            </w:r>
            <w:r>
              <w:rPr>
                <w:sz w:val="21"/>
              </w:rPr>
              <w:t>℃，显示屏上下灯带位置温度</w:t>
            </w:r>
            <w:r>
              <w:rPr>
                <w:sz w:val="21"/>
              </w:rPr>
              <w:t>(</w:t>
            </w:r>
            <w:r>
              <w:rPr>
                <w:sz w:val="21"/>
              </w:rPr>
              <w:t>如涉及</w:t>
            </w:r>
            <w:r>
              <w:rPr>
                <w:sz w:val="21"/>
              </w:rPr>
              <w:t xml:space="preserve">) </w:t>
            </w:r>
            <w:r>
              <w:rPr>
                <w:sz w:val="21"/>
              </w:rPr>
              <w:t>不高于</w:t>
            </w:r>
            <w:r>
              <w:rPr>
                <w:sz w:val="21"/>
              </w:rPr>
              <w:t>40</w:t>
            </w:r>
            <w:r>
              <w:rPr>
                <w:sz w:val="21"/>
              </w:rPr>
              <w:t>℃，</w:t>
            </w:r>
            <w:r>
              <w:rPr>
                <w:sz w:val="21"/>
              </w:rPr>
              <w:t>出风口温度不高于</w:t>
            </w:r>
            <w:r>
              <w:rPr>
                <w:sz w:val="21"/>
              </w:rPr>
              <w:t xml:space="preserve"> 45</w:t>
            </w:r>
            <w:r>
              <w:rPr>
                <w:sz w:val="21"/>
              </w:rPr>
              <w:t>℃</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★整机能效限定值</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产品能效限定值应达到</w:t>
            </w:r>
            <w:r>
              <w:rPr>
                <w:sz w:val="21"/>
              </w:rPr>
              <w:t xml:space="preserve"> GB 28380-2012</w:t>
            </w:r>
            <w:r>
              <w:rPr>
                <w:sz w:val="21"/>
              </w:rPr>
              <w:t>标准中能效等级</w:t>
            </w:r>
            <w:r>
              <w:rPr>
                <w:sz w:val="21"/>
              </w:rPr>
              <w:t xml:space="preserve"> 2 </w:t>
            </w:r>
            <w:r>
              <w:rPr>
                <w:sz w:val="21"/>
              </w:rPr>
              <w:t>级及以上</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★机身颜色</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黑色商务色系</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★机箱尺寸容量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25L</w:t>
            </w:r>
            <w:r>
              <w:rPr>
                <w:sz w:val="21"/>
              </w:rPr>
              <w:t>≤机箱体积≤</w:t>
            </w:r>
            <w:r>
              <w:rPr>
                <w:sz w:val="21"/>
              </w:rPr>
              <w:t>30L</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w:t>
            </w:r>
            <w:r>
              <w:rPr>
                <w:sz w:val="21"/>
              </w:rPr>
              <w:t>性能</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CPU</w:t>
            </w:r>
            <w:r>
              <w:rPr>
                <w:sz w:val="21"/>
              </w:rPr>
              <w:t>物理核数</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8</w:t>
            </w:r>
            <w:r>
              <w:rPr>
                <w:sz w:val="21"/>
              </w:rPr>
              <w:t>核，≥</w:t>
            </w:r>
            <w:r>
              <w:rPr>
                <w:sz w:val="21"/>
              </w:rPr>
              <w:t>16</w:t>
            </w:r>
            <w:r>
              <w:rPr>
                <w:sz w:val="21"/>
              </w:rPr>
              <w:t>线程</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CPU</w:t>
            </w:r>
            <w:r>
              <w:rPr>
                <w:sz w:val="21"/>
              </w:rPr>
              <w:t>主频</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3.0GHz</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 xml:space="preserve">CPU </w:t>
            </w:r>
            <w:r>
              <w:rPr>
                <w:sz w:val="21"/>
              </w:rPr>
              <w:t>末级缓存容量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16MB</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 xml:space="preserve">CPU </w:t>
            </w:r>
            <w:r>
              <w:rPr>
                <w:sz w:val="21"/>
              </w:rPr>
              <w:t>支持的内存最高速率</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2933MT/s</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内存性能</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★内存读写速率</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2933MT/s</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性能要求</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显卡性能</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★显示分辨率</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4096</w:t>
            </w:r>
            <w:r>
              <w:rPr>
                <w:sz w:val="21"/>
              </w:rPr>
              <w:t>×</w:t>
            </w:r>
            <w:r>
              <w:rPr>
                <w:sz w:val="21"/>
              </w:rPr>
              <w:t>2160</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性能要求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★显卡显示芯片核心频率</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1920MHz</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性能要求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★显存等效频率</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16000MT/s</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性能要求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★显卡可支持多屏同时显示数量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w:t>
            </w:r>
            <w:r>
              <w:rPr>
                <w:sz w:val="21"/>
              </w:rPr>
              <w:t>2</w:t>
            </w:r>
            <w:r>
              <w:rPr>
                <w:sz w:val="21"/>
              </w:rPr>
              <w:t>块屏幕同时显示，分辨率应不低于</w:t>
            </w:r>
            <w:r>
              <w:rPr>
                <w:sz w:val="21"/>
              </w:rPr>
              <w:t>3840</w:t>
            </w:r>
            <w:r>
              <w:rPr>
                <w:sz w:val="21"/>
              </w:rPr>
              <w:t>×</w:t>
            </w:r>
            <w:r>
              <w:rPr>
                <w:sz w:val="21"/>
              </w:rPr>
              <w:t>2160</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性能要求</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显示设备性能</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★显示屏刷新率</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60Hz</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性能要求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★显示屏位深</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8</w:t>
            </w:r>
            <w:r>
              <w:rPr>
                <w:sz w:val="21"/>
              </w:rPr>
              <w:t>位</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性能要求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★显示屏色域</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99% sRGB</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性能要求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★显示屏色准</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 xml:space="preserve">E </w:t>
            </w:r>
            <w:r>
              <w:rPr>
                <w:sz w:val="21"/>
              </w:rPr>
              <w:t>≤</w:t>
            </w:r>
            <w:r>
              <w:rPr>
                <w:sz w:val="21"/>
              </w:rPr>
              <w:t>3</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性能要求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★显示屏响应时间</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6ms</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性能要求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★显示屏亮度</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 xml:space="preserve">350 </w:t>
            </w:r>
            <w:r>
              <w:rPr>
                <w:sz w:val="21"/>
              </w:rPr>
              <w:t>尼特</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性能要求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★显示屏亮度一致性</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70%</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性能要求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★显示屏对比度</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1000</w:t>
            </w:r>
            <w:r>
              <w:rPr>
                <w:sz w:val="21"/>
              </w:rPr>
              <w:t>：</w:t>
            </w:r>
            <w:r>
              <w:rPr>
                <w:sz w:val="21"/>
              </w:rPr>
              <w:t xml:space="preserve"> 1</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★显示屏其他参数</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其它参数应符合</w:t>
            </w:r>
            <w:r>
              <w:rPr>
                <w:sz w:val="21"/>
              </w:rPr>
              <w:t xml:space="preserve"> SJ/T 11292 </w:t>
            </w:r>
            <w:r>
              <w:rPr>
                <w:sz w:val="21"/>
              </w:rPr>
              <w:t>的相关规定</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67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网络设备性能</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★有线网卡速率</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最高速率应不低于</w:t>
            </w:r>
            <w:r>
              <w:rPr>
                <w:sz w:val="21"/>
              </w:rPr>
              <w:t xml:space="preserve"> 1000Mbps, </w:t>
            </w:r>
            <w:r>
              <w:rPr>
                <w:sz w:val="21"/>
              </w:rPr>
              <w:t>应支持</w:t>
            </w:r>
            <w:r>
              <w:rPr>
                <w:sz w:val="21"/>
              </w:rPr>
              <w:t>10Mbps</w:t>
            </w:r>
            <w:r>
              <w:rPr>
                <w:sz w:val="21"/>
              </w:rPr>
              <w:t>、</w:t>
            </w:r>
            <w:r>
              <w:rPr>
                <w:sz w:val="21"/>
              </w:rPr>
              <w:t>100Mbps</w:t>
            </w:r>
            <w:r>
              <w:rPr>
                <w:sz w:val="21"/>
              </w:rPr>
              <w:t>、</w:t>
            </w:r>
            <w:r>
              <w:rPr>
                <w:sz w:val="21"/>
              </w:rPr>
              <w:t xml:space="preserve">1000Mbps </w:t>
            </w:r>
            <w:r>
              <w:rPr>
                <w:sz w:val="21"/>
              </w:rPr>
              <w:t>速率自适应</w:t>
            </w:r>
          </w:p>
          <w:p>
            <w:pPr>
              <w:pStyle w:val="null3"/>
            </w:pPr>
            <w:r>
              <w:rPr>
                <w:sz w:val="21"/>
              </w:rPr>
              <w:t>支持</w:t>
            </w:r>
            <w:r>
              <w:rPr>
                <w:sz w:val="21"/>
              </w:rPr>
              <w:t>SFP+</w:t>
            </w:r>
            <w:r>
              <w:rPr>
                <w:sz w:val="21"/>
              </w:rPr>
              <w:t>的独立网卡网口速率均不少于</w:t>
            </w:r>
            <w:r>
              <w:rPr>
                <w:sz w:val="21"/>
              </w:rPr>
              <w:t>10GE</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主板功能</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★内存扩展接口</w:t>
            </w:r>
            <w:r>
              <w:rPr>
                <w:sz w:val="21"/>
              </w:rPr>
              <w:t>(</w:t>
            </w:r>
            <w:r>
              <w:rPr>
                <w:sz w:val="21"/>
              </w:rPr>
              <w:t>板载内存不涉及</w:t>
            </w:r>
            <w:r>
              <w:rPr>
                <w:sz w:val="21"/>
              </w:rPr>
              <w:t>)</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4</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singl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★主板</w:t>
            </w:r>
            <w:r>
              <w:rPr>
                <w:sz w:val="21"/>
              </w:rPr>
              <w:t>USB</w:t>
            </w:r>
            <w:r>
              <w:rPr>
                <w:sz w:val="21"/>
              </w:rPr>
              <w:t>瞬间过流保护</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支持瞬间过流保护功能</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singl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★主板防静电保护</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支持防静电保护功能</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singl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I/O</w:t>
            </w:r>
            <w:r>
              <w:rPr>
                <w:sz w:val="21"/>
              </w:rPr>
              <w:t>接口功能</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提供基于标准</w:t>
            </w:r>
            <w:r>
              <w:rPr>
                <w:sz w:val="21"/>
              </w:rPr>
              <w:t>USB</w:t>
            </w:r>
            <w:r>
              <w:rPr>
                <w:sz w:val="21"/>
              </w:rPr>
              <w:t>接口外设连接功能、基于音频输入输出接口的音频扩展功能、基于</w:t>
            </w:r>
            <w:r>
              <w:rPr>
                <w:sz w:val="21"/>
              </w:rPr>
              <w:t>PCIe</w:t>
            </w:r>
            <w:r>
              <w:rPr>
                <w:sz w:val="21"/>
              </w:rPr>
              <w:t>接口板卡扩展功能、基于</w:t>
            </w:r>
            <w:r>
              <w:rPr>
                <w:sz w:val="21"/>
              </w:rPr>
              <w:t>HDMI/VGA/Type-C/DVI/DP</w:t>
            </w:r>
            <w:r>
              <w:rPr>
                <w:sz w:val="21"/>
              </w:rPr>
              <w:t>等接口外接显示器扩展功能、基于存储接口对产品进行增容功能等。工作站</w:t>
            </w:r>
            <w:r>
              <w:rPr>
                <w:sz w:val="21"/>
              </w:rPr>
              <w:t>I/O</w:t>
            </w:r>
            <w:r>
              <w:rPr>
                <w:sz w:val="21"/>
              </w:rPr>
              <w:t>接口应具备外接标准</w:t>
            </w:r>
            <w:r>
              <w:rPr>
                <w:sz w:val="21"/>
              </w:rPr>
              <w:t>USB</w:t>
            </w:r>
            <w:r>
              <w:rPr>
                <w:sz w:val="21"/>
              </w:rPr>
              <w:t>设备、显示器、音频设备等内外部设备能力</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显卡功能</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★显卡外接显示接口</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显卡支持</w:t>
            </w:r>
            <w:r>
              <w:rPr>
                <w:sz w:val="21"/>
              </w:rPr>
              <w:t>DP</w:t>
            </w:r>
            <w:r>
              <w:rPr>
                <w:sz w:val="21"/>
              </w:rPr>
              <w:t>显示接口</w:t>
            </w:r>
            <w:r>
              <w:rPr>
                <w:sz w:val="21"/>
              </w:rPr>
              <w:t xml:space="preserve">, </w:t>
            </w:r>
            <w:r>
              <w:rPr>
                <w:sz w:val="21"/>
              </w:rPr>
              <w:t>并与显示器接口相匹配</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显示设备功能</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★显示器接口</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显示器应与显卡外接显示接口匹配</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★显示器支架</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显示器应提供显示器支架，宜支持屏幕旋转、支架可升降等</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★显示器参数调节</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a) </w:t>
            </w:r>
            <w:r>
              <w:rPr>
                <w:sz w:val="21"/>
              </w:rPr>
              <w:t>提供</w:t>
            </w:r>
            <w:r>
              <w:rPr>
                <w:sz w:val="21"/>
              </w:rPr>
              <w:t xml:space="preserve">OSD </w:t>
            </w:r>
            <w:r>
              <w:rPr>
                <w:sz w:val="21"/>
              </w:rPr>
              <w:t>选单按钮用于调节色彩、模式等；</w:t>
            </w:r>
          </w:p>
          <w:p>
            <w:pPr>
              <w:pStyle w:val="null3"/>
            </w:pPr>
            <w:r>
              <w:rPr>
                <w:sz w:val="21"/>
              </w:rPr>
              <w:t xml:space="preserve">b) </w:t>
            </w:r>
            <w:r>
              <w:rPr>
                <w:sz w:val="21"/>
              </w:rPr>
              <w:t>支持色温、亮度、对比度调节</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存储功能</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★存储功能</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可选配</w:t>
            </w:r>
            <w:r>
              <w:rPr>
                <w:sz w:val="21"/>
              </w:rPr>
              <w:t>SATA</w:t>
            </w:r>
            <w:r>
              <w:rPr>
                <w:sz w:val="21"/>
              </w:rPr>
              <w:t>固态存储</w:t>
            </w:r>
            <w:r>
              <w:rPr>
                <w:sz w:val="21"/>
              </w:rPr>
              <w:t>/SATA</w:t>
            </w:r>
            <w:r>
              <w:rPr>
                <w:sz w:val="21"/>
              </w:rPr>
              <w:t>硬磁盘等存储部件提供存储功能</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网络设备功能</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★网络功能</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a)</w:t>
            </w:r>
            <w:r>
              <w:rPr>
                <w:sz w:val="21"/>
              </w:rPr>
              <w:t>支持网络连接、网络开启</w:t>
            </w:r>
            <w:r>
              <w:rPr>
                <w:sz w:val="21"/>
              </w:rPr>
              <w:t>/</w:t>
            </w:r>
            <w:r>
              <w:rPr>
                <w:sz w:val="21"/>
              </w:rPr>
              <w:t>关闭功能；</w:t>
            </w:r>
          </w:p>
          <w:p>
            <w:pPr>
              <w:pStyle w:val="null3"/>
            </w:pPr>
            <w:r>
              <w:rPr>
                <w:sz w:val="21"/>
              </w:rPr>
              <w:t>b)</w:t>
            </w:r>
            <w:r>
              <w:rPr>
                <w:sz w:val="21"/>
              </w:rPr>
              <w:t>支持访问网络和数据交换功能</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singl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★数据传输</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支持数据传输能力，并提供数据流量和异常日志记录功能</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singl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★有线网卡接口类型</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w:t>
            </w:r>
            <w:r>
              <w:rPr>
                <w:sz w:val="21"/>
              </w:rPr>
              <w:t xml:space="preserve">RJ45 </w:t>
            </w:r>
            <w:r>
              <w:rPr>
                <w:sz w:val="21"/>
              </w:rPr>
              <w:t>接口</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singl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★网络设备拆装</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若配备的网络设备应支持物理拆装，包括无线网卡和蓝牙模块等</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外部接口功能</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★音频接口类型</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w:t>
            </w:r>
            <w:r>
              <w:rPr>
                <w:sz w:val="21"/>
              </w:rPr>
              <w:t>3.5mm</w:t>
            </w:r>
            <w:r>
              <w:rPr>
                <w:sz w:val="21"/>
              </w:rPr>
              <w:t>孔径</w:t>
            </w:r>
            <w:r>
              <w:rPr>
                <w:sz w:val="21"/>
              </w:rPr>
              <w:t>3</w:t>
            </w:r>
            <w:r>
              <w:rPr>
                <w:sz w:val="21"/>
              </w:rPr>
              <w:t>段式或</w:t>
            </w:r>
            <w:r>
              <w:rPr>
                <w:sz w:val="21"/>
              </w:rPr>
              <w:t>4</w:t>
            </w:r>
            <w:r>
              <w:rPr>
                <w:sz w:val="21"/>
              </w:rPr>
              <w:t>段式接口</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singl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★视频接口类型</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至少支持</w:t>
            </w:r>
            <w:r>
              <w:rPr>
                <w:sz w:val="21"/>
              </w:rPr>
              <w:t>VGA</w:t>
            </w:r>
            <w:r>
              <w:rPr>
                <w:sz w:val="21"/>
              </w:rPr>
              <w:t>、</w:t>
            </w:r>
            <w:r>
              <w:rPr>
                <w:sz w:val="21"/>
              </w:rPr>
              <w:t>HDMI</w:t>
            </w:r>
            <w:r>
              <w:rPr>
                <w:sz w:val="21"/>
              </w:rPr>
              <w:t>、</w:t>
            </w:r>
            <w:r>
              <w:rPr>
                <w:sz w:val="21"/>
              </w:rPr>
              <w:t>DVI</w:t>
            </w:r>
            <w:r>
              <w:rPr>
                <w:sz w:val="21"/>
              </w:rPr>
              <w:t>、</w:t>
            </w:r>
            <w:r>
              <w:rPr>
                <w:sz w:val="21"/>
              </w:rPr>
              <w:t>DP</w:t>
            </w:r>
            <w:r>
              <w:rPr>
                <w:sz w:val="21"/>
              </w:rPr>
              <w:t>、</w:t>
            </w:r>
            <w:r>
              <w:rPr>
                <w:sz w:val="21"/>
              </w:rPr>
              <w:t>Type-C</w:t>
            </w:r>
            <w:r>
              <w:rPr>
                <w:sz w:val="21"/>
              </w:rPr>
              <w:t>中</w:t>
            </w:r>
            <w:r>
              <w:rPr>
                <w:sz w:val="21"/>
              </w:rPr>
              <w:t>1</w:t>
            </w:r>
            <w:r>
              <w:rPr>
                <w:sz w:val="21"/>
              </w:rPr>
              <w:t>种显示接口</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singl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HDMI</w:t>
            </w:r>
            <w:r>
              <w:rPr>
                <w:sz w:val="21"/>
              </w:rPr>
              <w:t>、</w:t>
            </w:r>
            <w:r>
              <w:rPr>
                <w:sz w:val="21"/>
              </w:rPr>
              <w:t>DP</w:t>
            </w:r>
            <w:r>
              <w:rPr>
                <w:sz w:val="21"/>
              </w:rPr>
              <w:t>、</w:t>
            </w:r>
            <w:r>
              <w:rPr>
                <w:sz w:val="21"/>
              </w:rPr>
              <w:t>Type-C</w:t>
            </w:r>
            <w:r>
              <w:rPr>
                <w:sz w:val="21"/>
              </w:rPr>
              <w:t>显示接口要求</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提供</w:t>
            </w:r>
            <w:r>
              <w:rPr>
                <w:sz w:val="21"/>
              </w:rPr>
              <w:t>HDMI</w:t>
            </w:r>
            <w:r>
              <w:rPr>
                <w:sz w:val="21"/>
              </w:rPr>
              <w:t>或</w:t>
            </w:r>
            <w:r>
              <w:rPr>
                <w:sz w:val="21"/>
              </w:rPr>
              <w:t xml:space="preserve">DP </w:t>
            </w:r>
            <w:r>
              <w:rPr>
                <w:sz w:val="21"/>
              </w:rPr>
              <w:t>或</w:t>
            </w:r>
            <w:r>
              <w:rPr>
                <w:sz w:val="21"/>
              </w:rPr>
              <w:t>Type-C</w:t>
            </w:r>
            <w:r>
              <w:rPr>
                <w:sz w:val="21"/>
              </w:rPr>
              <w:t>作为显示接口，</w:t>
            </w:r>
            <w:r>
              <w:rPr>
                <w:sz w:val="21"/>
              </w:rPr>
              <w:t>应支持音频和视频同步输出</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电源功能</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★电源线适配能力</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电源适配器电线组件应符合</w:t>
            </w:r>
            <w:r>
              <w:rPr>
                <w:sz w:val="21"/>
              </w:rPr>
              <w:t>GB/T15934</w:t>
            </w:r>
            <w:r>
              <w:rPr>
                <w:sz w:val="21"/>
              </w:rPr>
              <w:t>的要求，</w:t>
            </w:r>
            <w:r>
              <w:rPr>
                <w:sz w:val="21"/>
              </w:rPr>
              <w:t>可拆线的插头和连接器可以不做要求</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操作系统及软件功能</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★中文信息处理要求</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符合</w:t>
            </w:r>
            <w:r>
              <w:rPr>
                <w:sz w:val="21"/>
              </w:rPr>
              <w:t>GB 18030</w:t>
            </w:r>
            <w:r>
              <w:rPr>
                <w:sz w:val="21"/>
              </w:rPr>
              <w:t>的相关规定</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★操作系统备份及还原功能</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支持操作系统备份及还原功能</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★固件备份还原能力</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支持备份及还原固件的功能</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★操作系统及驱动升级</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支持通过网络、闪存盘等方式对操作系统、驱动进行升级</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 xml:space="preserve">BIOS </w:t>
            </w:r>
            <w:r>
              <w:rPr>
                <w:sz w:val="21"/>
              </w:rPr>
              <w:t>支持关闭通讯接口</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w:t>
            </w:r>
            <w:r>
              <w:rPr>
                <w:sz w:val="21"/>
              </w:rPr>
              <w:t xml:space="preserve">BIOS </w:t>
            </w:r>
            <w:r>
              <w:rPr>
                <w:sz w:val="21"/>
              </w:rPr>
              <w:t>关闭以太网及</w:t>
            </w:r>
            <w:r>
              <w:rPr>
                <w:sz w:val="21"/>
              </w:rPr>
              <w:t xml:space="preserve">USB </w:t>
            </w:r>
            <w:r>
              <w:rPr>
                <w:sz w:val="21"/>
              </w:rPr>
              <w:t>接口功能</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★固件查看信息</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支持查看固件版本、内存信息、主板信息、处理器信息和系统时间信息等功能</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★固件设置启动顺序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支持设置启动顺序功能，并按照设置的启动顺序启动</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★固件设置口令</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支持设置口令、修改口令、验证口令功能</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★固件设置网络引导</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支持网络引导启动和关闭功能</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可靠性要求</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存储设备可靠性</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★固态存储寿命</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TBW</w:t>
            </w:r>
            <w:r>
              <w:rPr>
                <w:sz w:val="21"/>
              </w:rPr>
              <w:t>≥</w:t>
            </w:r>
            <w:r>
              <w:rPr>
                <w:sz w:val="21"/>
              </w:rPr>
              <w:t>80TB</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可靠性要求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★机械硬盘寿命</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通电时间≥</w:t>
            </w:r>
            <w:r>
              <w:rPr>
                <w:sz w:val="21"/>
              </w:rPr>
              <w:t>5</w:t>
            </w:r>
            <w:r>
              <w:rPr>
                <w:sz w:val="21"/>
              </w:rPr>
              <w:t>万小时</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可靠性要求</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显示设备可靠性</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★显示屏屏幕失效点</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符合</w:t>
            </w:r>
            <w:r>
              <w:rPr>
                <w:sz w:val="21"/>
              </w:rPr>
              <w:t xml:space="preserve">GB/T 9813.2 </w:t>
            </w:r>
            <w:r>
              <w:rPr>
                <w:sz w:val="21"/>
              </w:rPr>
              <w:t>的要求</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可靠性要求</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外设可靠性</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★键盘按键寿命</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1000</w:t>
            </w:r>
            <w:r>
              <w:rPr>
                <w:sz w:val="21"/>
              </w:rPr>
              <w:t>万次</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可靠性要求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★鼠标按键寿命</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500</w:t>
            </w:r>
            <w:r>
              <w:rPr>
                <w:sz w:val="21"/>
              </w:rPr>
              <w:t>万次</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可靠性要求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★键盘鼠标线材寿命</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键盘鼠标所用线材经±</w:t>
            </w:r>
            <w:r>
              <w:rPr>
                <w:sz w:val="21"/>
              </w:rPr>
              <w:t>60</w:t>
            </w:r>
            <w:r>
              <w:rPr>
                <w:sz w:val="21"/>
              </w:rPr>
              <w:t>°弯折不低于</w:t>
            </w:r>
            <w:r>
              <w:rPr>
                <w:sz w:val="21"/>
              </w:rPr>
              <w:t xml:space="preserve"> 3000</w:t>
            </w:r>
            <w:r>
              <w:rPr>
                <w:sz w:val="21"/>
              </w:rPr>
              <w:t>次，功能、外观完好</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可靠性要求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★风扇寿命</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4</w:t>
            </w:r>
            <w:r>
              <w:rPr>
                <w:sz w:val="21"/>
              </w:rPr>
              <w:t>万小时</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可靠性要求</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整机可靠</w:t>
            </w:r>
          </w:p>
          <w:p>
            <w:pPr>
              <w:pStyle w:val="null3"/>
              <w:jc w:val="center"/>
            </w:pPr>
            <w:r>
              <w:rPr>
                <w:sz w:val="21"/>
              </w:rPr>
              <w:t>性要求</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★电磁兼容性要求的抗扰度</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符合</w:t>
            </w:r>
            <w:r>
              <w:rPr>
                <w:sz w:val="21"/>
              </w:rPr>
              <w:t xml:space="preserve"> GB/T 9254.2 </w:t>
            </w:r>
            <w:r>
              <w:rPr>
                <w:sz w:val="21"/>
              </w:rPr>
              <w:t>的规定</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可靠性要求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★环境条件要求的气候环境适应性</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符合</w:t>
            </w:r>
            <w:r>
              <w:rPr>
                <w:sz w:val="21"/>
              </w:rPr>
              <w:t xml:space="preserve"> GB/T 9813.1 </w:t>
            </w:r>
            <w:r>
              <w:rPr>
                <w:sz w:val="21"/>
              </w:rPr>
              <w:t>中规定</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可靠性要求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★环境条件要求的振动适应性</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符合</w:t>
            </w:r>
            <w:r>
              <w:rPr>
                <w:sz w:val="21"/>
              </w:rPr>
              <w:t xml:space="preserve"> GB/T 9813.1 </w:t>
            </w:r>
            <w:r>
              <w:rPr>
                <w:sz w:val="21"/>
              </w:rPr>
              <w:t>中规定</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可靠性要求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★环境条件要求的冲击适应性</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符合</w:t>
            </w:r>
            <w:r>
              <w:rPr>
                <w:sz w:val="21"/>
              </w:rPr>
              <w:t xml:space="preserve"> GB/T 9813.1 </w:t>
            </w:r>
            <w:r>
              <w:rPr>
                <w:sz w:val="21"/>
              </w:rPr>
              <w:t>中规定</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可靠性要求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★环境条件要求的碰撞适应性</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符合</w:t>
            </w:r>
            <w:r>
              <w:rPr>
                <w:sz w:val="21"/>
              </w:rPr>
              <w:t xml:space="preserve"> GB/T 9813.1 </w:t>
            </w:r>
            <w:r>
              <w:rPr>
                <w:sz w:val="21"/>
              </w:rPr>
              <w:t>中规定</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可靠性要求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★环境条件要求的运输包装件跌落适应性</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符合</w:t>
            </w:r>
            <w:r>
              <w:rPr>
                <w:sz w:val="21"/>
              </w:rPr>
              <w:t xml:space="preserve"> GB/T 9813.1 </w:t>
            </w:r>
            <w:r>
              <w:rPr>
                <w:sz w:val="21"/>
              </w:rPr>
              <w:t>中规定</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可靠性要求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 xml:space="preserve">MTBF </w:t>
            </w:r>
            <w:r>
              <w:rPr>
                <w:sz w:val="21"/>
              </w:rPr>
              <w:t>测试</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MTBF(m1)</w:t>
            </w:r>
            <w:r>
              <w:rPr>
                <w:sz w:val="21"/>
              </w:rPr>
              <w:t>≥</w:t>
            </w:r>
            <w:r>
              <w:rPr>
                <w:sz w:val="21"/>
              </w:rPr>
              <w:t>20</w:t>
            </w:r>
            <w:r>
              <w:rPr>
                <w:sz w:val="21"/>
              </w:rPr>
              <w:t>万小时</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兼容要求</w:t>
            </w:r>
          </w:p>
        </w:tc>
        <w:tc>
          <w:tcPr>
            <w:tcW w:type="dxa" w:w="671"/>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兼容要求</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★常用软件兼容</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应支持流式软件、版式软件、浏览器、邮件客户端、解压软件、多媒体、图形图像处理等常用软件</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兼容要求</w:t>
            </w:r>
          </w:p>
        </w:tc>
        <w:tc>
          <w:tcPr>
            <w:tcW w:type="dxa" w:w="671"/>
            <w:vMerge/>
            <w:tcBorders>
              <w:top w:val="non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★数据库兼容</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兼容</w:t>
            </w:r>
            <w:r>
              <w:rPr>
                <w:sz w:val="21"/>
              </w:rPr>
              <w:t>3</w:t>
            </w:r>
            <w:r>
              <w:rPr>
                <w:sz w:val="21"/>
              </w:rPr>
              <w:t>个及以上厂商的数据库产品</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兼容要求</w:t>
            </w:r>
          </w:p>
        </w:tc>
        <w:tc>
          <w:tcPr>
            <w:tcW w:type="dxa" w:w="671"/>
            <w:vMerge/>
            <w:tcBorders>
              <w:top w:val="non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★中间件兼容</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兼容</w:t>
            </w:r>
            <w:r>
              <w:rPr>
                <w:sz w:val="21"/>
              </w:rPr>
              <w:t>3</w:t>
            </w:r>
            <w:r>
              <w:rPr>
                <w:sz w:val="21"/>
              </w:rPr>
              <w:t>个及以上厂商中间件产品</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兼容要求</w:t>
            </w:r>
          </w:p>
        </w:tc>
        <w:tc>
          <w:tcPr>
            <w:tcW w:type="dxa" w:w="671"/>
            <w:vMerge/>
            <w:tcBorders>
              <w:top w:val="non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★平台软件兼容</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兼容</w:t>
            </w:r>
            <w:r>
              <w:rPr>
                <w:sz w:val="21"/>
              </w:rPr>
              <w:t>3</w:t>
            </w:r>
            <w:r>
              <w:rPr>
                <w:sz w:val="21"/>
              </w:rPr>
              <w:t>个及以上厂商云计算及大数据平台</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包装及运输要求</w:t>
            </w:r>
          </w:p>
        </w:tc>
        <w:tc>
          <w:tcPr>
            <w:tcW w:type="dxa" w:w="6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包装及运</w:t>
            </w:r>
          </w:p>
          <w:p>
            <w:pPr>
              <w:pStyle w:val="null3"/>
              <w:jc w:val="center"/>
            </w:pPr>
            <w:r>
              <w:rPr>
                <w:sz w:val="21"/>
              </w:rPr>
              <w:t>输要求</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★标志、包装、运输和贮存</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符合</w:t>
            </w:r>
            <w:r>
              <w:rPr>
                <w:sz w:val="21"/>
              </w:rPr>
              <w:t xml:space="preserve"> GB/T9813.1 </w:t>
            </w:r>
            <w:r>
              <w:rPr>
                <w:sz w:val="21"/>
              </w:rPr>
              <w:t>和商品包装政府采购需求标准的相关规定</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671"/>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★配置检查工具</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提供自检测试工具</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671"/>
            <w:vMerge/>
            <w:tcBorders>
              <w:top w:val="non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★服务响应</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a)</w:t>
            </w:r>
            <w:r>
              <w:rPr>
                <w:sz w:val="21"/>
              </w:rPr>
              <w:t>供应商提供电话、电子邮件、远程连接等多种形式政企专线</w:t>
            </w:r>
            <w:r>
              <w:rPr>
                <w:sz w:val="21"/>
              </w:rPr>
              <w:t>7*24</w:t>
            </w:r>
            <w:r>
              <w:rPr>
                <w:sz w:val="21"/>
              </w:rPr>
              <w:t>在线服务；</w:t>
            </w:r>
          </w:p>
          <w:p>
            <w:pPr>
              <w:pStyle w:val="null3"/>
            </w:pPr>
            <w:r>
              <w:rPr>
                <w:sz w:val="21"/>
              </w:rPr>
              <w:t>b)</w:t>
            </w:r>
            <w:r>
              <w:rPr>
                <w:sz w:val="21"/>
              </w:rPr>
              <w:t>供应商提供同城</w:t>
            </w:r>
            <w:r>
              <w:rPr>
                <w:sz w:val="21"/>
              </w:rPr>
              <w:t>4h</w:t>
            </w:r>
            <w:r>
              <w:rPr>
                <w:sz w:val="21"/>
              </w:rPr>
              <w:t>、异地</w:t>
            </w:r>
            <w:r>
              <w:rPr>
                <w:sz w:val="21"/>
              </w:rPr>
              <w:t xml:space="preserve">12h </w:t>
            </w:r>
            <w:r>
              <w:rPr>
                <w:sz w:val="21"/>
              </w:rPr>
              <w:t>技术响应服务，</w:t>
            </w:r>
            <w:r>
              <w:rPr>
                <w:sz w:val="21"/>
              </w:rPr>
              <w:t xml:space="preserve">2 </w:t>
            </w:r>
            <w:r>
              <w:rPr>
                <w:sz w:val="21"/>
              </w:rPr>
              <w:t>个工作日解决问题，对于未能解决的问题和故障应提供可行的升级方案，并提供周转设备或更换设备；</w:t>
            </w:r>
          </w:p>
          <w:p>
            <w:pPr>
              <w:pStyle w:val="null3"/>
            </w:pPr>
            <w:r>
              <w:rPr>
                <w:sz w:val="21"/>
              </w:rPr>
              <w:t>c)</w:t>
            </w:r>
            <w:r>
              <w:rPr>
                <w:sz w:val="21"/>
              </w:rPr>
              <w:t>建立全国技术服务体系和服务团体，符合专业服务体系标准要求，提供原厂中文服务；</w:t>
            </w:r>
          </w:p>
          <w:p>
            <w:pPr>
              <w:pStyle w:val="null3"/>
            </w:pPr>
            <w:r>
              <w:rPr>
                <w:sz w:val="21"/>
              </w:rPr>
              <w:t>d)</w:t>
            </w:r>
            <w:r>
              <w:rPr>
                <w:sz w:val="21"/>
              </w:rPr>
              <w:t>服务周期内提供产品的维修、换件和升级服务</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671"/>
            <w:vMerge/>
            <w:tcBorders>
              <w:top w:val="non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★服务周期</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支持产品延保≥</w:t>
            </w:r>
            <w:r>
              <w:rPr>
                <w:sz w:val="21"/>
              </w:rPr>
              <w:t>3</w:t>
            </w:r>
            <w:r>
              <w:rPr>
                <w:sz w:val="21"/>
              </w:rPr>
              <w:t>年。</w:t>
            </w:r>
          </w:p>
          <w:p>
            <w:pPr>
              <w:pStyle w:val="null3"/>
            </w:pPr>
            <w:r>
              <w:rPr>
                <w:sz w:val="21"/>
              </w:rPr>
              <w:t>提供每年延保服务报价。</w:t>
            </w:r>
          </w:p>
          <w:p>
            <w:pPr>
              <w:pStyle w:val="null3"/>
            </w:pPr>
            <w:r>
              <w:rPr>
                <w:sz w:val="21"/>
              </w:rPr>
              <w:t>提供备件服务能力≥</w:t>
            </w:r>
            <w:r>
              <w:rPr>
                <w:sz w:val="21"/>
              </w:rPr>
              <w:t>6</w:t>
            </w:r>
            <w:r>
              <w:rPr>
                <w:sz w:val="21"/>
              </w:rPr>
              <w:t>年（自购买之日起）。</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671"/>
            <w:vMerge/>
            <w:tcBorders>
              <w:top w:val="non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★预装操作系统</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预装符合桌面操作系统政府采购需求标准、通过安全可靠测评的正版统信</w:t>
            </w:r>
            <w:r>
              <w:rPr>
                <w:sz w:val="21"/>
              </w:rPr>
              <w:t>UOS V20</w:t>
            </w:r>
            <w:r>
              <w:rPr>
                <w:sz w:val="21"/>
              </w:rPr>
              <w:t>操作系统（内核版本</w:t>
            </w:r>
            <w:r>
              <w:rPr>
                <w:sz w:val="21"/>
              </w:rPr>
              <w:t>5.10</w:t>
            </w:r>
            <w:r>
              <w:rPr>
                <w:sz w:val="21"/>
              </w:rPr>
              <w:t>），并提供不小于一年升级服务。</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671"/>
            <w:vMerge/>
            <w:tcBorders>
              <w:top w:val="non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★培训服务</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供应商提供培训材料、产品手册、培训视频等培训相关内容</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671"/>
            <w:vMerge/>
            <w:tcBorders>
              <w:top w:val="non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★典型问题解决手册</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供应商提供典型问题解决说明文档或视频</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671"/>
            <w:vMerge/>
            <w:tcBorders>
              <w:top w:val="non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★厂家升级软件与扩容服务</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供应商提供上门升级部件</w:t>
            </w:r>
            <w:r>
              <w:rPr>
                <w:sz w:val="21"/>
              </w:rPr>
              <w:t>/</w:t>
            </w:r>
            <w:r>
              <w:rPr>
                <w:sz w:val="21"/>
              </w:rPr>
              <w:t>软件的增值服务</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671"/>
            <w:vMerge/>
            <w:tcBorders>
              <w:top w:val="non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★整机质量服务要求</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免费服务周期（含换件和维修）≥</w:t>
            </w:r>
            <w:r>
              <w:rPr>
                <w:sz w:val="21"/>
              </w:rPr>
              <w:t>3</w:t>
            </w:r>
            <w:r>
              <w:rPr>
                <w:sz w:val="21"/>
              </w:rPr>
              <w:t>年，免费服务周期内硬盘损坏更换免回收</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671"/>
            <w:vMerge/>
            <w:tcBorders>
              <w:top w:val="non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★合格证书要求</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供应商提供产品合格证</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671"/>
            <w:vMerge/>
            <w:tcBorders>
              <w:top w:val="non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★开箱组装</w:t>
            </w:r>
            <w:r>
              <w:rPr>
                <w:sz w:val="21"/>
              </w:rPr>
              <w:t>/</w:t>
            </w:r>
            <w:r>
              <w:rPr>
                <w:sz w:val="21"/>
              </w:rPr>
              <w:t>使用指导要求</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供应商提供开箱组装</w:t>
            </w:r>
            <w:r>
              <w:rPr>
                <w:sz w:val="21"/>
              </w:rPr>
              <w:t>/</w:t>
            </w:r>
            <w:r>
              <w:rPr>
                <w:sz w:val="21"/>
              </w:rPr>
              <w:t>使用指导</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671"/>
            <w:vMerge/>
            <w:tcBorders>
              <w:top w:val="non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★驱动下载服务要求</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供应商提供驱动光盘或下载方式</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671"/>
            <w:vMerge/>
            <w:tcBorders>
              <w:top w:val="non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★兼容适配软件下载服务要求</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供应商提供兼容适配软件下载渠道</w:t>
            </w:r>
            <w:r>
              <w:rPr>
                <w:sz w:val="21"/>
              </w:rPr>
              <w:t>(</w:t>
            </w:r>
            <w:r>
              <w:rPr>
                <w:sz w:val="21"/>
              </w:rPr>
              <w:t>光盘、网站</w:t>
            </w:r>
            <w:r>
              <w:rPr>
                <w:sz w:val="21"/>
              </w:rPr>
              <w:t>)</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供应保障要求</w:t>
            </w:r>
          </w:p>
        </w:tc>
        <w:tc>
          <w:tcPr>
            <w:tcW w:type="dxa" w:w="6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供应链合规性</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★产品部件保障</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保障产品主要部件提供不少于</w:t>
            </w:r>
            <w:r>
              <w:rPr>
                <w:sz w:val="21"/>
              </w:rPr>
              <w:t>6</w:t>
            </w:r>
            <w:r>
              <w:rPr>
                <w:sz w:val="21"/>
              </w:rPr>
              <w:t>年的备件服务能力</w:t>
            </w:r>
            <w:r>
              <w:rPr>
                <w:sz w:val="21"/>
              </w:rPr>
              <w:t>(</w:t>
            </w:r>
            <w:r>
              <w:rPr>
                <w:sz w:val="21"/>
              </w:rPr>
              <w:t>自购买之日起</w:t>
            </w:r>
            <w:r>
              <w:rPr>
                <w:sz w:val="21"/>
              </w:rPr>
              <w:t>)</w:t>
            </w:r>
            <w:r>
              <w:rPr>
                <w:sz w:val="21"/>
              </w:rPr>
              <w:t>，或提供可兼容原设备的升级换代产品</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供应保障要求</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供应链质量</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★抗干扰性</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当产品部件出现供应风险时，供应商应通知采购人并提供风险应对方案确保产品的服务保障</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供应保障要求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★供应能力证明</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供应商提供供应链稳定承诺书，确保产品的部件在产品服务周期内稳定供货</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安全要求</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关键部件安全要求</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★关键部件安全要求</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CPU</w:t>
            </w:r>
            <w:r>
              <w:rPr>
                <w:sz w:val="21"/>
              </w:rPr>
              <w:t>和操作系统等关键部件应符合安全可靠测评要求</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安全要求</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整机安全</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★密码算法实现</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CPU</w:t>
            </w:r>
            <w:r>
              <w:rPr>
                <w:sz w:val="21"/>
              </w:rPr>
              <w:t>芯片应符合</w:t>
            </w:r>
            <w:r>
              <w:rPr>
                <w:sz w:val="21"/>
              </w:rPr>
              <w:t>GM/T 0008</w:t>
            </w:r>
            <w:r>
              <w:rPr>
                <w:sz w:val="21"/>
              </w:rPr>
              <w:t>的相关规定</w:t>
            </w:r>
            <w:r>
              <w:rPr>
                <w:sz w:val="21"/>
              </w:rPr>
              <w:t>,</w:t>
            </w:r>
            <w:r>
              <w:rPr>
                <w:sz w:val="21"/>
              </w:rPr>
              <w:t>或芯片密码模块应符合</w:t>
            </w:r>
            <w:r>
              <w:rPr>
                <w:sz w:val="21"/>
              </w:rPr>
              <w:t xml:space="preserve"> GB/T 37092 </w:t>
            </w:r>
            <w:r>
              <w:rPr>
                <w:sz w:val="21"/>
              </w:rPr>
              <w:t>或</w:t>
            </w:r>
            <w:r>
              <w:rPr>
                <w:sz w:val="21"/>
              </w:rPr>
              <w:t xml:space="preserve">GM/T 0028 </w:t>
            </w:r>
            <w:r>
              <w:rPr>
                <w:sz w:val="21"/>
              </w:rPr>
              <w:t>的相关规定</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★信息安全基本要求</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a) </w:t>
            </w:r>
            <w:r>
              <w:rPr>
                <w:sz w:val="21"/>
              </w:rPr>
              <w:t>应符合</w:t>
            </w:r>
            <w:r>
              <w:rPr>
                <w:sz w:val="21"/>
              </w:rPr>
              <w:t xml:space="preserve"> GB/T 39276 </w:t>
            </w:r>
            <w:r>
              <w:rPr>
                <w:sz w:val="21"/>
              </w:rPr>
              <w:t>的</w:t>
            </w:r>
            <w:r>
              <w:rPr>
                <w:sz w:val="21"/>
              </w:rPr>
              <w:t>5.2</w:t>
            </w:r>
            <w:r>
              <w:rPr>
                <w:sz w:val="21"/>
              </w:rPr>
              <w:t>的规定；</w:t>
            </w:r>
          </w:p>
          <w:p>
            <w:pPr>
              <w:pStyle w:val="null3"/>
            </w:pPr>
            <w:r>
              <w:rPr>
                <w:sz w:val="21"/>
              </w:rPr>
              <w:t xml:space="preserve">b) </w:t>
            </w:r>
            <w:r>
              <w:rPr>
                <w:sz w:val="21"/>
              </w:rPr>
              <w:t>生产厂商应建立漏洞跟踪表，</w:t>
            </w:r>
            <w:r>
              <w:rPr>
                <w:sz w:val="21"/>
              </w:rPr>
              <w:t>保证产品版本涉及到的漏洞</w:t>
            </w:r>
            <w:r>
              <w:rPr>
                <w:sz w:val="21"/>
              </w:rPr>
              <w:t>(</w:t>
            </w:r>
            <w:r>
              <w:rPr>
                <w:sz w:val="21"/>
              </w:rPr>
              <w:t>如驱动程序等</w:t>
            </w:r>
            <w:r>
              <w:rPr>
                <w:sz w:val="21"/>
              </w:rPr>
              <w:t>)</w:t>
            </w:r>
            <w:r>
              <w:rPr>
                <w:sz w:val="21"/>
              </w:rPr>
              <w:t>可查看；</w:t>
            </w:r>
          </w:p>
          <w:p>
            <w:pPr>
              <w:pStyle w:val="null3"/>
            </w:pPr>
            <w:r>
              <w:rPr>
                <w:sz w:val="21"/>
              </w:rPr>
              <w:t xml:space="preserve">c) </w:t>
            </w:r>
            <w:r>
              <w:rPr>
                <w:sz w:val="21"/>
              </w:rPr>
              <w:t>产品不得包含已知的恶意代码或漏洞，不存在未声明的指令、功能、接口</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★固件安全启动</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支持固件安全启动功能，固件启动过程中只有通过启动校验才能正常启动</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★限用物质的限量要求</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符合</w:t>
            </w:r>
            <w:r>
              <w:rPr>
                <w:sz w:val="21"/>
              </w:rPr>
              <w:t xml:space="preserve"> GB/T 26572 </w:t>
            </w:r>
            <w:r>
              <w:rPr>
                <w:sz w:val="21"/>
              </w:rPr>
              <w:t>中规定</w:t>
            </w:r>
          </w:p>
        </w:tc>
      </w:tr>
      <w:tr>
        <w:tc>
          <w:tcPr>
            <w:tcW w:type="dxa" w:w="830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“★”条款说明：供应商在投标时出具关于所提供的“图形工作站”是否满足采购文件要求的承诺函（上述“★”指标应逐项响应，可参照本招标文件第六章中《承诺函》格式）。</w:t>
            </w:r>
          </w:p>
          <w:p>
            <w:pPr>
              <w:pStyle w:val="null3"/>
            </w:pPr>
            <w:r>
              <w:rPr>
                <w:sz w:val="21"/>
              </w:rPr>
              <w:t>提醒：供应商应实事求是响应本项目所列要求，如有虚假承诺，采购人将以供应商违反《中华人民共和国政府采购法》第七十七条</w:t>
            </w:r>
            <w:r>
              <w:rPr>
                <w:sz w:val="21"/>
                <w:shd w:fill="FFFFFF" w:val="clear"/>
              </w:rPr>
              <w:t>第一款规定“提供虚假材料谋取中标、成交的”情况</w:t>
            </w:r>
            <w:r>
              <w:rPr>
                <w:sz w:val="21"/>
              </w:rPr>
              <w:t>上报政府采购监管部门，供应商将被列入不良行为记录名单，在一至三年内禁止参加政府采购活动。</w:t>
            </w:r>
          </w:p>
        </w:tc>
      </w:tr>
    </w:tbl>
    <w:p>
      <w:pPr>
        <w:pStyle w:val="null3"/>
        <w:ind w:firstLine="420"/>
        <w:jc w:val="both"/>
      </w:pPr>
      <w:r>
        <w:rPr>
          <w:sz w:val="21"/>
        </w:rPr>
        <w:t>（</w:t>
      </w:r>
      <w:r>
        <w:rPr>
          <w:sz w:val="21"/>
        </w:rPr>
        <w:t>2</w:t>
      </w:r>
      <w:r>
        <w:rPr>
          <w:sz w:val="21"/>
        </w:rPr>
        <w:t>）移动工作站</w:t>
      </w:r>
    </w:p>
    <w:tbl>
      <w:tblPr>
        <w:tblW w:w="0" w:type="auto"/>
        <w:tblBorders>
          <w:top w:val="none" w:color="000000" w:sz="4"/>
          <w:left w:val="none" w:color="000000" w:sz="4"/>
          <w:bottom w:val="none" w:color="000000" w:sz="4"/>
          <w:right w:val="none" w:color="000000" w:sz="4"/>
          <w:insideH w:val="none"/>
          <w:insideV w:val="none"/>
        </w:tblBorders>
      </w:tblPr>
      <w:tblGrid>
        <w:gridCol w:w="503"/>
        <w:gridCol w:w="671"/>
        <w:gridCol w:w="671"/>
        <w:gridCol w:w="1342"/>
        <w:gridCol w:w="5118"/>
      </w:tblGrid>
      <w:tr>
        <w:tc>
          <w:tcPr>
            <w:tcW w:type="dxa" w:w="5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6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指标分类</w:t>
            </w:r>
          </w:p>
        </w:tc>
        <w:tc>
          <w:tcPr>
            <w:tcW w:type="dxa" w:w="6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一级指标</w:t>
            </w:r>
          </w:p>
        </w:tc>
        <w:tc>
          <w:tcPr>
            <w:tcW w:type="dxa" w:w="13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二级指标</w:t>
            </w:r>
          </w:p>
        </w:tc>
        <w:tc>
          <w:tcPr>
            <w:tcW w:type="dxa" w:w="51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需求指标要求</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w:t>
            </w:r>
            <w:r>
              <w:rPr>
                <w:sz w:val="21"/>
              </w:rPr>
              <w:t>规格</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CPU</w:t>
            </w:r>
            <w:r>
              <w:rPr>
                <w:sz w:val="21"/>
              </w:rPr>
              <w:t>信息</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处理器架构：兼容</w:t>
            </w:r>
            <w:r>
              <w:rPr>
                <w:sz w:val="21"/>
              </w:rPr>
              <w:t>X86</w:t>
            </w:r>
          </w:p>
          <w:p>
            <w:pPr>
              <w:pStyle w:val="null3"/>
            </w:pPr>
            <w:r>
              <w:rPr>
                <w:sz w:val="21"/>
              </w:rPr>
              <w:t>物理核心数：≥</w:t>
            </w:r>
            <w:r>
              <w:rPr>
                <w:sz w:val="21"/>
              </w:rPr>
              <w:t>8</w:t>
            </w:r>
            <w:r>
              <w:rPr>
                <w:sz w:val="21"/>
              </w:rPr>
              <w:t>核</w:t>
            </w:r>
          </w:p>
          <w:p>
            <w:pPr>
              <w:pStyle w:val="null3"/>
            </w:pPr>
            <w:r>
              <w:rPr>
                <w:sz w:val="21"/>
              </w:rPr>
              <w:t>主频：≥</w:t>
            </w:r>
            <w:r>
              <w:rPr>
                <w:sz w:val="21"/>
              </w:rPr>
              <w:t>2.3GHz</w:t>
            </w:r>
            <w:r>
              <w:rPr>
                <w:sz w:val="21"/>
              </w:rPr>
              <w:t>，支持睿频加速功能，支持超线程技术</w:t>
            </w:r>
          </w:p>
          <w:p>
            <w:pPr>
              <w:pStyle w:val="null3"/>
            </w:pPr>
            <w:r>
              <w:rPr>
                <w:sz w:val="21"/>
              </w:rPr>
              <w:t>末级缓存容量：≥</w:t>
            </w:r>
            <w:r>
              <w:rPr>
                <w:sz w:val="21"/>
              </w:rPr>
              <w:t>16MB</w:t>
            </w:r>
            <w:r>
              <w:rPr>
                <w:sz w:val="21"/>
              </w:rPr>
              <w:t>三级缓存</w:t>
            </w:r>
          </w:p>
          <w:p>
            <w:pPr>
              <w:pStyle w:val="null3"/>
            </w:pPr>
            <w:r>
              <w:rPr>
                <w:sz w:val="21"/>
              </w:rPr>
              <w:t>线程数：≥</w:t>
            </w:r>
            <w:r>
              <w:rPr>
                <w:sz w:val="21"/>
              </w:rPr>
              <w:t>16</w:t>
            </w:r>
            <w:r>
              <w:rPr>
                <w:sz w:val="21"/>
              </w:rPr>
              <w:t>线程</w:t>
            </w:r>
          </w:p>
          <w:p>
            <w:pPr>
              <w:pStyle w:val="null3"/>
            </w:pPr>
            <w:r>
              <w:rPr>
                <w:sz w:val="21"/>
              </w:rPr>
              <w:t>功耗：≥</w:t>
            </w:r>
            <w:r>
              <w:rPr>
                <w:sz w:val="21"/>
              </w:rPr>
              <w:t>25W</w:t>
            </w:r>
          </w:p>
          <w:p>
            <w:pPr>
              <w:pStyle w:val="null3"/>
            </w:pPr>
            <w:r>
              <w:rPr>
                <w:sz w:val="21"/>
              </w:rPr>
              <w:t>内存最高频率：</w:t>
            </w:r>
            <w:r>
              <w:rPr>
                <w:sz w:val="21"/>
              </w:rPr>
              <w:t>2933MT/s</w:t>
            </w:r>
          </w:p>
          <w:p>
            <w:pPr>
              <w:pStyle w:val="null3"/>
            </w:pPr>
            <w:r>
              <w:rPr>
                <w:sz w:val="21"/>
              </w:rPr>
              <w:t>通道数：≥</w:t>
            </w:r>
            <w:r>
              <w:rPr>
                <w:sz w:val="21"/>
              </w:rPr>
              <w:t>2</w:t>
            </w:r>
            <w:r>
              <w:rPr>
                <w:sz w:val="21"/>
              </w:rPr>
              <w:t>个内存通道</w:t>
            </w:r>
          </w:p>
          <w:p>
            <w:pPr>
              <w:pStyle w:val="null3"/>
            </w:pPr>
            <w:r>
              <w:rPr>
                <w:sz w:val="21"/>
              </w:rPr>
              <w:t>位宽：支持单条</w:t>
            </w:r>
            <w:r>
              <w:rPr>
                <w:sz w:val="21"/>
              </w:rPr>
              <w:t>x64</w:t>
            </w:r>
            <w:r>
              <w:rPr>
                <w:sz w:val="21"/>
              </w:rPr>
              <w:t>位宽内存</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内存规格</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★内存配置容量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32GB</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★内存类型</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w:t>
            </w:r>
            <w:r>
              <w:rPr>
                <w:sz w:val="21"/>
              </w:rPr>
              <w:t>DDR4</w:t>
            </w:r>
            <w:r>
              <w:rPr>
                <w:sz w:val="21"/>
              </w:rPr>
              <w:t>或以上内存类型</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★内存条配置数量</w:t>
            </w:r>
            <w:r>
              <w:rPr>
                <w:sz w:val="21"/>
              </w:rPr>
              <w:t>(</w:t>
            </w:r>
            <w:r>
              <w:rPr>
                <w:sz w:val="21"/>
              </w:rPr>
              <w:t>板载内存不涉及</w:t>
            </w:r>
            <w:r>
              <w:rPr>
                <w:sz w:val="21"/>
              </w:rPr>
              <w:t>)</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主板规格</w:t>
            </w:r>
          </w:p>
          <w:p>
            <w:pPr>
              <w:pStyle w:val="null3"/>
              <w:jc w:val="center"/>
            </w:p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★主板集成模块</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集成资源扩展模块、计算处理模块、音频扩展模块等，主板的互联拓扑可通过处理器或交换电路实现</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★主板支持的</w:t>
            </w:r>
            <w:r>
              <w:rPr>
                <w:sz w:val="21"/>
              </w:rPr>
              <w:t xml:space="preserve"> CPU</w:t>
            </w:r>
            <w:r>
              <w:rPr>
                <w:sz w:val="21"/>
              </w:rPr>
              <w:t>和内存情况</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兼容</w:t>
            </w:r>
            <w:r>
              <w:rPr>
                <w:sz w:val="21"/>
              </w:rPr>
              <w:t>X86</w:t>
            </w:r>
            <w:r>
              <w:rPr>
                <w:sz w:val="21"/>
              </w:rPr>
              <w:t>架构的</w:t>
            </w:r>
            <w:r>
              <w:rPr>
                <w:sz w:val="21"/>
              </w:rPr>
              <w:t>CPU,</w:t>
            </w:r>
            <w:r>
              <w:rPr>
                <w:sz w:val="21"/>
              </w:rPr>
              <w:t>数量：</w:t>
            </w:r>
            <w:r>
              <w:rPr>
                <w:sz w:val="21"/>
              </w:rPr>
              <w:t>1</w:t>
            </w:r>
          </w:p>
          <w:p>
            <w:pPr>
              <w:pStyle w:val="null3"/>
            </w:pPr>
            <w:r>
              <w:rPr>
                <w:sz w:val="21"/>
              </w:rPr>
              <w:t>内存：具体型号和数量根据实际配置确定，总容量最高支持到</w:t>
            </w:r>
            <w:r>
              <w:rPr>
                <w:sz w:val="21"/>
              </w:rPr>
              <w:t>32GB</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★主板其他内置接口</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2</w:t>
            </w:r>
            <w:r>
              <w:rPr>
                <w:sz w:val="21"/>
              </w:rPr>
              <w:t>个</w:t>
            </w:r>
            <w:r>
              <w:rPr>
                <w:sz w:val="21"/>
              </w:rPr>
              <w:t>USB 3.0</w:t>
            </w:r>
            <w:r>
              <w:rPr>
                <w:sz w:val="21"/>
              </w:rPr>
              <w:t>接口</w:t>
            </w:r>
          </w:p>
          <w:p>
            <w:pPr>
              <w:pStyle w:val="null3"/>
            </w:pPr>
            <w:r>
              <w:rPr>
                <w:sz w:val="21"/>
              </w:rPr>
              <w:t>≥</w:t>
            </w:r>
            <w:r>
              <w:rPr>
                <w:sz w:val="21"/>
              </w:rPr>
              <w:t>2</w:t>
            </w:r>
            <w:r>
              <w:rPr>
                <w:sz w:val="21"/>
              </w:rPr>
              <w:t>个</w:t>
            </w:r>
            <w:r>
              <w:rPr>
                <w:sz w:val="21"/>
              </w:rPr>
              <w:t>USB Type-C</w:t>
            </w:r>
            <w:r>
              <w:rPr>
                <w:sz w:val="21"/>
              </w:rPr>
              <w:t>接口</w:t>
            </w:r>
            <w:r>
              <w:rPr>
                <w:sz w:val="21"/>
              </w:rPr>
              <w:t>(</w:t>
            </w:r>
            <w:r>
              <w:rPr>
                <w:sz w:val="21"/>
              </w:rPr>
              <w:t>其中一个支持屏幕扩展</w:t>
            </w:r>
            <w:r>
              <w:rPr>
                <w:sz w:val="21"/>
              </w:rPr>
              <w:t>)</w:t>
            </w:r>
          </w:p>
          <w:p>
            <w:pPr>
              <w:pStyle w:val="null3"/>
            </w:pPr>
            <w:r>
              <w:rPr>
                <w:sz w:val="21"/>
              </w:rPr>
              <w:t>≥</w:t>
            </w:r>
            <w:r>
              <w:rPr>
                <w:sz w:val="21"/>
              </w:rPr>
              <w:t>1</w:t>
            </w:r>
            <w:r>
              <w:rPr>
                <w:sz w:val="21"/>
              </w:rPr>
              <w:t>个</w:t>
            </w:r>
            <w:r>
              <w:rPr>
                <w:sz w:val="21"/>
              </w:rPr>
              <w:t>HDMI type-A</w:t>
            </w:r>
            <w:r>
              <w:rPr>
                <w:sz w:val="21"/>
              </w:rPr>
              <w:t>（</w:t>
            </w:r>
            <w:r>
              <w:rPr>
                <w:sz w:val="21"/>
              </w:rPr>
              <w:t>HDMI 2.0</w:t>
            </w:r>
            <w:r>
              <w:rPr>
                <w:sz w:val="21"/>
              </w:rPr>
              <w:t>）接口</w:t>
            </w:r>
          </w:p>
          <w:p>
            <w:pPr>
              <w:pStyle w:val="null3"/>
            </w:pPr>
            <w:r>
              <w:rPr>
                <w:sz w:val="21"/>
              </w:rPr>
              <w:t>≥</w:t>
            </w:r>
            <w:r>
              <w:rPr>
                <w:sz w:val="21"/>
              </w:rPr>
              <w:t>1</w:t>
            </w:r>
            <w:r>
              <w:rPr>
                <w:sz w:val="21"/>
              </w:rPr>
              <w:t>个</w:t>
            </w:r>
            <w:r>
              <w:rPr>
                <w:sz w:val="21"/>
              </w:rPr>
              <w:t>3.5mm Audio Jack</w:t>
            </w:r>
          </w:p>
          <w:p>
            <w:pPr>
              <w:pStyle w:val="null3"/>
            </w:pPr>
            <w:r>
              <w:rPr>
                <w:sz w:val="21"/>
              </w:rPr>
              <w:t>占用情况根据实际配置确定</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★单内存插槽最大可支持容量</w:t>
            </w:r>
            <w:r>
              <w:rPr>
                <w:sz w:val="21"/>
              </w:rPr>
              <w:t>(</w:t>
            </w:r>
            <w:r>
              <w:rPr>
                <w:sz w:val="21"/>
              </w:rPr>
              <w:t>板载内存不涉及</w:t>
            </w:r>
            <w:r>
              <w:rPr>
                <w:sz w:val="21"/>
              </w:rPr>
              <w:t>)</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16GB</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★内存插槽满配时提供的最高内存总容量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16GB</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存储设备规格</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★固态盘数量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w:t>
            </w:r>
            <w:r>
              <w:rPr>
                <w:sz w:val="21"/>
              </w:rPr>
              <w:t>个</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★固态存储容量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2TB</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★固态存储形态</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采用插卡形态，支持</w:t>
            </w:r>
            <w:r>
              <w:rPr>
                <w:sz w:val="21"/>
              </w:rPr>
              <w:t>M.2</w:t>
            </w:r>
            <w:r>
              <w:rPr>
                <w:sz w:val="21"/>
              </w:rPr>
              <w:t>标准尺寸和接口协议</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★存储设备扩展盘位</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0</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★存储设备其他参数要求</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a</w:t>
            </w:r>
            <w:r>
              <w:rPr>
                <w:sz w:val="21"/>
              </w:rPr>
              <w:t>）固态盘应符合</w:t>
            </w:r>
            <w:r>
              <w:rPr>
                <w:sz w:val="21"/>
              </w:rPr>
              <w:t>SJ/T 11654</w:t>
            </w:r>
            <w:r>
              <w:rPr>
                <w:sz w:val="21"/>
              </w:rPr>
              <w:t>相关规定；</w:t>
            </w:r>
          </w:p>
          <w:p>
            <w:pPr>
              <w:pStyle w:val="null3"/>
            </w:pPr>
            <w:r>
              <w:rPr>
                <w:sz w:val="21"/>
              </w:rPr>
              <w:t>b</w:t>
            </w:r>
            <w:r>
              <w:rPr>
                <w:sz w:val="21"/>
              </w:rPr>
              <w:t>）如有机械硬盘，机械硬盘准备时间应不大于</w:t>
            </w:r>
            <w:r>
              <w:rPr>
                <w:sz w:val="21"/>
              </w:rPr>
              <w:t>30s</w:t>
            </w:r>
            <w:r>
              <w:rPr>
                <w:sz w:val="21"/>
              </w:rPr>
              <w:t>；侧面固定螺丝孔数量可为</w:t>
            </w:r>
            <w:r>
              <w:rPr>
                <w:sz w:val="21"/>
              </w:rPr>
              <w:t>4</w:t>
            </w:r>
            <w:r>
              <w:rPr>
                <w:sz w:val="21"/>
              </w:rPr>
              <w:t>孔或</w:t>
            </w:r>
            <w:r>
              <w:rPr>
                <w:sz w:val="21"/>
              </w:rPr>
              <w:t>6</w:t>
            </w:r>
            <w:r>
              <w:rPr>
                <w:sz w:val="21"/>
              </w:rPr>
              <w:t>孔；工作状态环境温度应满足</w:t>
            </w:r>
            <w:r>
              <w:rPr>
                <w:sz w:val="21"/>
              </w:rPr>
              <w:t xml:space="preserve"> 5</w:t>
            </w:r>
            <w:r>
              <w:rPr>
                <w:sz w:val="21"/>
              </w:rPr>
              <w:t>℃～</w:t>
            </w:r>
            <w:r>
              <w:rPr>
                <w:sz w:val="21"/>
              </w:rPr>
              <w:t>55</w:t>
            </w:r>
            <w:r>
              <w:rPr>
                <w:sz w:val="21"/>
              </w:rPr>
              <w:t>℃；其它参数应符合</w:t>
            </w:r>
            <w:r>
              <w:rPr>
                <w:sz w:val="21"/>
              </w:rPr>
              <w:t>GB/T12628</w:t>
            </w:r>
            <w:r>
              <w:rPr>
                <w:sz w:val="21"/>
              </w:rPr>
              <w:t>的相关规定</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显卡规格</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★显卡类型</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独立显卡</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★独立显卡显存类型</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LPDDR4X</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▲独立显卡显存位宽</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显存位宽≥</w:t>
            </w:r>
            <w:r>
              <w:rPr>
                <w:sz w:val="21"/>
              </w:rPr>
              <w:t>64</w:t>
            </w:r>
            <w:r>
              <w:rPr>
                <w:sz w:val="21"/>
              </w:rPr>
              <w:t>位</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▲独立显卡显存容量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显存容量≥</w:t>
            </w:r>
            <w:r>
              <w:rPr>
                <w:sz w:val="21"/>
              </w:rPr>
              <w:t>4GB</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▲独立显卡接口协议</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产品支持</w:t>
            </w:r>
            <w:r>
              <w:rPr>
                <w:sz w:val="21"/>
              </w:rPr>
              <w:t>PCIe</w:t>
            </w:r>
            <w:r>
              <w:rPr>
                <w:sz w:val="21"/>
              </w:rPr>
              <w:t>协议版本大于等于</w:t>
            </w:r>
            <w:r>
              <w:rPr>
                <w:sz w:val="21"/>
              </w:rPr>
              <w:t>3.0</w:t>
            </w:r>
            <w:r>
              <w:rPr>
                <w:sz w:val="21"/>
              </w:rPr>
              <w:t>的独立显卡接口协议（须承诺中标后与采购人签订合同后</w:t>
            </w:r>
            <w:r>
              <w:rPr>
                <w:sz w:val="21"/>
              </w:rPr>
              <w:t>2</w:t>
            </w:r>
            <w:r>
              <w:rPr>
                <w:sz w:val="21"/>
              </w:rPr>
              <w:t>个工作日内提供原厂盖章证明材料）</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20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显示设备规格</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★显示屏屏占比</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80%</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21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★显示屏分辨率</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1920x1080</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22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★显示屏尺寸</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 xml:space="preserve">14 </w:t>
            </w:r>
            <w:r>
              <w:rPr>
                <w:sz w:val="21"/>
              </w:rPr>
              <w:t>英寸</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23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★显示屏屏幕比例</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16</w:t>
            </w:r>
            <w:r>
              <w:rPr>
                <w:sz w:val="21"/>
              </w:rPr>
              <w:t>：</w:t>
            </w:r>
            <w:r>
              <w:rPr>
                <w:sz w:val="21"/>
              </w:rPr>
              <w:t>10</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24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★显示屏防蓝光</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支持防蓝光模式，蓝光加权辐射亮度比应≤</w:t>
            </w:r>
            <w:r>
              <w:rPr>
                <w:sz w:val="21"/>
              </w:rPr>
              <w:t>0.0012W/(</w:t>
            </w:r>
            <w:r>
              <w:rPr>
                <w:sz w:val="21"/>
              </w:rPr>
              <w:t>·</w:t>
            </w:r>
            <w:r>
              <w:rPr>
                <w:sz w:val="21"/>
              </w:rPr>
              <w:t>cd</w:t>
            </w:r>
            <w:r>
              <w:rPr>
                <w:sz w:val="21"/>
              </w:rPr>
              <w:t>·</w:t>
            </w:r>
            <w:r>
              <w:rPr>
                <w:sz w:val="21"/>
              </w:rPr>
              <w:t>sr) (</w:t>
            </w:r>
            <w:r>
              <w:rPr>
                <w:sz w:val="21"/>
              </w:rPr>
              <w:t>瓦每坎特拉每球面度</w:t>
            </w:r>
            <w:r>
              <w:rPr>
                <w:sz w:val="21"/>
              </w:rPr>
              <w:t>)</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25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★显示屏低频闪</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显示屏应支持低频闪≤</w:t>
            </w:r>
            <w:r>
              <w:rPr>
                <w:sz w:val="21"/>
              </w:rPr>
              <w:t>-35dB</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26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★显示屏防炫目</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显示屏镜面反射率≤</w:t>
            </w:r>
            <w:r>
              <w:rPr>
                <w:sz w:val="21"/>
              </w:rPr>
              <w:t>10%</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27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外设规格</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★传声器数量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2</w:t>
            </w:r>
            <w:r>
              <w:rPr>
                <w:sz w:val="21"/>
              </w:rPr>
              <w:t>个</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28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★扬声器数量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2</w:t>
            </w:r>
            <w:r>
              <w:rPr>
                <w:sz w:val="21"/>
              </w:rPr>
              <w:t>个</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29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★鼠标数量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w:t>
            </w:r>
            <w:r>
              <w:rPr>
                <w:sz w:val="21"/>
              </w:rPr>
              <w:t>个</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30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★键盘数量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w:t>
            </w:r>
            <w:r>
              <w:rPr>
                <w:sz w:val="21"/>
              </w:rPr>
              <w:t>个</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31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★触控板数量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w:t>
            </w:r>
            <w:r>
              <w:rPr>
                <w:sz w:val="21"/>
              </w:rPr>
              <w:t>个</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32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★摄像头数量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w:t>
            </w:r>
            <w:r>
              <w:rPr>
                <w:sz w:val="21"/>
              </w:rPr>
              <w:t>个</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33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★键盘按键数目</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62 </w:t>
            </w:r>
            <w:r>
              <w:rPr>
                <w:sz w:val="21"/>
              </w:rPr>
              <w:t>键</w:t>
            </w:r>
            <w:r>
              <w:rPr>
                <w:sz w:val="21"/>
              </w:rPr>
              <w:t xml:space="preserve">/84 </w:t>
            </w:r>
            <w:r>
              <w:rPr>
                <w:sz w:val="21"/>
              </w:rPr>
              <w:t>键</w:t>
            </w:r>
            <w:r>
              <w:rPr>
                <w:sz w:val="21"/>
              </w:rPr>
              <w:t>/105</w:t>
            </w:r>
            <w:r>
              <w:rPr>
                <w:sz w:val="21"/>
              </w:rPr>
              <w:t>键等</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34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★摄像头像素</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100</w:t>
            </w:r>
            <w:r>
              <w:rPr>
                <w:sz w:val="21"/>
              </w:rPr>
              <w:t>万</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35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★摄像头分辨率</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1280</w:t>
            </w:r>
            <w:r>
              <w:rPr>
                <w:sz w:val="21"/>
              </w:rPr>
              <w:t>×</w:t>
            </w:r>
            <w:r>
              <w:rPr>
                <w:sz w:val="21"/>
              </w:rPr>
              <w:t>720</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36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★内置扬声器功率</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w:t>
            </w:r>
            <w:r>
              <w:rPr>
                <w:sz w:val="21"/>
              </w:rPr>
              <w:t>瓦</w:t>
            </w:r>
            <w:r>
              <w:rPr>
                <w:sz w:val="21"/>
              </w:rPr>
              <w:t>/</w:t>
            </w:r>
            <w:r>
              <w:rPr>
                <w:sz w:val="21"/>
              </w:rPr>
              <w:t>个</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37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★内置扬声器频率范围</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100Hz-20kHz</w:t>
            </w:r>
            <w:r>
              <w:rPr>
                <w:sz w:val="21"/>
              </w:rPr>
              <w:t>，其中</w:t>
            </w:r>
            <w:r>
              <w:rPr>
                <w:sz w:val="21"/>
              </w:rPr>
              <w:t xml:space="preserve"> 100Hz-200Hz</w:t>
            </w:r>
            <w:r>
              <w:rPr>
                <w:sz w:val="21"/>
              </w:rPr>
              <w:t>：</w:t>
            </w:r>
            <w:r>
              <w:rPr>
                <w:sz w:val="21"/>
              </w:rPr>
              <w:t xml:space="preserve">35dB </w:t>
            </w:r>
            <w:r>
              <w:rPr>
                <w:sz w:val="21"/>
              </w:rPr>
              <w:t>及以上；</w:t>
            </w:r>
            <w:r>
              <w:rPr>
                <w:sz w:val="21"/>
              </w:rPr>
              <w:t>200Hz-12kHz</w:t>
            </w:r>
            <w:r>
              <w:rPr>
                <w:sz w:val="21"/>
              </w:rPr>
              <w:t>：</w:t>
            </w:r>
            <w:r>
              <w:rPr>
                <w:sz w:val="21"/>
              </w:rPr>
              <w:t>55dB</w:t>
            </w:r>
            <w:r>
              <w:rPr>
                <w:sz w:val="21"/>
              </w:rPr>
              <w:t>及以上，</w:t>
            </w:r>
            <w:r>
              <w:rPr>
                <w:sz w:val="21"/>
              </w:rPr>
              <w:t>12kHz-18kHz</w:t>
            </w:r>
            <w:r>
              <w:rPr>
                <w:sz w:val="21"/>
              </w:rPr>
              <w:t>：</w:t>
            </w:r>
            <w:r>
              <w:rPr>
                <w:sz w:val="21"/>
              </w:rPr>
              <w:t xml:space="preserve">35dB </w:t>
            </w:r>
            <w:r>
              <w:rPr>
                <w:sz w:val="21"/>
              </w:rPr>
              <w:t>及以上</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38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★内置扬声器总谐波失真</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总谐波失真在</w:t>
            </w:r>
            <w:r>
              <w:rPr>
                <w:sz w:val="21"/>
              </w:rPr>
              <w:t>300Hz-7kHz</w:t>
            </w:r>
            <w:r>
              <w:rPr>
                <w:sz w:val="21"/>
              </w:rPr>
              <w:t>频率范围内宜不高于</w:t>
            </w:r>
            <w:r>
              <w:rPr>
                <w:sz w:val="21"/>
              </w:rPr>
              <w:t xml:space="preserve"> 5%</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39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★内置扬声器最大声压级</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最大声压级在粉红噪声播放场景下，工作距离处声压级宜不低于</w:t>
            </w:r>
            <w:r>
              <w:rPr>
                <w:sz w:val="21"/>
              </w:rPr>
              <w:t>70dB</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40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★键盘键程</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0.9mm</w:t>
            </w:r>
            <w:r>
              <w:rPr>
                <w:sz w:val="21"/>
              </w:rPr>
              <w:t>～</w:t>
            </w:r>
            <w:r>
              <w:rPr>
                <w:sz w:val="21"/>
              </w:rPr>
              <w:t>2.3mm</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41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★键盘按键压力</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按键压力应在</w:t>
            </w:r>
            <w:r>
              <w:rPr>
                <w:sz w:val="21"/>
              </w:rPr>
              <w:t>0.54 N</w:t>
            </w:r>
            <w:r>
              <w:rPr>
                <w:sz w:val="21"/>
              </w:rPr>
              <w:t>±</w:t>
            </w:r>
            <w:r>
              <w:rPr>
                <w:sz w:val="21"/>
              </w:rPr>
              <w:t>0.14N</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42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★键盘颜色</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黑色</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43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★鼠标连接方式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标配</w:t>
            </w:r>
            <w:r>
              <w:rPr>
                <w:sz w:val="21"/>
              </w:rPr>
              <w:t>USB</w:t>
            </w:r>
            <w:r>
              <w:rPr>
                <w:sz w:val="21"/>
              </w:rPr>
              <w:t>接口有线鼠标</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44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★有线鼠标连接线</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1.5</w:t>
            </w:r>
            <w:r>
              <w:rPr>
                <w:sz w:val="21"/>
              </w:rPr>
              <w:t>米</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45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★鼠标</w:t>
            </w:r>
            <w:r>
              <w:rPr>
                <w:sz w:val="21"/>
              </w:rPr>
              <w:t xml:space="preserve">DPI </w:t>
            </w:r>
            <w:r>
              <w:rPr>
                <w:sz w:val="21"/>
              </w:rPr>
              <w:t>分辨率</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800</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46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★鼠标其他要求</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其它参数应符合</w:t>
            </w:r>
            <w:r>
              <w:rPr>
                <w:sz w:val="21"/>
              </w:rPr>
              <w:t>GB/T 26245</w:t>
            </w:r>
            <w:r>
              <w:rPr>
                <w:sz w:val="21"/>
              </w:rPr>
              <w:t>的相关规定</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47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★触控板尺寸</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70mm</w:t>
            </w:r>
            <w:r>
              <w:rPr>
                <w:sz w:val="21"/>
              </w:rPr>
              <w:t>×</w:t>
            </w:r>
            <w:r>
              <w:rPr>
                <w:sz w:val="21"/>
              </w:rPr>
              <w:t>50mm</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48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★触控板材质</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采用麦拉片或玻璃等材质</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49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网络设备规格</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★有线网卡数量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50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★有线网络</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板载千兆</w:t>
            </w:r>
            <w:r>
              <w:rPr>
                <w:sz w:val="21"/>
              </w:rPr>
              <w:t>RJ45</w:t>
            </w:r>
            <w:r>
              <w:rPr>
                <w:sz w:val="21"/>
              </w:rPr>
              <w:t>接口有线网络，支持</w:t>
            </w:r>
            <w:r>
              <w:rPr>
                <w:sz w:val="21"/>
              </w:rPr>
              <w:t>1000/100/10M</w:t>
            </w:r>
            <w:r>
              <w:rPr>
                <w:sz w:val="21"/>
              </w:rPr>
              <w:t>自适应</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51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无线网卡及天线数量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52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外部接口规格</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 xml:space="preserve">USB </w:t>
            </w:r>
            <w:r>
              <w:rPr>
                <w:sz w:val="21"/>
              </w:rPr>
              <w:t>接口数量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2</w:t>
            </w:r>
            <w:r>
              <w:rPr>
                <w:sz w:val="21"/>
              </w:rPr>
              <w:t>个</w:t>
            </w:r>
            <w:r>
              <w:rPr>
                <w:sz w:val="21"/>
              </w:rPr>
              <w:t>USB 3.0</w:t>
            </w:r>
            <w:r>
              <w:rPr>
                <w:sz w:val="21"/>
              </w:rPr>
              <w:t>接口</w:t>
            </w:r>
          </w:p>
          <w:p>
            <w:pPr>
              <w:pStyle w:val="null3"/>
            </w:pPr>
            <w:r>
              <w:rPr>
                <w:sz w:val="21"/>
              </w:rPr>
              <w:t>≥</w:t>
            </w:r>
            <w:r>
              <w:rPr>
                <w:sz w:val="21"/>
              </w:rPr>
              <w:t>2</w:t>
            </w:r>
            <w:r>
              <w:rPr>
                <w:sz w:val="21"/>
              </w:rPr>
              <w:t>个</w:t>
            </w:r>
            <w:r>
              <w:rPr>
                <w:sz w:val="21"/>
              </w:rPr>
              <w:t>USB Type-C</w:t>
            </w:r>
            <w:r>
              <w:rPr>
                <w:sz w:val="21"/>
              </w:rPr>
              <w:t>接口</w:t>
            </w:r>
          </w:p>
          <w:p>
            <w:pPr>
              <w:pStyle w:val="null3"/>
            </w:pPr>
            <w:r>
              <w:rPr>
                <w:sz w:val="21"/>
              </w:rPr>
              <w:t>≥</w:t>
            </w:r>
            <w:r>
              <w:rPr>
                <w:sz w:val="21"/>
              </w:rPr>
              <w:t>1</w:t>
            </w:r>
            <w:r>
              <w:rPr>
                <w:sz w:val="21"/>
              </w:rPr>
              <w:t>个</w:t>
            </w:r>
            <w:r>
              <w:rPr>
                <w:sz w:val="21"/>
              </w:rPr>
              <w:t>HDMI type-A</w:t>
            </w:r>
            <w:r>
              <w:rPr>
                <w:sz w:val="21"/>
              </w:rPr>
              <w:t>（</w:t>
            </w:r>
            <w:r>
              <w:rPr>
                <w:sz w:val="21"/>
              </w:rPr>
              <w:t>HDMI 2.0</w:t>
            </w:r>
            <w:r>
              <w:rPr>
                <w:sz w:val="21"/>
              </w:rPr>
              <w:t>）接口</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53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singl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★视频接口数量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54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singl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★输入充电接口数量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55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singl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★音频接口数量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56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整机基础规格</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★整机外观</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a) </w:t>
            </w:r>
            <w:r>
              <w:rPr>
                <w:sz w:val="21"/>
              </w:rPr>
              <w:t>产品表面不应有凹痕、划伤、裂缝、变形和污染等。表面涂层均匀，</w:t>
            </w:r>
            <w:r>
              <w:rPr>
                <w:sz w:val="21"/>
              </w:rPr>
              <w:t>不应起泡、龟裂、脱落和磨损，</w:t>
            </w:r>
            <w:r>
              <w:rPr>
                <w:sz w:val="21"/>
              </w:rPr>
              <w:t>金属零部件无锈蚀及其它机械损伤；</w:t>
            </w:r>
          </w:p>
          <w:p>
            <w:pPr>
              <w:pStyle w:val="null3"/>
            </w:pPr>
            <w:r>
              <w:rPr>
                <w:sz w:val="21"/>
              </w:rPr>
              <w:t xml:space="preserve">b) </w:t>
            </w:r>
            <w:r>
              <w:rPr>
                <w:sz w:val="21"/>
              </w:rPr>
              <w:t>产品表面说明功能的文字、符号、标志，</w:t>
            </w:r>
            <w:r>
              <w:rPr>
                <w:sz w:val="21"/>
              </w:rPr>
              <w:t>应清晰、端正、牢固；</w:t>
            </w:r>
          </w:p>
          <w:p>
            <w:pPr>
              <w:pStyle w:val="null3"/>
            </w:pPr>
            <w:r>
              <w:rPr>
                <w:sz w:val="21"/>
              </w:rPr>
              <w:t xml:space="preserve">c) </w:t>
            </w:r>
            <w:r>
              <w:rPr>
                <w:sz w:val="21"/>
              </w:rPr>
              <w:t>宜在产品显著位置提供运行状态指示功能，并由生产厂商提供详细参数</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57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singl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★整机结构</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a) </w:t>
            </w:r>
            <w:r>
              <w:rPr>
                <w:sz w:val="21"/>
              </w:rPr>
              <w:t>产品应符合</w:t>
            </w:r>
            <w:r>
              <w:rPr>
                <w:sz w:val="21"/>
              </w:rPr>
              <w:t>GB/T 4208</w:t>
            </w:r>
            <w:r>
              <w:rPr>
                <w:sz w:val="21"/>
              </w:rPr>
              <w:t>的相关规定；</w:t>
            </w:r>
          </w:p>
          <w:p>
            <w:pPr>
              <w:pStyle w:val="null3"/>
            </w:pPr>
            <w:r>
              <w:rPr>
                <w:sz w:val="21"/>
              </w:rPr>
              <w:t xml:space="preserve">b) </w:t>
            </w:r>
            <w:r>
              <w:rPr>
                <w:sz w:val="21"/>
              </w:rPr>
              <w:t>产品内部结构应符合通用部件的安装需要；</w:t>
            </w:r>
          </w:p>
          <w:p>
            <w:pPr>
              <w:pStyle w:val="null3"/>
            </w:pPr>
            <w:r>
              <w:rPr>
                <w:sz w:val="21"/>
              </w:rPr>
              <w:t xml:space="preserve">c) </w:t>
            </w:r>
            <w:r>
              <w:rPr>
                <w:sz w:val="21"/>
              </w:rPr>
              <w:t>所有输入输出接口应符合相关国家或行业标准；</w:t>
            </w:r>
          </w:p>
          <w:p>
            <w:pPr>
              <w:pStyle w:val="null3"/>
            </w:pPr>
            <w:r>
              <w:rPr>
                <w:sz w:val="21"/>
              </w:rPr>
              <w:t xml:space="preserve">d) </w:t>
            </w:r>
            <w:r>
              <w:rPr>
                <w:sz w:val="21"/>
              </w:rPr>
              <w:t>产品零部件应紧固无松动，可插拔部件应可靠连接，</w:t>
            </w:r>
            <w:r>
              <w:rPr>
                <w:sz w:val="21"/>
              </w:rPr>
              <w:t>开关、按钮和其它控制部件应灵活可靠，</w:t>
            </w:r>
            <w:r>
              <w:rPr>
                <w:sz w:val="21"/>
              </w:rPr>
              <w:t>布局应方便使用；</w:t>
            </w:r>
          </w:p>
          <w:p>
            <w:pPr>
              <w:pStyle w:val="null3"/>
            </w:pPr>
            <w:r>
              <w:rPr>
                <w:sz w:val="21"/>
              </w:rPr>
              <w:t xml:space="preserve">e) </w:t>
            </w:r>
            <w:r>
              <w:rPr>
                <w:sz w:val="21"/>
              </w:rPr>
              <w:t>所有</w:t>
            </w:r>
            <w:r>
              <w:rPr>
                <w:sz w:val="21"/>
              </w:rPr>
              <w:t>I/O</w:t>
            </w:r>
            <w:r>
              <w:rPr>
                <w:sz w:val="21"/>
              </w:rPr>
              <w:t>连接器及需插接线缆的部位应预留用户操作空间，方便插拔解锁与插拔线缆；</w:t>
            </w:r>
          </w:p>
          <w:p>
            <w:pPr>
              <w:pStyle w:val="null3"/>
            </w:pPr>
            <w:r>
              <w:rPr>
                <w:sz w:val="21"/>
              </w:rPr>
              <w:t xml:space="preserve">f) </w:t>
            </w:r>
            <w:r>
              <w:rPr>
                <w:sz w:val="21"/>
              </w:rPr>
              <w:t>可插拔板卡插槽部位应预留安装、拆卸或更换板卡空间；</w:t>
            </w:r>
          </w:p>
          <w:p>
            <w:pPr>
              <w:pStyle w:val="null3"/>
            </w:pPr>
            <w:r>
              <w:rPr>
                <w:sz w:val="21"/>
              </w:rPr>
              <w:t xml:space="preserve">g) </w:t>
            </w:r>
            <w:r>
              <w:rPr>
                <w:sz w:val="21"/>
              </w:rPr>
              <w:t>拆装可能接触到的金属剪口或金属尖角部位应做防划伤处理，以保证安全</w:t>
            </w:r>
            <w:r>
              <w:rPr>
                <w:sz w:val="21"/>
              </w:rPr>
              <w:t>;</w:t>
            </w:r>
          </w:p>
          <w:p>
            <w:pPr>
              <w:pStyle w:val="null3"/>
            </w:pPr>
            <w:r>
              <w:rPr>
                <w:sz w:val="21"/>
              </w:rPr>
              <w:t xml:space="preserve">h) </w:t>
            </w:r>
            <w:r>
              <w:rPr>
                <w:sz w:val="21"/>
              </w:rPr>
              <w:t>整机内部走线应规整，固线结构和位置要合理可靠并做防割线处理，需便于理线和插拔操作，走线应不影响系统各主要部件组装和拆卸；</w:t>
            </w:r>
          </w:p>
          <w:p>
            <w:pPr>
              <w:pStyle w:val="null3"/>
            </w:pPr>
            <w:r>
              <w:rPr>
                <w:sz w:val="21"/>
              </w:rPr>
              <w:t xml:space="preserve">i) </w:t>
            </w:r>
            <w:r>
              <w:rPr>
                <w:sz w:val="21"/>
              </w:rPr>
              <w:t>如需通过孔走线，</w:t>
            </w:r>
            <w:r>
              <w:rPr>
                <w:sz w:val="21"/>
              </w:rPr>
              <w:t>过线孔应做防割线处理；</w:t>
            </w:r>
          </w:p>
          <w:p>
            <w:pPr>
              <w:pStyle w:val="null3"/>
            </w:pPr>
            <w:r>
              <w:rPr>
                <w:sz w:val="21"/>
              </w:rPr>
              <w:t xml:space="preserve">j) </w:t>
            </w:r>
            <w:r>
              <w:rPr>
                <w:sz w:val="21"/>
              </w:rPr>
              <w:t>各插头位置和插拔方向应合理，</w:t>
            </w:r>
            <w:r>
              <w:rPr>
                <w:sz w:val="21"/>
              </w:rPr>
              <w:t>应做到插拔无障碍设计，</w:t>
            </w:r>
            <w:r>
              <w:rPr>
                <w:sz w:val="21"/>
              </w:rPr>
              <w:t>具备防呆设计，有效避免误操作；</w:t>
            </w:r>
          </w:p>
          <w:p>
            <w:pPr>
              <w:pStyle w:val="null3"/>
            </w:pPr>
            <w:r>
              <w:rPr>
                <w:sz w:val="21"/>
              </w:rPr>
              <w:t xml:space="preserve">k) </w:t>
            </w:r>
            <w:r>
              <w:rPr>
                <w:sz w:val="21"/>
              </w:rPr>
              <w:t>各主要部件拆装无障碍，</w:t>
            </w:r>
            <w:r>
              <w:rPr>
                <w:sz w:val="21"/>
              </w:rPr>
              <w:t>使用常规工具拆装，</w:t>
            </w:r>
            <w:r>
              <w:rPr>
                <w:sz w:val="21"/>
              </w:rPr>
              <w:t>无特殊拆装工具需求；</w:t>
            </w:r>
          </w:p>
          <w:p>
            <w:pPr>
              <w:pStyle w:val="null3"/>
            </w:pPr>
            <w:r>
              <w:rPr>
                <w:sz w:val="21"/>
              </w:rPr>
              <w:t xml:space="preserve">I) </w:t>
            </w:r>
            <w:r>
              <w:rPr>
                <w:sz w:val="21"/>
              </w:rPr>
              <w:t>各主要部件拆装步骤要少，各自拆装需避免相互干扰；</w:t>
            </w:r>
          </w:p>
          <w:p>
            <w:pPr>
              <w:pStyle w:val="null3"/>
            </w:pPr>
            <w:r>
              <w:rPr>
                <w:sz w:val="21"/>
              </w:rPr>
              <w:t xml:space="preserve">m) </w:t>
            </w:r>
            <w:r>
              <w:rPr>
                <w:sz w:val="21"/>
              </w:rPr>
              <w:t>对于整机或零部件外表面为高亮面的，应粘贴保护膜，保护膜需粘贴牢固，运输、组装等过程不易脱落，撕下无残留；</w:t>
            </w:r>
          </w:p>
          <w:p>
            <w:pPr>
              <w:pStyle w:val="null3"/>
            </w:pPr>
            <w:r>
              <w:rPr>
                <w:sz w:val="21"/>
              </w:rPr>
              <w:t xml:space="preserve">n) </w:t>
            </w:r>
            <w:r>
              <w:rPr>
                <w:sz w:val="21"/>
              </w:rPr>
              <w:t>显示屏的开合机械寿命应能承受至少</w:t>
            </w:r>
            <w:r>
              <w:rPr>
                <w:sz w:val="21"/>
              </w:rPr>
              <w:t>15000</w:t>
            </w:r>
            <w:r>
              <w:rPr>
                <w:sz w:val="21"/>
              </w:rPr>
              <w:t>次的显示屏开合，显示屏机械转轴的扭力应保持初始状态下扭力的</w:t>
            </w:r>
            <w:r>
              <w:rPr>
                <w:sz w:val="21"/>
              </w:rPr>
              <w:t>75%</w:t>
            </w:r>
            <w:r>
              <w:rPr>
                <w:sz w:val="21"/>
              </w:rPr>
              <w:t>以上；</w:t>
            </w:r>
          </w:p>
          <w:p>
            <w:pPr>
              <w:pStyle w:val="null3"/>
            </w:pPr>
            <w:r>
              <w:rPr>
                <w:sz w:val="21"/>
              </w:rPr>
              <w:t>o</w:t>
            </w:r>
            <w:r>
              <w:rPr>
                <w:sz w:val="21"/>
              </w:rPr>
              <w:t>）其它要求应符合</w:t>
            </w:r>
            <w:r>
              <w:rPr>
                <w:sz w:val="21"/>
              </w:rPr>
              <w:t>GB/T 9813.2</w:t>
            </w:r>
            <w:r>
              <w:rPr>
                <w:sz w:val="21"/>
              </w:rPr>
              <w:t>的相关规定</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58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singl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★整机噪音</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25</w:t>
            </w:r>
            <w:r>
              <w:rPr>
                <w:sz w:val="21"/>
              </w:rPr>
              <w:t>摄氏度环温条件：空闲≤</w:t>
            </w:r>
            <w:r>
              <w:rPr>
                <w:sz w:val="21"/>
              </w:rPr>
              <w:t>38dBA</w:t>
            </w:r>
            <w:r>
              <w:rPr>
                <w:sz w:val="21"/>
              </w:rPr>
              <w:t>，满载≤</w:t>
            </w:r>
            <w:r>
              <w:rPr>
                <w:sz w:val="21"/>
              </w:rPr>
              <w:t>45dBA</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59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singl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★整机散热</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产品在环境温度</w:t>
            </w:r>
            <w:r>
              <w:rPr>
                <w:sz w:val="21"/>
              </w:rPr>
              <w:t>25</w:t>
            </w:r>
            <w:r>
              <w:rPr>
                <w:sz w:val="21"/>
              </w:rPr>
              <w:t>℃且运行在满载的状态下，可触及面温度范围内应不高于</w:t>
            </w:r>
            <w:r>
              <w:rPr>
                <w:sz w:val="21"/>
              </w:rPr>
              <w:t>45</w:t>
            </w:r>
            <w:r>
              <w:rPr>
                <w:sz w:val="21"/>
              </w:rPr>
              <w:t>℃，各表面温度应符合以下要求：</w:t>
            </w:r>
          </w:p>
          <w:p>
            <w:pPr>
              <w:pStyle w:val="null3"/>
            </w:pPr>
            <w:r>
              <w:rPr>
                <w:sz w:val="21"/>
              </w:rPr>
              <w:t>a)</w:t>
            </w:r>
            <w:r>
              <w:rPr>
                <w:sz w:val="21"/>
              </w:rPr>
              <w:t>键帽温度不高于</w:t>
            </w:r>
            <w:r>
              <w:rPr>
                <w:sz w:val="21"/>
              </w:rPr>
              <w:t>38</w:t>
            </w:r>
            <w:r>
              <w:rPr>
                <w:sz w:val="21"/>
              </w:rPr>
              <w:t>℃；</w:t>
            </w:r>
          </w:p>
          <w:p>
            <w:pPr>
              <w:pStyle w:val="null3"/>
            </w:pPr>
            <w:r>
              <w:rPr>
                <w:sz w:val="21"/>
              </w:rPr>
              <w:t>b)</w:t>
            </w:r>
            <w:r>
              <w:rPr>
                <w:sz w:val="21"/>
              </w:rPr>
              <w:t>键盘间隙温度不高于</w:t>
            </w:r>
            <w:r>
              <w:rPr>
                <w:sz w:val="21"/>
              </w:rPr>
              <w:t>40</w:t>
            </w:r>
            <w:r>
              <w:rPr>
                <w:sz w:val="21"/>
              </w:rPr>
              <w:t>℃；</w:t>
            </w:r>
          </w:p>
          <w:p>
            <w:pPr>
              <w:pStyle w:val="null3"/>
            </w:pPr>
            <w:r>
              <w:rPr>
                <w:sz w:val="21"/>
              </w:rPr>
              <w:t>c)</w:t>
            </w:r>
            <w:r>
              <w:rPr>
                <w:sz w:val="21"/>
              </w:rPr>
              <w:t>掌托温度不高于</w:t>
            </w:r>
            <w:r>
              <w:rPr>
                <w:sz w:val="21"/>
              </w:rPr>
              <w:t>38</w:t>
            </w:r>
            <w:r>
              <w:rPr>
                <w:sz w:val="21"/>
              </w:rPr>
              <w:t>℃；</w:t>
            </w:r>
          </w:p>
          <w:p>
            <w:pPr>
              <w:pStyle w:val="null3"/>
            </w:pPr>
            <w:r>
              <w:rPr>
                <w:sz w:val="21"/>
              </w:rPr>
              <w:t>d)</w:t>
            </w:r>
            <w:r>
              <w:rPr>
                <w:sz w:val="21"/>
              </w:rPr>
              <w:t>触控板温度不高于</w:t>
            </w:r>
            <w:r>
              <w:rPr>
                <w:sz w:val="21"/>
              </w:rPr>
              <w:t>38</w:t>
            </w:r>
            <w:r>
              <w:rPr>
                <w:sz w:val="21"/>
              </w:rPr>
              <w:t>℃；</w:t>
            </w:r>
          </w:p>
          <w:p>
            <w:pPr>
              <w:pStyle w:val="null3"/>
            </w:pPr>
            <w:r>
              <w:rPr>
                <w:sz w:val="21"/>
              </w:rPr>
              <w:t>e)</w:t>
            </w:r>
            <w:r>
              <w:rPr>
                <w:sz w:val="21"/>
              </w:rPr>
              <w:t>底壳温度不高于</w:t>
            </w:r>
            <w:r>
              <w:rPr>
                <w:sz w:val="21"/>
              </w:rPr>
              <w:t>45</w:t>
            </w:r>
            <w:r>
              <w:rPr>
                <w:sz w:val="21"/>
              </w:rPr>
              <w:t>℃</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60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singl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★整机能效限定值</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产品能效限定值应达到</w:t>
            </w:r>
            <w:r>
              <w:rPr>
                <w:sz w:val="21"/>
              </w:rPr>
              <w:t>GB 28380-2012</w:t>
            </w:r>
            <w:r>
              <w:rPr>
                <w:sz w:val="21"/>
              </w:rPr>
              <w:t>标准中能效等级</w:t>
            </w:r>
            <w:r>
              <w:rPr>
                <w:sz w:val="21"/>
              </w:rPr>
              <w:t>2</w:t>
            </w:r>
            <w:r>
              <w:rPr>
                <w:sz w:val="21"/>
              </w:rPr>
              <w:t>级及以上</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61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singl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★整机重量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2.2kg</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62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singl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★整机厚度</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22mm</w:t>
            </w:r>
            <w:r>
              <w:rPr>
                <w:sz w:val="21"/>
              </w:rPr>
              <w:t>（不含脚垫）</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63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singl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机身材质</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塑料</w:t>
            </w:r>
            <w:r>
              <w:rPr>
                <w:sz w:val="21"/>
              </w:rPr>
              <w:t>/</w:t>
            </w:r>
            <w:r>
              <w:rPr>
                <w:sz w:val="21"/>
              </w:rPr>
              <w:t>金属等</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64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singl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★机身颜色</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灰色</w:t>
            </w:r>
            <w:r>
              <w:rPr>
                <w:sz w:val="21"/>
              </w:rPr>
              <w:t>/</w:t>
            </w:r>
            <w:r>
              <w:rPr>
                <w:sz w:val="21"/>
              </w:rPr>
              <w:t>黑色</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65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电池规格</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★电池额定能量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65Wh</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66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★电池充放电次数</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 xml:space="preserve">500 </w:t>
            </w:r>
            <w:r>
              <w:rPr>
                <w:sz w:val="21"/>
              </w:rPr>
              <w:t>次（常温下</w:t>
            </w:r>
            <w:r>
              <w:rPr>
                <w:sz w:val="21"/>
              </w:rPr>
              <w:t>500</w:t>
            </w:r>
            <w:r>
              <w:rPr>
                <w:sz w:val="21"/>
              </w:rPr>
              <w:t>次充放电后电池容量应不低于原始容量的</w:t>
            </w:r>
            <w:r>
              <w:rPr>
                <w:sz w:val="21"/>
              </w:rPr>
              <w:t xml:space="preserve"> 80%</w:t>
            </w:r>
            <w:r>
              <w:rPr>
                <w:sz w:val="21"/>
              </w:rPr>
              <w:t>）</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67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▲快速充电功能</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支持快速充电功能，</w:t>
            </w:r>
            <w:r>
              <w:rPr>
                <w:sz w:val="21"/>
              </w:rPr>
              <w:t>USB PD</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68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★电池安全要求</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符合</w:t>
            </w:r>
            <w:r>
              <w:rPr>
                <w:sz w:val="21"/>
              </w:rPr>
              <w:t>GB 31241</w:t>
            </w:r>
            <w:r>
              <w:rPr>
                <w:sz w:val="21"/>
              </w:rPr>
              <w:t>的规定</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69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w:t>
            </w:r>
            <w:r>
              <w:rPr>
                <w:sz w:val="21"/>
              </w:rPr>
              <w:t>性能</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CPU</w:t>
            </w:r>
            <w:r>
              <w:rPr>
                <w:sz w:val="21"/>
              </w:rPr>
              <w:t>物理核数</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8</w:t>
            </w:r>
            <w:r>
              <w:rPr>
                <w:sz w:val="21"/>
              </w:rPr>
              <w:t>核</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70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CPU</w:t>
            </w:r>
            <w:r>
              <w:rPr>
                <w:sz w:val="21"/>
              </w:rPr>
              <w:t>主频</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2.3GHz</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71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 xml:space="preserve">CPU </w:t>
            </w:r>
            <w:r>
              <w:rPr>
                <w:sz w:val="21"/>
              </w:rPr>
              <w:t>末级缓存容量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16MB</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72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 xml:space="preserve">CPU </w:t>
            </w:r>
            <w:r>
              <w:rPr>
                <w:sz w:val="21"/>
              </w:rPr>
              <w:t>支持的内存最高速率</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2933MT/s</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73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内存性能</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★内存读写速率</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2933MT/s</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74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显卡性能</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★显示分辨率</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1920x1200</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75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★显卡显示芯片核心频率</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1000MHz</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76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★显存等效频率</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4000MT/s</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77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★显卡可支持多屏同时显示数量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支持不少于</w:t>
            </w:r>
            <w:r>
              <w:rPr>
                <w:sz w:val="21"/>
              </w:rPr>
              <w:t>2</w:t>
            </w:r>
            <w:r>
              <w:rPr>
                <w:sz w:val="21"/>
              </w:rPr>
              <w:t>块屏幕同时显示，分辨率应不低于</w:t>
            </w:r>
            <w:r>
              <w:rPr>
                <w:sz w:val="21"/>
              </w:rPr>
              <w:t>1920x1200@60Hz</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78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显示设备性能</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★显示屏刷新率</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60Hz</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79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★显示屏位深</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8</w:t>
            </w:r>
            <w:r>
              <w:rPr>
                <w:sz w:val="21"/>
              </w:rPr>
              <w:t>位</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80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★显示屏色域</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99% sRGB</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81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★显示屏色准</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 xml:space="preserve">E </w:t>
            </w:r>
            <w:r>
              <w:rPr>
                <w:sz w:val="21"/>
              </w:rPr>
              <w:t>≤</w:t>
            </w:r>
            <w:r>
              <w:rPr>
                <w:sz w:val="21"/>
              </w:rPr>
              <w:t xml:space="preserve"> 4</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82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★显示屏响应时间</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30ms</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83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★显示屏亮度</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250</w:t>
            </w:r>
            <w:r>
              <w:rPr>
                <w:sz w:val="21"/>
              </w:rPr>
              <w:t>尼特</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84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★显示屏亮度一致性</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70%</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85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★显示屏对比度</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1500</w:t>
            </w:r>
            <w:r>
              <w:rPr>
                <w:sz w:val="21"/>
              </w:rPr>
              <w:t>：</w:t>
            </w:r>
            <w:r>
              <w:rPr>
                <w:sz w:val="21"/>
              </w:rPr>
              <w:t xml:space="preserve"> 1</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86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★显示屏其他参数</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其它参数应符合</w:t>
            </w:r>
            <w:r>
              <w:rPr>
                <w:sz w:val="21"/>
              </w:rPr>
              <w:t>SJ/T 11292</w:t>
            </w:r>
            <w:r>
              <w:rPr>
                <w:sz w:val="21"/>
              </w:rPr>
              <w:t>的相关规定</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87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网络设备性能</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★有线网卡速率</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最高速率应不低于</w:t>
            </w:r>
            <w:r>
              <w:rPr>
                <w:sz w:val="21"/>
              </w:rPr>
              <w:t>1000Mbps,</w:t>
            </w:r>
            <w:r>
              <w:rPr>
                <w:sz w:val="21"/>
              </w:rPr>
              <w:t>应支持</w:t>
            </w:r>
            <w:r>
              <w:rPr>
                <w:sz w:val="21"/>
              </w:rPr>
              <w:t>10Mbps</w:t>
            </w:r>
            <w:r>
              <w:rPr>
                <w:sz w:val="21"/>
              </w:rPr>
              <w:t>、</w:t>
            </w:r>
            <w:r>
              <w:rPr>
                <w:sz w:val="21"/>
              </w:rPr>
              <w:t>100Mbps</w:t>
            </w:r>
            <w:r>
              <w:rPr>
                <w:sz w:val="21"/>
              </w:rPr>
              <w:t>、</w:t>
            </w:r>
            <w:r>
              <w:rPr>
                <w:sz w:val="21"/>
              </w:rPr>
              <w:t>1000Mbps</w:t>
            </w:r>
            <w:r>
              <w:rPr>
                <w:sz w:val="21"/>
              </w:rPr>
              <w:t>速率自适应</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88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★支持无线网络通信技术协议</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w:t>
            </w:r>
            <w:r>
              <w:rPr>
                <w:sz w:val="21"/>
              </w:rPr>
              <w:t>WiFi5.0</w:t>
            </w:r>
            <w:r>
              <w:rPr>
                <w:sz w:val="21"/>
              </w:rPr>
              <w:t>及以上协议</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89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★无线网卡频宽</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20MHz</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90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电源适配器性能</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★电源适配器电源效率</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在</w:t>
            </w:r>
            <w:r>
              <w:rPr>
                <w:sz w:val="21"/>
              </w:rPr>
              <w:t>20%/50%/100%</w:t>
            </w:r>
            <w:r>
              <w:rPr>
                <w:sz w:val="21"/>
              </w:rPr>
              <w:t>负载下效率均应不低于</w:t>
            </w:r>
            <w:r>
              <w:rPr>
                <w:sz w:val="21"/>
              </w:rPr>
              <w:t>87%</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91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待机性能</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★满载待机性能（</w:t>
            </w:r>
            <w:r>
              <w:rPr>
                <w:sz w:val="21"/>
              </w:rPr>
              <w:t>LTP</w:t>
            </w:r>
            <w:r>
              <w:rPr>
                <w:sz w:val="21"/>
              </w:rPr>
              <w:t>）</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 xml:space="preserve">1.5 </w:t>
            </w:r>
            <w:r>
              <w:rPr>
                <w:sz w:val="21"/>
              </w:rPr>
              <w:t>小时</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92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主板功能</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★内存扩展接口</w:t>
            </w:r>
            <w:r>
              <w:rPr>
                <w:sz w:val="21"/>
              </w:rPr>
              <w:t>(</w:t>
            </w:r>
            <w:r>
              <w:rPr>
                <w:sz w:val="21"/>
              </w:rPr>
              <w:t>板载内存不涉及</w:t>
            </w:r>
            <w:r>
              <w:rPr>
                <w:sz w:val="21"/>
              </w:rPr>
              <w:t>)</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93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★主板</w:t>
            </w:r>
            <w:r>
              <w:rPr>
                <w:sz w:val="21"/>
              </w:rPr>
              <w:t>USB</w:t>
            </w:r>
            <w:r>
              <w:rPr>
                <w:sz w:val="21"/>
              </w:rPr>
              <w:t>瞬间过流保护</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支持瞬间过流保护功能</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94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★主板防静电保护</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支持防静电保护功能</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95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I/O</w:t>
            </w:r>
            <w:r>
              <w:rPr>
                <w:sz w:val="21"/>
              </w:rPr>
              <w:t>接口功能</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内置或通过扩展坞支持数据传输接口、视频接口、音频接口、网络接口、电源接口等各类标准接口产品应集成键盘、触控板输入部件，同时应具备接入键盘、鼠标、写字板等外设的能力，宜支持触摸屏、语音交互、手写笔等人机交互功能</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96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显卡功能</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★显卡外接显示接口</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显卡支持</w:t>
            </w:r>
            <w:r>
              <w:rPr>
                <w:sz w:val="21"/>
              </w:rPr>
              <w:t>HDMI</w:t>
            </w:r>
            <w:r>
              <w:rPr>
                <w:sz w:val="21"/>
              </w:rPr>
              <w:t>显示接口</w:t>
            </w:r>
            <w:r>
              <w:rPr>
                <w:sz w:val="21"/>
              </w:rPr>
              <w:t xml:space="preserve">, </w:t>
            </w:r>
            <w:r>
              <w:rPr>
                <w:sz w:val="21"/>
              </w:rPr>
              <w:t>并与显示器接口相匹配</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97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★显示功能</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支持显示屏，同时应支持外接显示器。显示屏和外接显示器应支持多屏同时显示，显示模式应支持复制模式和扩展模式</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98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外设功能</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★光驱功能</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本次采购不作要求</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99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non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★摄像头物理隐私保护开关</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支持物理隐私保护开关</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100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存储功能</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★存储功能</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支持信息存储功能，包括支持易失性存储功能和非易失性存储功能。为提升存储性能和降低存储功耗，非易失性存储宜支持固态存储设备，如</w:t>
            </w:r>
            <w:r>
              <w:rPr>
                <w:sz w:val="21"/>
              </w:rPr>
              <w:t xml:space="preserve"> SSD/UFS</w:t>
            </w:r>
            <w:r>
              <w:rPr>
                <w:sz w:val="21"/>
              </w:rPr>
              <w:t>。</w:t>
            </w:r>
          </w:p>
          <w:p>
            <w:pPr>
              <w:pStyle w:val="null3"/>
            </w:pPr>
            <w:r>
              <w:rPr>
                <w:sz w:val="21"/>
              </w:rPr>
              <w:t>产品应支持外出接口可以与独立的存储设备进行数据交互</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101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网络设备功能</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★网络功能</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a)</w:t>
            </w:r>
            <w:r>
              <w:rPr>
                <w:sz w:val="21"/>
              </w:rPr>
              <w:t>支持网络连接、网络开启</w:t>
            </w:r>
            <w:r>
              <w:rPr>
                <w:sz w:val="21"/>
              </w:rPr>
              <w:t>/</w:t>
            </w:r>
            <w:r>
              <w:rPr>
                <w:sz w:val="21"/>
              </w:rPr>
              <w:t>关闭功能；</w:t>
            </w:r>
          </w:p>
          <w:p>
            <w:pPr>
              <w:pStyle w:val="null3"/>
            </w:pPr>
            <w:r>
              <w:rPr>
                <w:sz w:val="21"/>
              </w:rPr>
              <w:t>b)</w:t>
            </w:r>
            <w:r>
              <w:rPr>
                <w:sz w:val="21"/>
              </w:rPr>
              <w:t>支持访问网络和数据交换功能</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102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singl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★无线网卡频段</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w:t>
            </w:r>
            <w:r>
              <w:rPr>
                <w:sz w:val="21"/>
              </w:rPr>
              <w:t>2.4GHz</w:t>
            </w:r>
            <w:r>
              <w:rPr>
                <w:sz w:val="21"/>
              </w:rPr>
              <w:t>、</w:t>
            </w:r>
            <w:r>
              <w:rPr>
                <w:sz w:val="21"/>
              </w:rPr>
              <w:t>5GHz</w:t>
            </w:r>
            <w:r>
              <w:rPr>
                <w:sz w:val="21"/>
              </w:rPr>
              <w:t>双频段</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103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singl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★数据传输</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支持数据传输能力，并提供数据流量和异常日志记录功能</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104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singl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★物理开关</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支持网络设备物理开关</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105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singl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★蓝牙协议</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支持蓝牙模块，蓝牙协议不低于</w:t>
            </w:r>
            <w:r>
              <w:rPr>
                <w:sz w:val="21"/>
              </w:rPr>
              <w:t>5.0</w:t>
            </w:r>
            <w:r>
              <w:rPr>
                <w:sz w:val="21"/>
              </w:rPr>
              <w:t>版本</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106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singl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★有线网卡接口类型</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w:t>
            </w:r>
            <w:r>
              <w:rPr>
                <w:sz w:val="21"/>
              </w:rPr>
              <w:t xml:space="preserve">RJ45 </w:t>
            </w:r>
            <w:r>
              <w:rPr>
                <w:sz w:val="21"/>
              </w:rPr>
              <w:t>接口</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107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singl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★无线网卡标准</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符合</w:t>
            </w:r>
            <w:r>
              <w:rPr>
                <w:sz w:val="21"/>
              </w:rPr>
              <w:t>GB15629.11</w:t>
            </w:r>
            <w:r>
              <w:rPr>
                <w:sz w:val="21"/>
              </w:rPr>
              <w:t>所有部分</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108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singl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★网络设备拆装</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配备的网络设备应支持物理拆装，包括无线网卡和蓝牙模块等</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109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外部接口功能</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★音频接口类型</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不少于</w:t>
            </w:r>
            <w:r>
              <w:rPr>
                <w:sz w:val="21"/>
              </w:rPr>
              <w:t>1</w:t>
            </w:r>
            <w:r>
              <w:rPr>
                <w:sz w:val="21"/>
              </w:rPr>
              <w:t>个，宜支持</w:t>
            </w:r>
            <w:r>
              <w:rPr>
                <w:sz w:val="21"/>
              </w:rPr>
              <w:t>3.5mm</w:t>
            </w:r>
            <w:r>
              <w:rPr>
                <w:sz w:val="21"/>
              </w:rPr>
              <w:t>孔径的</w:t>
            </w:r>
            <w:r>
              <w:rPr>
                <w:sz w:val="21"/>
              </w:rPr>
              <w:t>3</w:t>
            </w:r>
            <w:r>
              <w:rPr>
                <w:sz w:val="21"/>
              </w:rPr>
              <w:t>段式或</w:t>
            </w:r>
            <w:r>
              <w:rPr>
                <w:sz w:val="21"/>
              </w:rPr>
              <w:t>4</w:t>
            </w:r>
            <w:r>
              <w:rPr>
                <w:sz w:val="21"/>
              </w:rPr>
              <w:t>段式接口。若支持</w:t>
            </w:r>
            <w:r>
              <w:rPr>
                <w:sz w:val="21"/>
              </w:rPr>
              <w:t>4</w:t>
            </w:r>
            <w:r>
              <w:rPr>
                <w:sz w:val="21"/>
              </w:rPr>
              <w:t>段式接口，宜支持线序的自动识别及切换功能</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110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non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★视频接口类型</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至少支持</w:t>
            </w:r>
            <w:r>
              <w:rPr>
                <w:sz w:val="21"/>
              </w:rPr>
              <w:t>VGA</w:t>
            </w:r>
            <w:r>
              <w:rPr>
                <w:sz w:val="21"/>
              </w:rPr>
              <w:t>、</w:t>
            </w:r>
            <w:r>
              <w:rPr>
                <w:sz w:val="21"/>
              </w:rPr>
              <w:t>HDMI</w:t>
            </w:r>
            <w:r>
              <w:rPr>
                <w:sz w:val="21"/>
              </w:rPr>
              <w:t>、</w:t>
            </w:r>
            <w:r>
              <w:rPr>
                <w:sz w:val="21"/>
              </w:rPr>
              <w:t>DVI</w:t>
            </w:r>
            <w:r>
              <w:rPr>
                <w:sz w:val="21"/>
              </w:rPr>
              <w:t>、</w:t>
            </w:r>
            <w:r>
              <w:rPr>
                <w:sz w:val="21"/>
              </w:rPr>
              <w:t>DP</w:t>
            </w:r>
            <w:r>
              <w:rPr>
                <w:sz w:val="21"/>
              </w:rPr>
              <w:t>、</w:t>
            </w:r>
            <w:r>
              <w:rPr>
                <w:sz w:val="21"/>
              </w:rPr>
              <w:t>Type-C</w:t>
            </w:r>
            <w:r>
              <w:rPr>
                <w:sz w:val="21"/>
              </w:rPr>
              <w:t>中</w:t>
            </w:r>
            <w:r>
              <w:rPr>
                <w:sz w:val="21"/>
              </w:rPr>
              <w:t>1</w:t>
            </w:r>
            <w:r>
              <w:rPr>
                <w:sz w:val="21"/>
              </w:rPr>
              <w:t>种显示接口</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111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non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HDMI</w:t>
            </w:r>
            <w:r>
              <w:rPr>
                <w:sz w:val="21"/>
              </w:rPr>
              <w:t>、</w:t>
            </w:r>
            <w:r>
              <w:rPr>
                <w:sz w:val="21"/>
              </w:rPr>
              <w:t>DP</w:t>
            </w:r>
            <w:r>
              <w:rPr>
                <w:sz w:val="21"/>
              </w:rPr>
              <w:t>、</w:t>
            </w:r>
            <w:r>
              <w:rPr>
                <w:sz w:val="21"/>
              </w:rPr>
              <w:t>Type-C</w:t>
            </w:r>
            <w:r>
              <w:rPr>
                <w:sz w:val="21"/>
              </w:rPr>
              <w:t>显示接口要求</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若提供</w:t>
            </w:r>
            <w:r>
              <w:rPr>
                <w:sz w:val="21"/>
              </w:rPr>
              <w:t xml:space="preserve">HDMI </w:t>
            </w:r>
            <w:r>
              <w:rPr>
                <w:sz w:val="21"/>
              </w:rPr>
              <w:t>或</w:t>
            </w:r>
            <w:r>
              <w:rPr>
                <w:sz w:val="21"/>
              </w:rPr>
              <w:t xml:space="preserve">DP </w:t>
            </w:r>
            <w:r>
              <w:rPr>
                <w:sz w:val="21"/>
              </w:rPr>
              <w:t>或</w:t>
            </w:r>
            <w:r>
              <w:rPr>
                <w:sz w:val="21"/>
              </w:rPr>
              <w:t xml:space="preserve">Type-C </w:t>
            </w:r>
            <w:r>
              <w:rPr>
                <w:sz w:val="21"/>
              </w:rPr>
              <w:t>作为显示接口，</w:t>
            </w:r>
            <w:r>
              <w:rPr>
                <w:sz w:val="21"/>
              </w:rPr>
              <w:t>应支持音频和视频同步输出</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112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non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★输入充电接口类型</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DC in</w:t>
            </w:r>
            <w:r>
              <w:rPr>
                <w:sz w:val="21"/>
              </w:rPr>
              <w:t>或</w:t>
            </w:r>
            <w:r>
              <w:rPr>
                <w:sz w:val="21"/>
              </w:rPr>
              <w:t xml:space="preserve"> Type-C</w:t>
            </w:r>
            <w:r>
              <w:rPr>
                <w:sz w:val="21"/>
              </w:rPr>
              <w:t>接口</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113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电源功能</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★电源线适配能力</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符合</w:t>
            </w:r>
            <w:r>
              <w:rPr>
                <w:sz w:val="21"/>
              </w:rPr>
              <w:t>GB 15934-2008</w:t>
            </w:r>
          </w:p>
          <w:p>
            <w:pPr>
              <w:pStyle w:val="null3"/>
            </w:pPr>
            <w:r>
              <w:rPr>
                <w:sz w:val="21"/>
              </w:rPr>
              <w:t>对于可拆线插头</w:t>
            </w:r>
            <w:r>
              <w:rPr>
                <w:sz w:val="21"/>
              </w:rPr>
              <w:t>GB15934</w:t>
            </w:r>
            <w:r>
              <w:rPr>
                <w:sz w:val="21"/>
              </w:rPr>
              <w:t>不做要求</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114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操作系统及软件功能</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★中文信息处理要求</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符合</w:t>
            </w:r>
            <w:r>
              <w:rPr>
                <w:sz w:val="21"/>
              </w:rPr>
              <w:t>GB 18030</w:t>
            </w:r>
            <w:r>
              <w:rPr>
                <w:sz w:val="21"/>
              </w:rPr>
              <w:t>的相关规定</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115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★操作系统备份及还原功能</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支持操作系统备份及还原功能</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116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★固件备份还原能力</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支持备份及还原固件的功能</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117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★操作系统及驱动升级</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支持通过网络、闪存盘等方式对操作系统、驱动进行升级</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118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 xml:space="preserve">BIOS </w:t>
            </w:r>
            <w:r>
              <w:rPr>
                <w:sz w:val="21"/>
              </w:rPr>
              <w:t>支持关闭通讯接口</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w:t>
            </w:r>
            <w:r>
              <w:rPr>
                <w:sz w:val="21"/>
              </w:rPr>
              <w:t>BIOS</w:t>
            </w:r>
            <w:r>
              <w:rPr>
                <w:sz w:val="21"/>
              </w:rPr>
              <w:t>关闭以太网及</w:t>
            </w:r>
            <w:r>
              <w:rPr>
                <w:sz w:val="21"/>
              </w:rPr>
              <w:t>USB</w:t>
            </w:r>
            <w:r>
              <w:rPr>
                <w:sz w:val="21"/>
              </w:rPr>
              <w:t>接口功能</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119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★固件查看信息</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支持查看固件版本、内存信息、主板信息、处理器信息和系统时间信息等功能</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120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★固件设置启动顺序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支持设置启动顺序功能，并按照设置的启动顺序启动</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121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★固件设置口令</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支持设置口令、修改口令、验证口令功能</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122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★固件设置网络引导</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支持网络引导启动和关闭功能</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123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生物识别功能生物识别功能</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★指纹识别</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支持指纹识别模块，指纹识别功能符合</w:t>
            </w:r>
            <w:r>
              <w:rPr>
                <w:sz w:val="21"/>
              </w:rPr>
              <w:t xml:space="preserve"> GB/T 37742 </w:t>
            </w:r>
            <w:r>
              <w:rPr>
                <w:sz w:val="21"/>
              </w:rPr>
              <w:t>的相</w:t>
            </w:r>
            <w:r>
              <w:rPr>
                <w:sz w:val="21"/>
              </w:rPr>
              <w:t>关规定</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124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可靠性要求</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存储设备可靠性</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★固态存储寿命</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TBW </w:t>
            </w:r>
            <w:r>
              <w:rPr>
                <w:sz w:val="21"/>
              </w:rPr>
              <w:t>≥</w:t>
            </w:r>
            <w:r>
              <w:rPr>
                <w:sz w:val="21"/>
              </w:rPr>
              <w:t>80TB</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125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可靠性要求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★机械硬盘寿命</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通电时间≥</w:t>
            </w:r>
            <w:r>
              <w:rPr>
                <w:sz w:val="21"/>
              </w:rPr>
              <w:t>5</w:t>
            </w:r>
            <w:r>
              <w:rPr>
                <w:sz w:val="21"/>
              </w:rPr>
              <w:t>万小时</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126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可靠性要求</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显示设备可靠性</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★显示屏屏幕失效点</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符合</w:t>
            </w:r>
            <w:r>
              <w:rPr>
                <w:sz w:val="21"/>
              </w:rPr>
              <w:t>GB/T 9813.2</w:t>
            </w:r>
            <w:r>
              <w:rPr>
                <w:sz w:val="21"/>
              </w:rPr>
              <w:t>的要求</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127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可靠性要求</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外设可靠性</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★键盘按键寿命</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1000</w:t>
            </w:r>
            <w:r>
              <w:rPr>
                <w:sz w:val="21"/>
              </w:rPr>
              <w:t>万次</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128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可靠性要求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★鼠标按键寿命</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500</w:t>
            </w:r>
            <w:r>
              <w:rPr>
                <w:sz w:val="21"/>
              </w:rPr>
              <w:t>万次</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129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可靠性要求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★键盘鼠标线材寿命</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键盘鼠标所用线材经±</w:t>
            </w:r>
            <w:r>
              <w:rPr>
                <w:sz w:val="21"/>
              </w:rPr>
              <w:t>60</w:t>
            </w:r>
            <w:r>
              <w:rPr>
                <w:sz w:val="21"/>
              </w:rPr>
              <w:t>°弯折不低于</w:t>
            </w:r>
            <w:r>
              <w:rPr>
                <w:sz w:val="21"/>
              </w:rPr>
              <w:t>3000</w:t>
            </w:r>
            <w:r>
              <w:rPr>
                <w:sz w:val="21"/>
              </w:rPr>
              <w:t>次，功能、外观完好</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130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可靠性要求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★风扇寿命</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4</w:t>
            </w:r>
            <w:r>
              <w:rPr>
                <w:sz w:val="21"/>
              </w:rPr>
              <w:t>万小时</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131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可靠性要求</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整机可靠</w:t>
            </w:r>
          </w:p>
          <w:p>
            <w:pPr>
              <w:pStyle w:val="null3"/>
              <w:jc w:val="center"/>
            </w:pPr>
            <w:r>
              <w:rPr>
                <w:sz w:val="21"/>
              </w:rPr>
              <w:t>性要求</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★电磁兼容性要求的抗扰度</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符合</w:t>
            </w:r>
            <w:r>
              <w:rPr>
                <w:sz w:val="21"/>
              </w:rPr>
              <w:t>GB/T9254.2</w:t>
            </w:r>
            <w:r>
              <w:rPr>
                <w:sz w:val="21"/>
              </w:rPr>
              <w:t>的规定</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132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可靠性要求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★环境条件要求的气候环境适应性</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符合</w:t>
            </w:r>
            <w:r>
              <w:rPr>
                <w:sz w:val="21"/>
              </w:rPr>
              <w:t>GB/T9813.2</w:t>
            </w:r>
            <w:r>
              <w:rPr>
                <w:sz w:val="21"/>
              </w:rPr>
              <w:t>中规定</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133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可靠性要求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★环境条件要求的振动适应性</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符合</w:t>
            </w:r>
            <w:r>
              <w:rPr>
                <w:sz w:val="21"/>
              </w:rPr>
              <w:t>GB/T9813.2</w:t>
            </w:r>
            <w:r>
              <w:rPr>
                <w:sz w:val="21"/>
              </w:rPr>
              <w:t>中规定</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134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可靠性要求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★环境条件要求的冲击适应性</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符合</w:t>
            </w:r>
            <w:r>
              <w:rPr>
                <w:sz w:val="21"/>
              </w:rPr>
              <w:t>GB/T9813.2</w:t>
            </w:r>
            <w:r>
              <w:rPr>
                <w:sz w:val="21"/>
              </w:rPr>
              <w:t>中规定</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135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可靠性要求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★环境条件要求的碰撞适应性</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符合</w:t>
            </w:r>
            <w:r>
              <w:rPr>
                <w:sz w:val="21"/>
              </w:rPr>
              <w:t>GB/T9813.2</w:t>
            </w:r>
            <w:r>
              <w:rPr>
                <w:sz w:val="21"/>
              </w:rPr>
              <w:t>中规定</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136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可靠性要求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★环境条件要求的运输包装件跌落适应性</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符合</w:t>
            </w:r>
            <w:r>
              <w:rPr>
                <w:sz w:val="21"/>
              </w:rPr>
              <w:t>GB/T9813.2</w:t>
            </w:r>
            <w:r>
              <w:rPr>
                <w:sz w:val="21"/>
              </w:rPr>
              <w:t>中规定</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137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可靠性要求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 xml:space="preserve">MTBF </w:t>
            </w:r>
            <w:r>
              <w:rPr>
                <w:sz w:val="21"/>
              </w:rPr>
              <w:t>测试</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MTBF(m1)</w:t>
            </w:r>
            <w:r>
              <w:rPr>
                <w:sz w:val="21"/>
              </w:rPr>
              <w:t>≥</w:t>
            </w:r>
            <w:r>
              <w:rPr>
                <w:sz w:val="21"/>
              </w:rPr>
              <w:t>20</w:t>
            </w:r>
            <w:r>
              <w:rPr>
                <w:sz w:val="21"/>
              </w:rPr>
              <w:t>万小时</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138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兼容要求</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兼容要求</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★常用软件兼容</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支持流式软件、版式软件、浏览器、邮件客户端、解压软件、多媒体、图形图像处理等常用软件</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139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兼容要求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★数据库兼容</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兼容</w:t>
            </w:r>
            <w:r>
              <w:rPr>
                <w:sz w:val="21"/>
              </w:rPr>
              <w:t>3</w:t>
            </w:r>
            <w:r>
              <w:rPr>
                <w:sz w:val="21"/>
              </w:rPr>
              <w:t>个及以上厂商的数据库产品</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140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兼容要求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★中间件兼容</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兼容</w:t>
            </w:r>
            <w:r>
              <w:rPr>
                <w:sz w:val="21"/>
              </w:rPr>
              <w:t>3</w:t>
            </w:r>
            <w:r>
              <w:rPr>
                <w:sz w:val="21"/>
              </w:rPr>
              <w:t>个及以上厂商中间件产品</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141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兼容要求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★平台软件兼容</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兼容</w:t>
            </w:r>
            <w:r>
              <w:rPr>
                <w:sz w:val="21"/>
              </w:rPr>
              <w:t>3</w:t>
            </w:r>
            <w:r>
              <w:rPr>
                <w:sz w:val="21"/>
              </w:rPr>
              <w:t>个及以上厂商云计算及大数据平台</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142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包装及运输要求</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包装及运</w:t>
            </w:r>
          </w:p>
          <w:p>
            <w:pPr>
              <w:pStyle w:val="null3"/>
              <w:jc w:val="center"/>
            </w:pPr>
            <w:r>
              <w:rPr>
                <w:sz w:val="21"/>
              </w:rPr>
              <w:t>输要求</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★标志、包装、运输和贮存</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符合</w:t>
            </w:r>
            <w:r>
              <w:rPr>
                <w:sz w:val="21"/>
              </w:rPr>
              <w:t xml:space="preserve"> GB/T9813.2</w:t>
            </w:r>
            <w:r>
              <w:rPr>
                <w:sz w:val="21"/>
              </w:rPr>
              <w:t>和商品包装政府采购需求标准的相关规定</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143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671"/>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★配置检查工具</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提供自检测试工具</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144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671"/>
            <w:vMerge/>
            <w:tcBorders>
              <w:top w:val="non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★服务响应</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a)</w:t>
            </w:r>
            <w:r>
              <w:rPr>
                <w:sz w:val="21"/>
              </w:rPr>
              <w:t>供应商提供电话、电子邮件、远程连接等多种形式政企专线</w:t>
            </w:r>
            <w:r>
              <w:rPr>
                <w:sz w:val="21"/>
              </w:rPr>
              <w:t xml:space="preserve"> 7*24 </w:t>
            </w:r>
            <w:r>
              <w:rPr>
                <w:sz w:val="21"/>
              </w:rPr>
              <w:t>在线服务；</w:t>
            </w:r>
          </w:p>
          <w:p>
            <w:pPr>
              <w:pStyle w:val="null3"/>
            </w:pPr>
            <w:r>
              <w:rPr>
                <w:sz w:val="21"/>
              </w:rPr>
              <w:t>b)</w:t>
            </w:r>
            <w:r>
              <w:rPr>
                <w:sz w:val="21"/>
              </w:rPr>
              <w:t>供应商提供同城</w:t>
            </w:r>
            <w:r>
              <w:rPr>
                <w:sz w:val="21"/>
              </w:rPr>
              <w:t>4h</w:t>
            </w:r>
            <w:r>
              <w:rPr>
                <w:sz w:val="21"/>
              </w:rPr>
              <w:t>、异地</w:t>
            </w:r>
            <w:r>
              <w:rPr>
                <w:sz w:val="21"/>
              </w:rPr>
              <w:t xml:space="preserve">12h </w:t>
            </w:r>
            <w:r>
              <w:rPr>
                <w:sz w:val="21"/>
              </w:rPr>
              <w:t>技术响应服务，</w:t>
            </w:r>
            <w:r>
              <w:rPr>
                <w:sz w:val="21"/>
              </w:rPr>
              <w:t xml:space="preserve">2 </w:t>
            </w:r>
            <w:r>
              <w:rPr>
                <w:sz w:val="21"/>
              </w:rPr>
              <w:t>个工作日解决问题，对于未能解决的问题和故障应提供可行的升级方案，并提供周转设备或更换设备；</w:t>
            </w:r>
          </w:p>
          <w:p>
            <w:pPr>
              <w:pStyle w:val="null3"/>
            </w:pPr>
            <w:r>
              <w:rPr>
                <w:sz w:val="21"/>
              </w:rPr>
              <w:t>c)</w:t>
            </w:r>
            <w:r>
              <w:rPr>
                <w:sz w:val="21"/>
              </w:rPr>
              <w:t>建立全国技术服务体系和服务团体，符合专业服务体系标准要求，提供原厂中文服务；</w:t>
            </w:r>
          </w:p>
          <w:p>
            <w:pPr>
              <w:pStyle w:val="null3"/>
            </w:pPr>
            <w:r>
              <w:rPr>
                <w:sz w:val="21"/>
              </w:rPr>
              <w:t>d)</w:t>
            </w:r>
            <w:r>
              <w:rPr>
                <w:sz w:val="21"/>
              </w:rPr>
              <w:t>服务周期内提供产品的维修、换件和升级服务</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145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671"/>
            <w:vMerge/>
            <w:tcBorders>
              <w:top w:val="non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★服务周期</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支持产品延保≥</w:t>
            </w:r>
            <w:r>
              <w:rPr>
                <w:sz w:val="21"/>
              </w:rPr>
              <w:t>3</w:t>
            </w:r>
            <w:r>
              <w:rPr>
                <w:sz w:val="21"/>
              </w:rPr>
              <w:t>年。</w:t>
            </w:r>
          </w:p>
          <w:p>
            <w:pPr>
              <w:pStyle w:val="null3"/>
            </w:pPr>
            <w:r>
              <w:rPr>
                <w:sz w:val="21"/>
              </w:rPr>
              <w:t>提供每年延保服务报价。</w:t>
            </w:r>
          </w:p>
          <w:p>
            <w:pPr>
              <w:pStyle w:val="null3"/>
            </w:pPr>
            <w:r>
              <w:rPr>
                <w:sz w:val="21"/>
              </w:rPr>
              <w:t>提供备件服务能力≥</w:t>
            </w:r>
            <w:r>
              <w:rPr>
                <w:sz w:val="21"/>
              </w:rPr>
              <w:t>6</w:t>
            </w:r>
            <w:r>
              <w:rPr>
                <w:sz w:val="21"/>
              </w:rPr>
              <w:t>年（自购买之日起）。</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146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671"/>
            <w:vMerge/>
            <w:tcBorders>
              <w:top w:val="non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★预装操作系统</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预装符合桌面操作系统政府采购需求标准的正版统信</w:t>
            </w:r>
            <w:r>
              <w:rPr>
                <w:sz w:val="21"/>
              </w:rPr>
              <w:t>UOS V20</w:t>
            </w:r>
            <w:r>
              <w:rPr>
                <w:sz w:val="21"/>
              </w:rPr>
              <w:t>操作系统，并提供不小于一年升级服务。</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147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671"/>
            <w:vMerge/>
            <w:tcBorders>
              <w:top w:val="non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★培训服务</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供应商提供培训材料、产品手册、培训视频等培训相关内容</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148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671"/>
            <w:vMerge/>
            <w:tcBorders>
              <w:top w:val="non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★典型问题解决手册</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供应商提供典型问题解决说明文档或视频</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149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671"/>
            <w:vMerge/>
            <w:tcBorders>
              <w:top w:val="non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★厂家升级软件与扩容服务</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供应商提供上门升级部件</w:t>
            </w:r>
            <w:r>
              <w:rPr>
                <w:sz w:val="21"/>
              </w:rPr>
              <w:t>/</w:t>
            </w:r>
            <w:r>
              <w:rPr>
                <w:sz w:val="21"/>
              </w:rPr>
              <w:t>软件的增值服务</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150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671"/>
            <w:vMerge/>
            <w:tcBorders>
              <w:top w:val="non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★整机质量服务要求</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免费服务周期（含换件和维修）≥</w:t>
            </w:r>
            <w:r>
              <w:rPr>
                <w:sz w:val="21"/>
              </w:rPr>
              <w:t>3</w:t>
            </w:r>
            <w:r>
              <w:rPr>
                <w:sz w:val="21"/>
              </w:rPr>
              <w:t>年，免费服务周期内硬盘损坏更换免回收</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151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671"/>
            <w:vMerge/>
            <w:tcBorders>
              <w:top w:val="non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★合格证书要求</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供应商提供产品合格证</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152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671"/>
            <w:vMerge/>
            <w:tcBorders>
              <w:top w:val="non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★开箱组装</w:t>
            </w:r>
            <w:r>
              <w:rPr>
                <w:sz w:val="21"/>
              </w:rPr>
              <w:t>/</w:t>
            </w:r>
            <w:r>
              <w:rPr>
                <w:sz w:val="21"/>
              </w:rPr>
              <w:t>使用指导要求</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供应商提供开箱组装</w:t>
            </w:r>
            <w:r>
              <w:rPr>
                <w:sz w:val="21"/>
              </w:rPr>
              <w:t>/</w:t>
            </w:r>
            <w:r>
              <w:rPr>
                <w:sz w:val="21"/>
              </w:rPr>
              <w:t>使用指导</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153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671"/>
            <w:vMerge/>
            <w:tcBorders>
              <w:top w:val="non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★驱动下载服务要求</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供应商提供驱动光盘或下载方式</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154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671"/>
            <w:vMerge/>
            <w:tcBorders>
              <w:top w:val="non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★兼容适配软件下载服务要求</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供应商提供兼容适配软件下载渠道</w:t>
            </w:r>
            <w:r>
              <w:rPr>
                <w:sz w:val="21"/>
              </w:rPr>
              <w:t>(</w:t>
            </w:r>
            <w:r>
              <w:rPr>
                <w:sz w:val="21"/>
              </w:rPr>
              <w:t>光盘、网站</w:t>
            </w:r>
            <w:r>
              <w:rPr>
                <w:sz w:val="21"/>
              </w:rPr>
              <w:t>)</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155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供应保障要求</w:t>
            </w:r>
          </w:p>
        </w:tc>
        <w:tc>
          <w:tcPr>
            <w:tcW w:type="dxa" w:w="6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供应链合规性</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★产品部件保障</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保障产品主要部件提供不少于</w:t>
            </w:r>
            <w:r>
              <w:rPr>
                <w:sz w:val="21"/>
              </w:rPr>
              <w:t>6</w:t>
            </w:r>
            <w:r>
              <w:rPr>
                <w:sz w:val="21"/>
              </w:rPr>
              <w:t>年的备件服务能力</w:t>
            </w:r>
            <w:r>
              <w:rPr>
                <w:sz w:val="21"/>
              </w:rPr>
              <w:t>(</w:t>
            </w:r>
            <w:r>
              <w:rPr>
                <w:sz w:val="21"/>
              </w:rPr>
              <w:t>自购买之日起</w:t>
            </w:r>
            <w:r>
              <w:rPr>
                <w:sz w:val="21"/>
              </w:rPr>
              <w:t>)</w:t>
            </w:r>
            <w:r>
              <w:rPr>
                <w:sz w:val="21"/>
              </w:rPr>
              <w:t>，或提供可兼容原设备的升级换代产品</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156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供应保障要求</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供应链质量</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★抗干扰性</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当产品部件出现供应风险时，供应商应通知采购人并提供风险应对方案确保产品的服务保障</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157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供应保障要求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★供应能力证明</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供应商提供供应链稳定承诺书，确保产品的部件在产品服务周期内稳定供货</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158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安全要求</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关键部件安全要求</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★关键部件安全要求</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CPU</w:t>
            </w:r>
            <w:r>
              <w:rPr>
                <w:sz w:val="21"/>
              </w:rPr>
              <w:t>和操作系统等关键部件应当符合安全可靠测评要求</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159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安全要求</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整机安全</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★密码算法实现</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CPU</w:t>
            </w:r>
            <w:r>
              <w:rPr>
                <w:sz w:val="21"/>
              </w:rPr>
              <w:t>芯片应符合</w:t>
            </w:r>
            <w:r>
              <w:rPr>
                <w:sz w:val="21"/>
              </w:rPr>
              <w:t>GM/T 0008</w:t>
            </w:r>
            <w:r>
              <w:rPr>
                <w:sz w:val="21"/>
              </w:rPr>
              <w:t>的相关规定，或芯片密码模块应符合</w:t>
            </w:r>
            <w:r>
              <w:rPr>
                <w:sz w:val="21"/>
              </w:rPr>
              <w:t>GB/T 37092</w:t>
            </w:r>
            <w:r>
              <w:rPr>
                <w:sz w:val="21"/>
              </w:rPr>
              <w:t>或</w:t>
            </w:r>
            <w:r>
              <w:rPr>
                <w:sz w:val="21"/>
              </w:rPr>
              <w:t>GM/T 0028</w:t>
            </w:r>
            <w:r>
              <w:rPr>
                <w:sz w:val="21"/>
              </w:rPr>
              <w:t>的相关规定</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160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★信息安全基本要求</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a) </w:t>
            </w:r>
            <w:r>
              <w:rPr>
                <w:sz w:val="21"/>
              </w:rPr>
              <w:t>应符合</w:t>
            </w:r>
            <w:r>
              <w:rPr>
                <w:sz w:val="21"/>
              </w:rPr>
              <w:t>GB/T 39276</w:t>
            </w:r>
            <w:r>
              <w:rPr>
                <w:sz w:val="21"/>
              </w:rPr>
              <w:t>的</w:t>
            </w:r>
            <w:r>
              <w:rPr>
                <w:sz w:val="21"/>
              </w:rPr>
              <w:t>5.2</w:t>
            </w:r>
            <w:r>
              <w:rPr>
                <w:sz w:val="21"/>
              </w:rPr>
              <w:t>的规定；</w:t>
            </w:r>
          </w:p>
          <w:p>
            <w:pPr>
              <w:pStyle w:val="null3"/>
            </w:pPr>
            <w:r>
              <w:rPr>
                <w:sz w:val="21"/>
              </w:rPr>
              <w:t xml:space="preserve">b) </w:t>
            </w:r>
            <w:r>
              <w:rPr>
                <w:sz w:val="21"/>
              </w:rPr>
              <w:t>生产厂商应建立漏洞跟踪表，</w:t>
            </w:r>
            <w:r>
              <w:rPr>
                <w:sz w:val="21"/>
              </w:rPr>
              <w:t>保证产品版本涉及到的漏洞</w:t>
            </w:r>
            <w:r>
              <w:rPr>
                <w:sz w:val="21"/>
              </w:rPr>
              <w:t>(</w:t>
            </w:r>
            <w:r>
              <w:rPr>
                <w:sz w:val="21"/>
              </w:rPr>
              <w:t>如驱动程序等</w:t>
            </w:r>
            <w:r>
              <w:rPr>
                <w:sz w:val="21"/>
              </w:rPr>
              <w:t>)</w:t>
            </w:r>
            <w:r>
              <w:rPr>
                <w:sz w:val="21"/>
              </w:rPr>
              <w:t>可查看；</w:t>
            </w:r>
          </w:p>
          <w:p>
            <w:pPr>
              <w:pStyle w:val="null3"/>
            </w:pPr>
            <w:r>
              <w:rPr>
                <w:sz w:val="21"/>
              </w:rPr>
              <w:t xml:space="preserve">c) </w:t>
            </w:r>
            <w:r>
              <w:rPr>
                <w:sz w:val="21"/>
              </w:rPr>
              <w:t>产品不得包含已知的恶意代码或漏洞，不存在未声明的指令、功能、接口</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161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★固件安全启动</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支持固件安全启动功能，固件启动过程中只有通过启动校验才能正常启动</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162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★限用物质的限量要求</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符合</w:t>
            </w:r>
            <w:r>
              <w:rPr>
                <w:sz w:val="21"/>
              </w:rPr>
              <w:t xml:space="preserve"> GB/T 26572 </w:t>
            </w:r>
            <w:r>
              <w:rPr>
                <w:sz w:val="21"/>
              </w:rPr>
              <w:t>中规定</w:t>
            </w:r>
          </w:p>
        </w:tc>
      </w:tr>
      <w:tr>
        <w:tc>
          <w:tcPr>
            <w:tcW w:type="dxa" w:w="830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“★”条款说明：供应商在投标时出具关于所提供的“移动工作站”是否满足采购文件要求的承诺函（上述“★”指标应逐项响应，可参照</w:t>
            </w:r>
            <w:r>
              <w:rPr>
                <w:sz w:val="21"/>
              </w:rPr>
              <w:t>本招标文件第六章</w:t>
            </w:r>
            <w:r>
              <w:rPr>
                <w:sz w:val="21"/>
              </w:rPr>
              <w:t>中《</w:t>
            </w:r>
            <w:r>
              <w:rPr>
                <w:sz w:val="21"/>
              </w:rPr>
              <w:t>承诺函》格式）。</w:t>
            </w:r>
          </w:p>
          <w:p>
            <w:pPr>
              <w:pStyle w:val="null3"/>
            </w:pPr>
            <w:r>
              <w:rPr>
                <w:sz w:val="21"/>
              </w:rPr>
              <w:t>提醒：供应商应实事求是响应本项目所列要求，如有虚假承诺，采购人将以供应商违反《中华人民共和国政府采购法》第七十七条</w:t>
            </w:r>
            <w:r>
              <w:rPr>
                <w:sz w:val="21"/>
                <w:shd w:fill="FFFFFF" w:val="clear"/>
              </w:rPr>
              <w:t>第一款规定“提供虚假材料谋取中标、成交的”情况</w:t>
            </w:r>
            <w:r>
              <w:rPr>
                <w:sz w:val="21"/>
              </w:rPr>
              <w:t>上报政府采购监管部门，供应商将被列入不良行为记录名单，在一至三年内禁止参加政府采购活动。</w:t>
            </w:r>
          </w:p>
        </w:tc>
      </w:tr>
    </w:tbl>
    <w:p>
      <w:pPr>
        <w:pStyle w:val="null3"/>
        <w:jc w:val="both"/>
      </w:pPr>
      <w:r>
        <w:rPr>
          <w:sz w:val="21"/>
        </w:rPr>
        <w:t>（</w:t>
      </w:r>
      <w:r>
        <w:rPr>
          <w:sz w:val="21"/>
        </w:rPr>
        <w:t>3</w:t>
      </w:r>
      <w:r>
        <w:rPr>
          <w:sz w:val="21"/>
        </w:rPr>
        <w:t>）服务器</w:t>
      </w:r>
    </w:p>
    <w:tbl>
      <w:tblPr>
        <w:tblW w:w="0" w:type="auto"/>
        <w:tblBorders>
          <w:top w:val="none" w:color="000000" w:sz="4"/>
          <w:left w:val="none" w:color="000000" w:sz="4"/>
          <w:bottom w:val="none" w:color="000000" w:sz="4"/>
          <w:right w:val="none" w:color="000000" w:sz="4"/>
          <w:insideH w:val="none"/>
          <w:insideV w:val="none"/>
        </w:tblBorders>
      </w:tblPr>
      <w:tblGrid>
        <w:gridCol w:w="424"/>
        <w:gridCol w:w="678"/>
        <w:gridCol w:w="763"/>
        <w:gridCol w:w="1526"/>
        <w:gridCol w:w="4916"/>
      </w:tblGrid>
      <w:tr>
        <w:tc>
          <w:tcPr>
            <w:tcW w:type="dxa" w:w="4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序号</w:t>
            </w:r>
          </w:p>
        </w:tc>
        <w:tc>
          <w:tcPr>
            <w:tcW w:type="dxa" w:w="6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指标分类</w:t>
            </w:r>
          </w:p>
        </w:tc>
        <w:tc>
          <w:tcPr>
            <w:tcW w:type="dxa" w:w="7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一级指标</w:t>
            </w:r>
          </w:p>
        </w:tc>
        <w:tc>
          <w:tcPr>
            <w:tcW w:type="dxa" w:w="15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二级指标</w:t>
            </w:r>
          </w:p>
        </w:tc>
        <w:tc>
          <w:tcPr>
            <w:tcW w:type="dxa" w:w="49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需求指标要求</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CPU</w:t>
            </w:r>
            <w:r>
              <w:rPr>
                <w:sz w:val="21"/>
              </w:rPr>
              <w:t>规格</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CPU</w:t>
            </w:r>
            <w:r>
              <w:rPr>
                <w:sz w:val="21"/>
              </w:rPr>
              <w:t>信息</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CPU</w:t>
            </w:r>
            <w:r>
              <w:rPr>
                <w:sz w:val="21"/>
              </w:rPr>
              <w:t>数量：≥</w:t>
            </w:r>
            <w:r>
              <w:rPr>
                <w:sz w:val="21"/>
              </w:rPr>
              <w:t>2</w:t>
            </w:r>
            <w:r>
              <w:rPr>
                <w:sz w:val="21"/>
              </w:rPr>
              <w:t>颗</w:t>
            </w:r>
          </w:p>
          <w:p>
            <w:pPr>
              <w:pStyle w:val="null3"/>
            </w:pPr>
            <w:r>
              <w:rPr>
                <w:sz w:val="21"/>
              </w:rPr>
              <w:t>处理器架构：兼容</w:t>
            </w:r>
            <w:r>
              <w:rPr>
                <w:sz w:val="21"/>
              </w:rPr>
              <w:t>X86</w:t>
            </w:r>
          </w:p>
          <w:p>
            <w:pPr>
              <w:pStyle w:val="null3"/>
            </w:pPr>
            <w:r>
              <w:rPr>
                <w:sz w:val="21"/>
              </w:rPr>
              <w:t>单颗处理器主频：≥</w:t>
            </w:r>
            <w:r>
              <w:rPr>
                <w:sz w:val="21"/>
              </w:rPr>
              <w:t>2.6GHz</w:t>
            </w:r>
          </w:p>
          <w:p>
            <w:pPr>
              <w:pStyle w:val="null3"/>
            </w:pPr>
            <w:r>
              <w:rPr>
                <w:sz w:val="21"/>
              </w:rPr>
              <w:t>物理核心数：≥</w:t>
            </w:r>
            <w:r>
              <w:rPr>
                <w:sz w:val="21"/>
              </w:rPr>
              <w:t>48</w:t>
            </w:r>
            <w:r>
              <w:rPr>
                <w:sz w:val="21"/>
              </w:rPr>
              <w:t>核</w:t>
            </w:r>
          </w:p>
          <w:p>
            <w:pPr>
              <w:pStyle w:val="null3"/>
            </w:pPr>
            <w:r>
              <w:rPr>
                <w:sz w:val="21"/>
              </w:rPr>
              <w:t>L3</w:t>
            </w:r>
            <w:r>
              <w:rPr>
                <w:sz w:val="21"/>
              </w:rPr>
              <w:t>缓存：≥</w:t>
            </w:r>
            <w:r>
              <w:rPr>
                <w:sz w:val="21"/>
              </w:rPr>
              <w:t xml:space="preserve">256MB </w:t>
            </w:r>
            <w:r>
              <w:rPr>
                <w:sz w:val="21"/>
              </w:rPr>
              <w:t>，支持超线程</w:t>
            </w:r>
          </w:p>
          <w:p>
            <w:pPr>
              <w:pStyle w:val="null3"/>
            </w:pPr>
            <w:r>
              <w:rPr>
                <w:sz w:val="21"/>
              </w:rPr>
              <w:t>支持内存最高</w:t>
            </w:r>
            <w:r>
              <w:rPr>
                <w:sz w:val="21"/>
              </w:rPr>
              <w:t>4800MHz</w:t>
            </w:r>
            <w:r>
              <w:rPr>
                <w:sz w:val="21"/>
              </w:rPr>
              <w:t>速率、内存通道数</w:t>
            </w:r>
            <w:r>
              <w:rPr>
                <w:sz w:val="21"/>
              </w:rPr>
              <w:t>12</w:t>
            </w:r>
            <w:r>
              <w:rPr>
                <w:sz w:val="21"/>
              </w:rPr>
              <w:t>、位宽</w:t>
            </w:r>
            <w:r>
              <w:rPr>
                <w:sz w:val="21"/>
              </w:rPr>
              <w:t>64bit</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7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主板规格</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★主板支持的</w:t>
            </w:r>
            <w:r>
              <w:rPr>
                <w:sz w:val="21"/>
              </w:rPr>
              <w:t>CPU</w:t>
            </w:r>
            <w:r>
              <w:rPr>
                <w:sz w:val="21"/>
              </w:rPr>
              <w:t>和内存情况</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2</w:t>
            </w:r>
            <w:r>
              <w:rPr>
                <w:sz w:val="21"/>
              </w:rPr>
              <w:t>颗兼容</w:t>
            </w:r>
            <w:r>
              <w:rPr>
                <w:sz w:val="21"/>
              </w:rPr>
              <w:t>X86</w:t>
            </w:r>
            <w:r>
              <w:rPr>
                <w:sz w:val="21"/>
              </w:rPr>
              <w:t>架构处理器，支持内存</w:t>
            </w:r>
            <w:r>
              <w:rPr>
                <w:sz w:val="21"/>
              </w:rPr>
              <w:t>DDR5</w:t>
            </w:r>
            <w:r>
              <w:rPr>
                <w:sz w:val="21"/>
              </w:rPr>
              <w:t>≥</w:t>
            </w:r>
            <w:r>
              <w:rPr>
                <w:sz w:val="21"/>
              </w:rPr>
              <w:t>24</w:t>
            </w:r>
            <w:r>
              <w:rPr>
                <w:sz w:val="21"/>
              </w:rPr>
              <w:t>条</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★主板内存槽数量</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非板载内存的可扩展插槽数量≥</w:t>
            </w:r>
            <w:r>
              <w:rPr>
                <w:sz w:val="21"/>
              </w:rPr>
              <w:t>24</w:t>
            </w:r>
            <w:r>
              <w:rPr>
                <w:sz w:val="21"/>
              </w:rPr>
              <w:t>个</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★主板存储接口</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w:t>
            </w:r>
            <w:r>
              <w:rPr>
                <w:sz w:val="21"/>
              </w:rPr>
              <w:t>SATA</w:t>
            </w:r>
            <w:r>
              <w:rPr>
                <w:sz w:val="21"/>
              </w:rPr>
              <w:t>、</w:t>
            </w:r>
            <w:r>
              <w:rPr>
                <w:sz w:val="21"/>
              </w:rPr>
              <w:t>SAS</w:t>
            </w:r>
            <w:r>
              <w:rPr>
                <w:sz w:val="21"/>
              </w:rPr>
              <w:t>、</w:t>
            </w:r>
            <w:r>
              <w:rPr>
                <w:sz w:val="21"/>
              </w:rPr>
              <w:t>M.2</w:t>
            </w:r>
            <w:r>
              <w:rPr>
                <w:sz w:val="21"/>
              </w:rPr>
              <w:t>、</w:t>
            </w:r>
            <w:r>
              <w:rPr>
                <w:sz w:val="21"/>
              </w:rPr>
              <w:t>U.2</w:t>
            </w:r>
            <w:r>
              <w:rPr>
                <w:sz w:val="21"/>
              </w:rPr>
              <w:t>等存储接口</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PCIe</w:t>
            </w:r>
            <w:r>
              <w:rPr>
                <w:sz w:val="21"/>
              </w:rPr>
              <w:t>插槽接口</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符合</w:t>
            </w:r>
            <w:r>
              <w:rPr>
                <w:sz w:val="21"/>
              </w:rPr>
              <w:t>PCIe4.0</w:t>
            </w:r>
            <w:r>
              <w:rPr>
                <w:sz w:val="21"/>
              </w:rPr>
              <w:t>或以上的高速串行计算机扩展总线标准，</w:t>
            </w:r>
            <w:r>
              <w:rPr>
                <w:sz w:val="21"/>
              </w:rPr>
              <w:t xml:space="preserve"> PCIe</w:t>
            </w:r>
            <w:r>
              <w:rPr>
                <w:sz w:val="21"/>
              </w:rPr>
              <w:t>的接口速率与位宽需保证向下兼容</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★主板</w:t>
            </w:r>
            <w:r>
              <w:rPr>
                <w:sz w:val="21"/>
              </w:rPr>
              <w:t>PCIe</w:t>
            </w:r>
            <w:r>
              <w:rPr>
                <w:sz w:val="21"/>
              </w:rPr>
              <w:t>插槽数量及规格</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提供标准</w:t>
            </w:r>
            <w:r>
              <w:rPr>
                <w:sz w:val="21"/>
              </w:rPr>
              <w:t>PCIe4.0</w:t>
            </w:r>
            <w:r>
              <w:rPr>
                <w:sz w:val="21"/>
              </w:rPr>
              <w:t>插槽≥</w:t>
            </w:r>
            <w:r>
              <w:rPr>
                <w:sz w:val="21"/>
              </w:rPr>
              <w:t>8</w:t>
            </w:r>
            <w:r>
              <w:rPr>
                <w:sz w:val="21"/>
              </w:rPr>
              <w:t>个</w:t>
            </w:r>
            <w:r>
              <w:rPr>
                <w:sz w:val="21"/>
              </w:rPr>
              <w:t>x16</w:t>
            </w:r>
            <w:r>
              <w:rPr>
                <w:sz w:val="21"/>
              </w:rPr>
              <w:t>插槽；提供</w:t>
            </w:r>
            <w:r>
              <w:rPr>
                <w:sz w:val="21"/>
              </w:rPr>
              <w:t>2</w:t>
            </w:r>
            <w:r>
              <w:rPr>
                <w:sz w:val="21"/>
              </w:rPr>
              <w:t>个内置的</w:t>
            </w:r>
            <w:r>
              <w:rPr>
                <w:sz w:val="21"/>
              </w:rPr>
              <w:t>RAID</w:t>
            </w:r>
            <w:r>
              <w:rPr>
                <w:sz w:val="21"/>
              </w:rPr>
              <w:t>卡专用</w:t>
            </w:r>
            <w:r>
              <w:rPr>
                <w:sz w:val="21"/>
              </w:rPr>
              <w:t>PCIe</w:t>
            </w:r>
            <w:r>
              <w:rPr>
                <w:sz w:val="21"/>
              </w:rPr>
              <w:t>插槽。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7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内存规格</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▲内存配置容量</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512GB DDR5 4800MHz ECC RDIMM</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★内存数量</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实际配置≥</w:t>
            </w:r>
            <w:r>
              <w:rPr>
                <w:sz w:val="21"/>
              </w:rPr>
              <w:t>8</w:t>
            </w:r>
            <w:r>
              <w:rPr>
                <w:sz w:val="21"/>
              </w:rPr>
              <w:t>条内存</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★内存规格</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DDR5</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★内存通道</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8</w:t>
            </w:r>
            <w:r>
              <w:rPr>
                <w:sz w:val="21"/>
              </w:rPr>
              <w:t>内存通道</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7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存储规格</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★硬磁盘实配容量</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实际配置</w:t>
            </w:r>
            <w:r>
              <w:rPr>
                <w:sz w:val="21"/>
              </w:rPr>
              <w:t>2</w:t>
            </w:r>
            <w:r>
              <w:rPr>
                <w:sz w:val="21"/>
              </w:rPr>
              <w:t>块不低于</w:t>
            </w:r>
            <w:r>
              <w:rPr>
                <w:sz w:val="21"/>
              </w:rPr>
              <w:t xml:space="preserve">7.68TB SATA SSD </w:t>
            </w:r>
            <w:r>
              <w:rPr>
                <w:sz w:val="21"/>
              </w:rPr>
              <w:t>固态硬盘，</w:t>
            </w:r>
            <w:r>
              <w:rPr>
                <w:sz w:val="21"/>
              </w:rPr>
              <w:t>10</w:t>
            </w:r>
            <w:r>
              <w:rPr>
                <w:sz w:val="21"/>
              </w:rPr>
              <w:t>块不低于</w:t>
            </w:r>
            <w:r>
              <w:rPr>
                <w:sz w:val="21"/>
              </w:rPr>
              <w:t>16TB 3.5</w:t>
            </w:r>
            <w:r>
              <w:rPr>
                <w:sz w:val="21"/>
              </w:rPr>
              <w:t>吋</w:t>
            </w:r>
            <w:r>
              <w:rPr>
                <w:sz w:val="21"/>
              </w:rPr>
              <w:t>7.2K 6Gb SATA</w:t>
            </w:r>
            <w:r>
              <w:rPr>
                <w:sz w:val="21"/>
              </w:rPr>
              <w:t>硬盘</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★硬盘实配数量</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w:t>
            </w:r>
            <w:r>
              <w:rPr>
                <w:sz w:val="21"/>
              </w:rPr>
              <w:t>2</w:t>
            </w:r>
            <w:r>
              <w:rPr>
                <w:sz w:val="21"/>
              </w:rPr>
              <w:t>块</w:t>
            </w:r>
            <w:r>
              <w:rPr>
                <w:sz w:val="21"/>
              </w:rPr>
              <w:t>SATA SSD</w:t>
            </w:r>
            <w:r>
              <w:rPr>
                <w:sz w:val="21"/>
              </w:rPr>
              <w:t>固态硬盘</w:t>
            </w:r>
          </w:p>
          <w:p>
            <w:pPr>
              <w:pStyle w:val="null3"/>
            </w:pPr>
            <w:r>
              <w:rPr>
                <w:sz w:val="21"/>
              </w:rPr>
              <w:t>2</w:t>
            </w:r>
            <w:r>
              <w:rPr>
                <w:sz w:val="21"/>
              </w:rPr>
              <w:t>、</w:t>
            </w:r>
            <w:r>
              <w:rPr>
                <w:sz w:val="21"/>
              </w:rPr>
              <w:t>10</w:t>
            </w:r>
            <w:r>
              <w:rPr>
                <w:sz w:val="21"/>
              </w:rPr>
              <w:t>块</w:t>
            </w:r>
            <w:r>
              <w:rPr>
                <w:sz w:val="21"/>
              </w:rPr>
              <w:t>3.5</w:t>
            </w:r>
            <w:r>
              <w:rPr>
                <w:sz w:val="21"/>
              </w:rPr>
              <w:t>吋</w:t>
            </w:r>
            <w:r>
              <w:rPr>
                <w:sz w:val="21"/>
              </w:rPr>
              <w:t>7.2K 6GbSATA</w:t>
            </w:r>
            <w:r>
              <w:rPr>
                <w:sz w:val="21"/>
              </w:rPr>
              <w:t>硬盘</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★硬盘插槽数量及规格</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、不少于</w:t>
            </w:r>
            <w:r>
              <w:rPr>
                <w:sz w:val="21"/>
              </w:rPr>
              <w:t>2</w:t>
            </w:r>
            <w:r>
              <w:rPr>
                <w:sz w:val="21"/>
              </w:rPr>
              <w:t>个</w:t>
            </w:r>
            <w:r>
              <w:rPr>
                <w:sz w:val="21"/>
              </w:rPr>
              <w:t>NVMe U.2 SSD</w:t>
            </w:r>
            <w:r>
              <w:rPr>
                <w:sz w:val="21"/>
              </w:rPr>
              <w:t>硬盘插槽</w:t>
            </w:r>
          </w:p>
          <w:p>
            <w:pPr>
              <w:pStyle w:val="null3"/>
            </w:pPr>
            <w:r>
              <w:rPr>
                <w:sz w:val="21"/>
              </w:rPr>
              <w:t>2</w:t>
            </w:r>
            <w:r>
              <w:rPr>
                <w:sz w:val="21"/>
              </w:rPr>
              <w:t>、不少于</w:t>
            </w:r>
            <w:r>
              <w:rPr>
                <w:sz w:val="21"/>
              </w:rPr>
              <w:t>24</w:t>
            </w:r>
            <w:r>
              <w:rPr>
                <w:sz w:val="21"/>
              </w:rPr>
              <w:t>个</w:t>
            </w:r>
            <w:r>
              <w:rPr>
                <w:sz w:val="21"/>
              </w:rPr>
              <w:t>3.5</w:t>
            </w:r>
            <w:r>
              <w:rPr>
                <w:sz w:val="21"/>
              </w:rPr>
              <w:t>寸</w:t>
            </w:r>
            <w:r>
              <w:rPr>
                <w:sz w:val="21"/>
              </w:rPr>
              <w:t>SAS/SATA</w:t>
            </w:r>
            <w:r>
              <w:rPr>
                <w:sz w:val="21"/>
              </w:rPr>
              <w:t>硬盘插槽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RAID</w:t>
            </w:r>
            <w:r>
              <w:rPr>
                <w:sz w:val="21"/>
              </w:rPr>
              <w:t>卡规格</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RAID </w:t>
            </w:r>
            <w:r>
              <w:rPr>
                <w:sz w:val="21"/>
              </w:rPr>
              <w:t>卡支持的</w:t>
            </w:r>
            <w:r>
              <w:rPr>
                <w:sz w:val="21"/>
              </w:rPr>
              <w:t>SAS</w:t>
            </w:r>
            <w:r>
              <w:rPr>
                <w:sz w:val="21"/>
              </w:rPr>
              <w:t>接口数</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8</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7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网络规格</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★网口速率和数量</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配备网口数量不少于</w:t>
            </w:r>
            <w:r>
              <w:rPr>
                <w:sz w:val="21"/>
              </w:rPr>
              <w:t>2</w:t>
            </w:r>
            <w:r>
              <w:rPr>
                <w:sz w:val="21"/>
              </w:rPr>
              <w:t>个，且网口速率不少于</w:t>
            </w:r>
            <w:r>
              <w:rPr>
                <w:sz w:val="21"/>
              </w:rPr>
              <w:t>10GE</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★独立网卡网口数量</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配备</w:t>
            </w:r>
            <w:r>
              <w:rPr>
                <w:sz w:val="21"/>
              </w:rPr>
              <w:t>1</w:t>
            </w:r>
            <w:r>
              <w:rPr>
                <w:sz w:val="21"/>
              </w:rPr>
              <w:t>张独立网卡，独立网卡网口数量≥</w:t>
            </w:r>
            <w:r>
              <w:rPr>
                <w:sz w:val="21"/>
              </w:rPr>
              <w:t>2</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★独立网卡接口类型</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w:t>
            </w:r>
            <w:r>
              <w:rPr>
                <w:sz w:val="21"/>
              </w:rPr>
              <w:t>SFP+</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7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外部接口规格</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★显示接口</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配备</w:t>
            </w:r>
            <w:r>
              <w:rPr>
                <w:sz w:val="21"/>
              </w:rPr>
              <w:t>VGA</w:t>
            </w:r>
            <w:r>
              <w:rPr>
                <w:sz w:val="21"/>
              </w:rPr>
              <w:t>显示接口，且</w:t>
            </w:r>
            <w:r>
              <w:rPr>
                <w:sz w:val="21"/>
              </w:rPr>
              <w:t>VGA</w:t>
            </w:r>
            <w:r>
              <w:rPr>
                <w:sz w:val="21"/>
              </w:rPr>
              <w:t>接口</w:t>
            </w:r>
            <w:r>
              <w:rPr>
                <w:sz w:val="21"/>
              </w:rPr>
              <w:t>≥2</w:t>
            </w:r>
            <w:r>
              <w:rPr>
                <w:sz w:val="21"/>
              </w:rPr>
              <w:t>个</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 xml:space="preserve">USB </w:t>
            </w:r>
            <w:r>
              <w:rPr>
                <w:sz w:val="21"/>
              </w:rPr>
              <w:t>接口</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配备</w:t>
            </w:r>
            <w:r>
              <w:rPr>
                <w:sz w:val="21"/>
              </w:rPr>
              <w:t>4</w:t>
            </w:r>
            <w:r>
              <w:rPr>
                <w:sz w:val="21"/>
              </w:rPr>
              <w:t>个</w:t>
            </w:r>
            <w:r>
              <w:rPr>
                <w:sz w:val="21"/>
              </w:rPr>
              <w:t>USB2.0</w:t>
            </w:r>
            <w:r>
              <w:rPr>
                <w:sz w:val="21"/>
              </w:rPr>
              <w:t>、</w:t>
            </w:r>
            <w:r>
              <w:rPr>
                <w:sz w:val="21"/>
              </w:rPr>
              <w:t>2</w:t>
            </w:r>
            <w:r>
              <w:rPr>
                <w:sz w:val="21"/>
              </w:rPr>
              <w:t>个</w:t>
            </w:r>
            <w:r>
              <w:rPr>
                <w:sz w:val="21"/>
              </w:rPr>
              <w:t>USB3.0</w:t>
            </w:r>
            <w:r>
              <w:rPr>
                <w:sz w:val="21"/>
              </w:rPr>
              <w:t>接口</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7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电源规格</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★电源冗余模式</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整机电源模块按</w:t>
            </w:r>
            <w:r>
              <w:rPr>
                <w:sz w:val="21"/>
              </w:rPr>
              <w:t xml:space="preserve">2+2 </w:t>
            </w:r>
            <w:r>
              <w:rPr>
                <w:sz w:val="21"/>
              </w:rPr>
              <w:t>冗余配置</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★电源模块数量</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4</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★电源功率</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单个电源功率≥</w:t>
            </w:r>
            <w:r>
              <w:rPr>
                <w:sz w:val="21"/>
              </w:rPr>
              <w:t>2000W</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7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整机规格</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★外观和结构</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a)</w:t>
            </w:r>
            <w:r>
              <w:rPr>
                <w:sz w:val="21"/>
              </w:rPr>
              <w:t>服务器的零部件应紧固无松动，可插拔部件应可靠连接，开关、按钮和其它控制部件应灵活可靠，布局应方便使用；</w:t>
            </w:r>
          </w:p>
          <w:p>
            <w:pPr>
              <w:pStyle w:val="null3"/>
            </w:pPr>
            <w:r>
              <w:rPr>
                <w:sz w:val="21"/>
              </w:rPr>
              <w:t xml:space="preserve">b) </w:t>
            </w:r>
            <w:r>
              <w:rPr>
                <w:sz w:val="21"/>
              </w:rPr>
              <w:t>产品表面不应有明显的凹痕、划伤、裂缝、变形和污染等。表面涂层均匀，不应起泡、龟裂、脱落和磨损，金属零部件无锈蚀及其它机械损伤；</w:t>
            </w:r>
          </w:p>
          <w:p>
            <w:pPr>
              <w:pStyle w:val="null3"/>
            </w:pPr>
            <w:r>
              <w:rPr>
                <w:sz w:val="21"/>
              </w:rPr>
              <w:t xml:space="preserve">c) </w:t>
            </w:r>
            <w:r>
              <w:rPr>
                <w:sz w:val="21"/>
              </w:rPr>
              <w:t>产品表面说明功能的文字、符号和标志应清晰、端正且牢固；</w:t>
            </w:r>
          </w:p>
          <w:p>
            <w:pPr>
              <w:pStyle w:val="null3"/>
            </w:pPr>
            <w:r>
              <w:rPr>
                <w:sz w:val="21"/>
              </w:rPr>
              <w:t xml:space="preserve">d) </w:t>
            </w:r>
            <w:r>
              <w:rPr>
                <w:sz w:val="21"/>
              </w:rPr>
              <w:t>应在服务器的显著位置提供运行状态的指示功能，并在随机文件中明确具体含义；</w:t>
            </w:r>
          </w:p>
          <w:p>
            <w:pPr>
              <w:pStyle w:val="null3"/>
            </w:pPr>
            <w:r>
              <w:rPr>
                <w:sz w:val="21"/>
              </w:rPr>
              <w:t xml:space="preserve">e) </w:t>
            </w:r>
            <w:r>
              <w:rPr>
                <w:sz w:val="21"/>
              </w:rPr>
              <w:t>机架、机箱的尺寸应符合通用机柜的安装要求，插入总线插座的电路板接口外形尺寸应符合有关总线标准的规定，将机箱固定在机柜上，机箱底面最大下垂变形不得干涉相邻机体；</w:t>
            </w:r>
          </w:p>
          <w:p>
            <w:pPr>
              <w:pStyle w:val="null3"/>
            </w:pPr>
            <w:r>
              <w:rPr>
                <w:sz w:val="21"/>
              </w:rPr>
              <w:t xml:space="preserve">f) </w:t>
            </w:r>
            <w:r>
              <w:rPr>
                <w:sz w:val="21"/>
              </w:rPr>
              <w:t>高密度服务器应给出</w:t>
            </w:r>
            <w:r>
              <w:rPr>
                <w:sz w:val="21"/>
              </w:rPr>
              <w:t>CPU</w:t>
            </w:r>
            <w:r>
              <w:rPr>
                <w:sz w:val="21"/>
              </w:rPr>
              <w:t>个数与机柜高度；</w:t>
            </w:r>
          </w:p>
          <w:p>
            <w:pPr>
              <w:pStyle w:val="null3"/>
            </w:pPr>
            <w:r>
              <w:rPr>
                <w:sz w:val="21"/>
              </w:rPr>
              <w:t xml:space="preserve">g) </w:t>
            </w:r>
            <w:r>
              <w:rPr>
                <w:sz w:val="21"/>
              </w:rPr>
              <w:t>服务器尺寸具体要求在随机文件中明确</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★尺寸</w:t>
            </w:r>
            <w:r>
              <w:rPr>
                <w:sz w:val="21"/>
              </w:rPr>
              <w:t>(</w:t>
            </w:r>
            <w:r>
              <w:rPr>
                <w:sz w:val="21"/>
              </w:rPr>
              <w:t>高×宽×深</w:t>
            </w:r>
            <w:r>
              <w:rPr>
                <w:sz w:val="21"/>
              </w:rPr>
              <w:t>)</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175.8mm(</w:t>
            </w:r>
            <w:r>
              <w:rPr>
                <w:sz w:val="21"/>
              </w:rPr>
              <w:t>高</w:t>
            </w:r>
            <w:r>
              <w:rPr>
                <w:sz w:val="21"/>
              </w:rPr>
              <w:t>)x446mm(</w:t>
            </w:r>
            <w:r>
              <w:rPr>
                <w:sz w:val="21"/>
              </w:rPr>
              <w:t>宽</w:t>
            </w:r>
            <w:r>
              <w:rPr>
                <w:sz w:val="21"/>
              </w:rPr>
              <w:t>)x798mm(</w:t>
            </w:r>
            <w:r>
              <w:rPr>
                <w:sz w:val="21"/>
              </w:rPr>
              <w:t>深</w:t>
            </w:r>
            <w:r>
              <w:rPr>
                <w:sz w:val="21"/>
              </w:rPr>
              <w:t>)</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★服务器导轨</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含安装导轨</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CPU</w:t>
            </w:r>
            <w:r>
              <w:rPr>
                <w:sz w:val="21"/>
              </w:rPr>
              <w:t>个数与机柜高度单位</w:t>
            </w:r>
            <w:r>
              <w:rPr>
                <w:sz w:val="21"/>
              </w:rPr>
              <w:t>(U)</w:t>
            </w:r>
            <w:r>
              <w:rPr>
                <w:sz w:val="21"/>
              </w:rPr>
              <w:t>比</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CPU</w:t>
            </w:r>
            <w:r>
              <w:rPr>
                <w:sz w:val="21"/>
              </w:rPr>
              <w:t>配置≥</w:t>
            </w:r>
            <w:r>
              <w:rPr>
                <w:sz w:val="21"/>
              </w:rPr>
              <w:t>2</w:t>
            </w:r>
            <w:r>
              <w:rPr>
                <w:sz w:val="21"/>
              </w:rPr>
              <w:t>个；机柜高度≥</w:t>
            </w:r>
            <w:r>
              <w:rPr>
                <w:sz w:val="21"/>
              </w:rPr>
              <w:t>4U</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★环境适应性</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气候环境适应性应符合</w:t>
            </w:r>
            <w:r>
              <w:rPr>
                <w:sz w:val="21"/>
              </w:rPr>
              <w:t>GB/T9813.3</w:t>
            </w:r>
            <w:r>
              <w:rPr>
                <w:sz w:val="21"/>
              </w:rPr>
              <w:t>的有关规定，工作温度</w:t>
            </w:r>
            <w:r>
              <w:rPr>
                <w:sz w:val="21"/>
              </w:rPr>
              <w:t>10</w:t>
            </w:r>
            <w:r>
              <w:rPr>
                <w:sz w:val="21"/>
              </w:rPr>
              <w:t>～</w:t>
            </w:r>
            <w:r>
              <w:rPr>
                <w:sz w:val="21"/>
              </w:rPr>
              <w:t>35</w:t>
            </w:r>
            <w:r>
              <w:rPr>
                <w:sz w:val="21"/>
              </w:rPr>
              <w:t>℃，贮存运输温度</w:t>
            </w:r>
            <w:r>
              <w:rPr>
                <w:sz w:val="21"/>
              </w:rPr>
              <w:t>-40</w:t>
            </w:r>
            <w:r>
              <w:rPr>
                <w:sz w:val="21"/>
              </w:rPr>
              <w:t>～</w:t>
            </w:r>
            <w:r>
              <w:rPr>
                <w:sz w:val="21"/>
              </w:rPr>
              <w:t>55</w:t>
            </w:r>
            <w:r>
              <w:rPr>
                <w:sz w:val="21"/>
              </w:rPr>
              <w:t>℃；工作相对湿度</w:t>
            </w:r>
            <w:r>
              <w:rPr>
                <w:sz w:val="21"/>
              </w:rPr>
              <w:t>35%~80%</w:t>
            </w:r>
            <w:r>
              <w:rPr>
                <w:sz w:val="21"/>
              </w:rPr>
              <w:t>，贮存运输相对湿度</w:t>
            </w:r>
            <w:r>
              <w:rPr>
                <w:sz w:val="21"/>
              </w:rPr>
              <w:t>20%</w:t>
            </w:r>
            <w:r>
              <w:rPr>
                <w:sz w:val="21"/>
              </w:rPr>
              <w:t>～</w:t>
            </w:r>
            <w:r>
              <w:rPr>
                <w:sz w:val="21"/>
              </w:rPr>
              <w:t>93%</w:t>
            </w:r>
            <w:r>
              <w:rPr>
                <w:sz w:val="21"/>
              </w:rPr>
              <w:t>（</w:t>
            </w:r>
            <w:r>
              <w:rPr>
                <w:sz w:val="21"/>
              </w:rPr>
              <w:t>40</w:t>
            </w:r>
            <w:r>
              <w:rPr>
                <w:sz w:val="21"/>
              </w:rPr>
              <w:t>℃）；大气压</w:t>
            </w:r>
            <w:r>
              <w:rPr>
                <w:sz w:val="21"/>
              </w:rPr>
              <w:t>86</w:t>
            </w:r>
            <w:r>
              <w:rPr>
                <w:sz w:val="21"/>
              </w:rPr>
              <w:t>～</w:t>
            </w:r>
            <w:r>
              <w:rPr>
                <w:sz w:val="21"/>
              </w:rPr>
              <w:t>106kPa</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★机械环境适应性</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机械环境适应性应符合</w:t>
            </w:r>
            <w:r>
              <w:rPr>
                <w:sz w:val="21"/>
              </w:rPr>
              <w:t>GB/T9813.3</w:t>
            </w:r>
            <w:r>
              <w:rPr>
                <w:sz w:val="21"/>
              </w:rPr>
              <w:t>的有关规定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★噪声</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符合</w:t>
            </w:r>
            <w:r>
              <w:rPr>
                <w:sz w:val="21"/>
              </w:rPr>
              <w:t>GB/T 9813.3</w:t>
            </w:r>
            <w:r>
              <w:rPr>
                <w:sz w:val="21"/>
              </w:rPr>
              <w:t>的有关规定</w:t>
            </w:r>
            <w:r>
              <w:rPr>
                <w:sz w:val="21"/>
              </w:rPr>
              <w:t xml:space="preserve">, </w:t>
            </w:r>
            <w:r>
              <w:rPr>
                <w:sz w:val="21"/>
              </w:rPr>
              <w:t>在产品说明中给出具体测试值；</w:t>
            </w:r>
          </w:p>
          <w:p>
            <w:pPr>
              <w:pStyle w:val="null3"/>
            </w:pPr>
            <w:r>
              <w:rPr>
                <w:sz w:val="21"/>
              </w:rPr>
              <w:t>塔式服务器噪声在空闲状态下不大于</w:t>
            </w:r>
            <w:r>
              <w:rPr>
                <w:sz w:val="21"/>
              </w:rPr>
              <w:t>50dB</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机柜规格</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★机柜尺寸</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本次采购不需配备机柜</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7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显卡规格</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▲独立显卡数量</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8</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▲独立显卡信息</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显存类型：</w:t>
            </w:r>
            <w:r>
              <w:rPr>
                <w:sz w:val="21"/>
              </w:rPr>
              <w:t>GDDR6</w:t>
            </w:r>
          </w:p>
          <w:p>
            <w:pPr>
              <w:pStyle w:val="null3"/>
            </w:pPr>
            <w:r>
              <w:rPr>
                <w:sz w:val="21"/>
              </w:rPr>
              <w:t>显存位宽：≥</w:t>
            </w:r>
            <w:r>
              <w:rPr>
                <w:sz w:val="21"/>
              </w:rPr>
              <w:t>384bit</w:t>
            </w:r>
          </w:p>
          <w:p>
            <w:pPr>
              <w:pStyle w:val="null3"/>
            </w:pPr>
            <w:r>
              <w:rPr>
                <w:sz w:val="21"/>
              </w:rPr>
              <w:t>显存容量≥</w:t>
            </w:r>
            <w:r>
              <w:rPr>
                <w:sz w:val="21"/>
              </w:rPr>
              <w:t>24GB</w:t>
            </w:r>
          </w:p>
          <w:p>
            <w:pPr>
              <w:pStyle w:val="null3"/>
            </w:pPr>
            <w:r>
              <w:rPr>
                <w:sz w:val="21"/>
              </w:rPr>
              <w:t>接口协议：产品支持</w:t>
            </w:r>
            <w:r>
              <w:rPr>
                <w:sz w:val="21"/>
              </w:rPr>
              <w:t>PCIe</w:t>
            </w:r>
            <w:r>
              <w:rPr>
                <w:sz w:val="21"/>
              </w:rPr>
              <w:t>协议版本大于等于</w:t>
            </w:r>
            <w:r>
              <w:rPr>
                <w:sz w:val="21"/>
              </w:rPr>
              <w:t>4.0</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主板功能</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★主板外部接口种类</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VGA</w:t>
            </w:r>
            <w:r>
              <w:rPr>
                <w:sz w:val="21"/>
              </w:rPr>
              <w:t>、</w:t>
            </w:r>
            <w:r>
              <w:rPr>
                <w:sz w:val="21"/>
              </w:rPr>
              <w:t>USB3.0</w:t>
            </w:r>
            <w:r>
              <w:rPr>
                <w:sz w:val="21"/>
              </w:rPr>
              <w:t>、</w:t>
            </w:r>
            <w:r>
              <w:rPr>
                <w:sz w:val="21"/>
              </w:rPr>
              <w:t>BMC</w:t>
            </w:r>
            <w:r>
              <w:rPr>
                <w:sz w:val="21"/>
              </w:rPr>
              <w:t>管理端口</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网络功能</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★网络功能</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支持网络连接、网络访问、数据交换和网络管控功能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7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CPU</w:t>
            </w:r>
            <w:r>
              <w:rPr>
                <w:sz w:val="21"/>
              </w:rPr>
              <w:t>功能</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★计算处理</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支持通用计算及虚拟化功能。处理器需集成整型计算单元、浮点计算单元、内存控制器、</w:t>
            </w:r>
            <w:r>
              <w:rPr>
                <w:sz w:val="21"/>
              </w:rPr>
              <w:t>I/O</w:t>
            </w:r>
            <w:r>
              <w:rPr>
                <w:sz w:val="21"/>
              </w:rPr>
              <w:t>模块等，处理器与存储部件、网络部件、</w:t>
            </w:r>
            <w:r>
              <w:rPr>
                <w:sz w:val="21"/>
              </w:rPr>
              <w:t>I/O</w:t>
            </w:r>
            <w:r>
              <w:rPr>
                <w:sz w:val="21"/>
              </w:rPr>
              <w:t>部件等组成计算系统，提供数据处理、网络接入等计算相关功能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★密码算法实现</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CPU</w:t>
            </w:r>
            <w:r>
              <w:rPr>
                <w:sz w:val="21"/>
              </w:rPr>
              <w:t>芯片应符合</w:t>
            </w:r>
            <w:r>
              <w:rPr>
                <w:sz w:val="21"/>
              </w:rPr>
              <w:t>GM/T 0008</w:t>
            </w:r>
            <w:r>
              <w:rPr>
                <w:sz w:val="21"/>
              </w:rPr>
              <w:t>的相关规定，或芯片密码模块应符合</w:t>
            </w:r>
            <w:r>
              <w:rPr>
                <w:sz w:val="21"/>
              </w:rPr>
              <w:t>GB/T37092</w:t>
            </w:r>
            <w:r>
              <w:rPr>
                <w:sz w:val="21"/>
              </w:rPr>
              <w:t>或</w:t>
            </w:r>
            <w:r>
              <w:rPr>
                <w:sz w:val="21"/>
              </w:rPr>
              <w:t>GM/T 0028</w:t>
            </w:r>
            <w:r>
              <w:rPr>
                <w:sz w:val="21"/>
              </w:rPr>
              <w:t>的相关规定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RAID</w:t>
            </w:r>
          </w:p>
          <w:p>
            <w:pPr>
              <w:pStyle w:val="null3"/>
            </w:pPr>
            <w:r>
              <w:rPr>
                <w:sz w:val="21"/>
              </w:rPr>
              <w:t>卡功</w:t>
            </w:r>
          </w:p>
          <w:p>
            <w:pPr>
              <w:pStyle w:val="null3"/>
            </w:pPr>
            <w:r>
              <w:rPr>
                <w:sz w:val="21"/>
              </w:rPr>
              <w:t>能</w:t>
            </w:r>
            <w:r>
              <w:rPr>
                <w:sz w:val="21"/>
              </w:rPr>
              <w:t>(</w:t>
            </w:r>
            <w:r>
              <w:rPr>
                <w:sz w:val="21"/>
              </w:rPr>
              <w:t>若</w:t>
            </w:r>
          </w:p>
          <w:p>
            <w:pPr>
              <w:pStyle w:val="null3"/>
            </w:pPr>
            <w:r>
              <w:rPr>
                <w:sz w:val="21"/>
              </w:rPr>
              <w:t>支持</w:t>
            </w:r>
          </w:p>
          <w:p>
            <w:pPr>
              <w:pStyle w:val="null3"/>
            </w:pPr>
            <w:r>
              <w:rPr>
                <w:sz w:val="21"/>
              </w:rPr>
              <w:t>RAID</w:t>
            </w:r>
          </w:p>
          <w:p>
            <w:pPr>
              <w:pStyle w:val="null3"/>
            </w:pPr>
            <w:r>
              <w:rPr>
                <w:sz w:val="21"/>
              </w:rPr>
              <w:t>卡</w:t>
            </w:r>
            <w:r>
              <w:rPr>
                <w:sz w:val="21"/>
              </w:rPr>
              <w:t>)</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 xml:space="preserve">RAID </w:t>
            </w:r>
            <w:r>
              <w:rPr>
                <w:sz w:val="21"/>
              </w:rPr>
              <w:t>卡</w:t>
            </w:r>
            <w:r>
              <w:rPr>
                <w:sz w:val="21"/>
              </w:rPr>
              <w:t xml:space="preserve">RAID </w:t>
            </w:r>
            <w:r>
              <w:rPr>
                <w:sz w:val="21"/>
              </w:rPr>
              <w:t>级别支持</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SAS RAID</w:t>
            </w:r>
            <w:r>
              <w:rPr>
                <w:sz w:val="21"/>
              </w:rPr>
              <w:t>卡（</w:t>
            </w:r>
            <w:r>
              <w:rPr>
                <w:sz w:val="21"/>
              </w:rPr>
              <w:t>4G</w:t>
            </w:r>
            <w:r>
              <w:rPr>
                <w:sz w:val="21"/>
              </w:rPr>
              <w:t>缓存），支持</w:t>
            </w:r>
            <w:r>
              <w:rPr>
                <w:sz w:val="21"/>
              </w:rPr>
              <w:t>RAID 0/1/5/6/10/50/60</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7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电源功能</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★电源热插拔</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整机电源模块应具备热插拔功能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★电源过流保护</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支持过流及短路保护的功能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整机功能</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★散热方式</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支持风冷等散热方式</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7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管理系统功能</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BMC</w:t>
            </w:r>
            <w:r>
              <w:rPr>
                <w:sz w:val="21"/>
              </w:rPr>
              <w:t>固件基础功能</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1) </w:t>
            </w:r>
            <w:r>
              <w:rPr>
                <w:sz w:val="21"/>
              </w:rPr>
              <w:t>支持</w:t>
            </w:r>
            <w:r>
              <w:rPr>
                <w:sz w:val="21"/>
              </w:rPr>
              <w:t>DHCP</w:t>
            </w:r>
            <w:r>
              <w:rPr>
                <w:sz w:val="21"/>
              </w:rPr>
              <w:t>设置网络功能；</w:t>
            </w:r>
          </w:p>
          <w:p>
            <w:pPr>
              <w:pStyle w:val="null3"/>
            </w:pPr>
            <w:r>
              <w:rPr>
                <w:sz w:val="21"/>
              </w:rPr>
              <w:t>2)</w:t>
            </w:r>
            <w:r>
              <w:rPr>
                <w:sz w:val="21"/>
              </w:rPr>
              <w:t>支持静态</w:t>
            </w:r>
            <w:r>
              <w:rPr>
                <w:sz w:val="21"/>
              </w:rPr>
              <w:t>IP</w:t>
            </w:r>
            <w:r>
              <w:rPr>
                <w:sz w:val="21"/>
              </w:rPr>
              <w:t>设置网络功能；</w:t>
            </w:r>
          </w:p>
          <w:p>
            <w:pPr>
              <w:pStyle w:val="null3"/>
            </w:pPr>
            <w:r>
              <w:rPr>
                <w:sz w:val="21"/>
              </w:rPr>
              <w:t>3)</w:t>
            </w:r>
            <w:r>
              <w:rPr>
                <w:sz w:val="21"/>
              </w:rPr>
              <w:t>支持设备日志记录，</w:t>
            </w:r>
            <w:r>
              <w:rPr>
                <w:sz w:val="21"/>
              </w:rPr>
              <w:t>包括但不限于登录日志、操作日志和报警日志等功能；</w:t>
            </w:r>
          </w:p>
          <w:p>
            <w:pPr>
              <w:pStyle w:val="null3"/>
            </w:pPr>
            <w:r>
              <w:rPr>
                <w:sz w:val="21"/>
              </w:rPr>
              <w:t>4)</w:t>
            </w:r>
            <w:r>
              <w:rPr>
                <w:sz w:val="21"/>
              </w:rPr>
              <w:t>支持日志信息导出和记录删除功能；</w:t>
            </w:r>
          </w:p>
          <w:p>
            <w:pPr>
              <w:pStyle w:val="null3"/>
            </w:pPr>
            <w:r>
              <w:rPr>
                <w:sz w:val="21"/>
              </w:rPr>
              <w:t>5)</w:t>
            </w:r>
            <w:r>
              <w:rPr>
                <w:sz w:val="21"/>
              </w:rPr>
              <w:t>支持通过管理接口向外输出准确的报警信息功能；</w:t>
            </w:r>
          </w:p>
          <w:p>
            <w:pPr>
              <w:pStyle w:val="null3"/>
            </w:pPr>
            <w:r>
              <w:rPr>
                <w:sz w:val="21"/>
              </w:rPr>
              <w:t>6)</w:t>
            </w:r>
            <w:r>
              <w:rPr>
                <w:sz w:val="21"/>
              </w:rPr>
              <w:t>设备的</w:t>
            </w:r>
            <w:r>
              <w:rPr>
                <w:sz w:val="21"/>
              </w:rPr>
              <w:t>BMC</w:t>
            </w:r>
            <w:r>
              <w:rPr>
                <w:sz w:val="21"/>
              </w:rPr>
              <w:t>管理软件应能够按报警的严重程度进行区分；</w:t>
            </w:r>
          </w:p>
          <w:p>
            <w:pPr>
              <w:pStyle w:val="null3"/>
            </w:pPr>
            <w:r>
              <w:rPr>
                <w:sz w:val="21"/>
              </w:rPr>
              <w:t>7)</w:t>
            </w:r>
            <w:r>
              <w:rPr>
                <w:sz w:val="21"/>
              </w:rPr>
              <w:t>支持</w:t>
            </w:r>
            <w:r>
              <w:rPr>
                <w:sz w:val="21"/>
              </w:rPr>
              <w:t>IPMI2.0</w:t>
            </w:r>
            <w:r>
              <w:rPr>
                <w:sz w:val="21"/>
              </w:rPr>
              <w:t>、</w:t>
            </w:r>
            <w:r>
              <w:rPr>
                <w:sz w:val="21"/>
              </w:rPr>
              <w:t>SNMP</w:t>
            </w:r>
            <w:r>
              <w:rPr>
                <w:sz w:val="21"/>
              </w:rPr>
              <w:t>或</w:t>
            </w:r>
            <w:r>
              <w:rPr>
                <w:sz w:val="21"/>
              </w:rPr>
              <w:t>Redfish</w:t>
            </w:r>
            <w:r>
              <w:rPr>
                <w:sz w:val="21"/>
              </w:rPr>
              <w:t>等接口功能；</w:t>
            </w:r>
          </w:p>
          <w:p>
            <w:pPr>
              <w:pStyle w:val="null3"/>
            </w:pPr>
            <w:r>
              <w:rPr>
                <w:sz w:val="21"/>
              </w:rPr>
              <w:t>8)</w:t>
            </w:r>
            <w:r>
              <w:rPr>
                <w:sz w:val="21"/>
              </w:rPr>
              <w:t>支持键盘、鼠标和视频的重定向、文本控制台的重定向、远程虚拟媒体、高可靠的硬件监控和管理功能；</w:t>
            </w:r>
          </w:p>
          <w:p>
            <w:pPr>
              <w:pStyle w:val="null3"/>
            </w:pPr>
            <w:r>
              <w:rPr>
                <w:sz w:val="21"/>
              </w:rPr>
              <w:t>9)</w:t>
            </w:r>
            <w:r>
              <w:rPr>
                <w:sz w:val="21"/>
              </w:rPr>
              <w:t>支持基于网络开启、关闭和重启设备的功能，</w:t>
            </w:r>
            <w:r>
              <w:rPr>
                <w:sz w:val="21"/>
              </w:rPr>
              <w:t>并查询当前设备开机运行状态；</w:t>
            </w:r>
          </w:p>
          <w:p>
            <w:pPr>
              <w:pStyle w:val="null3"/>
            </w:pPr>
            <w:r>
              <w:rPr>
                <w:sz w:val="21"/>
              </w:rPr>
              <w:t>10)</w:t>
            </w:r>
            <w:r>
              <w:rPr>
                <w:sz w:val="21"/>
              </w:rPr>
              <w:t>支持故障提示功能，</w:t>
            </w:r>
            <w:r>
              <w:rPr>
                <w:sz w:val="21"/>
              </w:rPr>
              <w:t>并可通过接口读取服务器故障信息；</w:t>
            </w:r>
          </w:p>
          <w:p>
            <w:pPr>
              <w:pStyle w:val="null3"/>
            </w:pPr>
            <w:r>
              <w:rPr>
                <w:sz w:val="21"/>
              </w:rPr>
              <w:t>11)</w:t>
            </w:r>
            <w:r>
              <w:rPr>
                <w:sz w:val="21"/>
              </w:rPr>
              <w:t>支持基于网络的固件更新功能，包括</w:t>
            </w:r>
            <w:r>
              <w:rPr>
                <w:sz w:val="21"/>
              </w:rPr>
              <w:t xml:space="preserve">BMC </w:t>
            </w:r>
            <w:r>
              <w:rPr>
                <w:sz w:val="21"/>
              </w:rPr>
              <w:t>和</w:t>
            </w:r>
            <w:r>
              <w:rPr>
                <w:sz w:val="21"/>
              </w:rPr>
              <w:t>BIOS</w:t>
            </w:r>
            <w:r>
              <w:rPr>
                <w:sz w:val="21"/>
              </w:rPr>
              <w:t>等；</w:t>
            </w:r>
          </w:p>
          <w:p>
            <w:pPr>
              <w:pStyle w:val="null3"/>
            </w:pPr>
            <w:r>
              <w:rPr>
                <w:sz w:val="21"/>
              </w:rPr>
              <w:t>12)</w:t>
            </w:r>
            <w:r>
              <w:rPr>
                <w:sz w:val="21"/>
              </w:rPr>
              <w:t>支持基于网络安装操作系统的功能，</w:t>
            </w:r>
            <w:r>
              <w:rPr>
                <w:sz w:val="21"/>
              </w:rPr>
              <w:t>并可通过网络控制台访问设备；</w:t>
            </w:r>
          </w:p>
          <w:p>
            <w:pPr>
              <w:pStyle w:val="null3"/>
            </w:pPr>
            <w:r>
              <w:rPr>
                <w:sz w:val="21"/>
              </w:rPr>
              <w:t>13)</w:t>
            </w:r>
            <w:r>
              <w:rPr>
                <w:sz w:val="21"/>
              </w:rPr>
              <w:t>支持通过本地的硬盘或光驱等存储设备，</w:t>
            </w:r>
            <w:r>
              <w:rPr>
                <w:sz w:val="21"/>
              </w:rPr>
              <w:t>基于网络完成设备的操作系统安装功能；</w:t>
            </w:r>
          </w:p>
          <w:p>
            <w:pPr>
              <w:pStyle w:val="null3"/>
            </w:pPr>
            <w:r>
              <w:rPr>
                <w:sz w:val="21"/>
              </w:rPr>
              <w:t>14)</w:t>
            </w:r>
            <w:r>
              <w:rPr>
                <w:sz w:val="21"/>
              </w:rPr>
              <w:t>支持通过浏览器打开管理界面并登录功能；</w:t>
            </w:r>
          </w:p>
          <w:p>
            <w:pPr>
              <w:pStyle w:val="null3"/>
            </w:pPr>
            <w:r>
              <w:rPr>
                <w:sz w:val="21"/>
              </w:rPr>
              <w:t>15)</w:t>
            </w:r>
            <w:r>
              <w:rPr>
                <w:sz w:val="21"/>
              </w:rPr>
              <w:t>支持设置口令策略功能；</w:t>
            </w:r>
          </w:p>
          <w:p>
            <w:pPr>
              <w:pStyle w:val="null3"/>
            </w:pPr>
            <w:r>
              <w:rPr>
                <w:sz w:val="21"/>
              </w:rPr>
              <w:t>16)</w:t>
            </w:r>
            <w:r>
              <w:rPr>
                <w:sz w:val="21"/>
              </w:rPr>
              <w:t>支持访问权限设置功能，</w:t>
            </w:r>
            <w:r>
              <w:rPr>
                <w:sz w:val="21"/>
              </w:rPr>
              <w:t>并通过日志记录访问事件；</w:t>
            </w:r>
          </w:p>
          <w:p>
            <w:pPr>
              <w:pStyle w:val="null3"/>
            </w:pPr>
            <w:r>
              <w:rPr>
                <w:sz w:val="21"/>
              </w:rPr>
              <w:t>17)</w:t>
            </w:r>
            <w:r>
              <w:rPr>
                <w:sz w:val="21"/>
              </w:rPr>
              <w:t>支持对出厂默认的用户名及口令进行安全保护功能，并提供默认口令修改提示；</w:t>
            </w:r>
          </w:p>
          <w:p>
            <w:pPr>
              <w:pStyle w:val="null3"/>
            </w:pPr>
            <w:r>
              <w:rPr>
                <w:sz w:val="21"/>
              </w:rPr>
              <w:t>18)</w:t>
            </w:r>
            <w:r>
              <w:rPr>
                <w:sz w:val="21"/>
              </w:rPr>
              <w:t>支持读取设备主板的工作环境温度功能；</w:t>
            </w:r>
          </w:p>
          <w:p>
            <w:pPr>
              <w:pStyle w:val="null3"/>
            </w:pPr>
            <w:r>
              <w:rPr>
                <w:sz w:val="21"/>
              </w:rPr>
              <w:t>19)</w:t>
            </w:r>
            <w:r>
              <w:rPr>
                <w:sz w:val="21"/>
              </w:rPr>
              <w:t>支持读取服务器</w:t>
            </w:r>
            <w:r>
              <w:rPr>
                <w:sz w:val="21"/>
              </w:rPr>
              <w:t>CPU</w:t>
            </w:r>
            <w:r>
              <w:rPr>
                <w:sz w:val="21"/>
              </w:rPr>
              <w:t>等核心器件的温度功能；</w:t>
            </w:r>
          </w:p>
          <w:p>
            <w:pPr>
              <w:pStyle w:val="null3"/>
            </w:pPr>
            <w:r>
              <w:rPr>
                <w:sz w:val="21"/>
              </w:rPr>
              <w:t>20)</w:t>
            </w:r>
            <w:r>
              <w:rPr>
                <w:sz w:val="21"/>
              </w:rPr>
              <w:t>支持通过外部管理工具进行</w:t>
            </w:r>
            <w:r>
              <w:rPr>
                <w:sz w:val="21"/>
              </w:rPr>
              <w:t>BMC</w:t>
            </w:r>
            <w:r>
              <w:rPr>
                <w:sz w:val="21"/>
              </w:rPr>
              <w:t>参数设置的功能，并可基于网络通过外部管理工具对</w:t>
            </w:r>
            <w:r>
              <w:rPr>
                <w:sz w:val="21"/>
              </w:rPr>
              <w:t>BMC</w:t>
            </w:r>
            <w:r>
              <w:rPr>
                <w:sz w:val="21"/>
              </w:rPr>
              <w:t>进行管理；</w:t>
            </w:r>
          </w:p>
          <w:p>
            <w:pPr>
              <w:pStyle w:val="null3"/>
            </w:pPr>
            <w:r>
              <w:rPr>
                <w:sz w:val="21"/>
              </w:rPr>
              <w:t>21)</w:t>
            </w:r>
            <w:r>
              <w:rPr>
                <w:sz w:val="21"/>
              </w:rPr>
              <w:t>应支持固件版本查询、固件升级；</w:t>
            </w:r>
          </w:p>
          <w:p>
            <w:pPr>
              <w:pStyle w:val="null3"/>
            </w:pPr>
            <w:r>
              <w:rPr>
                <w:sz w:val="21"/>
              </w:rPr>
              <w:t>22)</w:t>
            </w:r>
            <w:r>
              <w:rPr>
                <w:sz w:val="21"/>
              </w:rPr>
              <w:t>支持基于网络实现开关机和复位控制的功能；</w:t>
            </w:r>
          </w:p>
          <w:p>
            <w:pPr>
              <w:pStyle w:val="null3"/>
            </w:pPr>
            <w:r>
              <w:rPr>
                <w:sz w:val="21"/>
              </w:rPr>
              <w:t>23)BMC</w:t>
            </w:r>
            <w:r>
              <w:rPr>
                <w:sz w:val="21"/>
              </w:rPr>
              <w:t>启动时间应不超过</w:t>
            </w:r>
            <w:r>
              <w:rPr>
                <w:sz w:val="21"/>
              </w:rPr>
              <w:t xml:space="preserve">180s, </w:t>
            </w:r>
            <w:r>
              <w:rPr>
                <w:sz w:val="21"/>
              </w:rPr>
              <w:t>实现功能包括网络、</w:t>
            </w:r>
            <w:r>
              <w:rPr>
                <w:sz w:val="21"/>
              </w:rPr>
              <w:t>IPMI</w:t>
            </w:r>
            <w:r>
              <w:rPr>
                <w:sz w:val="21"/>
              </w:rPr>
              <w:t>、散热、传感器服务可用；</w:t>
            </w:r>
          </w:p>
          <w:p>
            <w:pPr>
              <w:pStyle w:val="null3"/>
            </w:pPr>
            <w:r>
              <w:rPr>
                <w:sz w:val="21"/>
              </w:rPr>
              <w:t>24)</w:t>
            </w:r>
            <w:r>
              <w:rPr>
                <w:sz w:val="21"/>
              </w:rPr>
              <w:t>支持</w:t>
            </w:r>
            <w:r>
              <w:rPr>
                <w:sz w:val="21"/>
              </w:rPr>
              <w:t>BMC</w:t>
            </w:r>
            <w:r>
              <w:rPr>
                <w:sz w:val="21"/>
              </w:rPr>
              <w:t>固件设置的恢复出厂功能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BIOS</w:t>
            </w:r>
            <w:r>
              <w:rPr>
                <w:sz w:val="21"/>
              </w:rPr>
              <w:t>固件基础功能</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a) </w:t>
            </w:r>
            <w:r>
              <w:rPr>
                <w:sz w:val="21"/>
              </w:rPr>
              <w:t>支持查看固件版本、内存信息、主板信息、处理器信息和系统时间信息功能；</w:t>
            </w:r>
          </w:p>
          <w:p>
            <w:pPr>
              <w:pStyle w:val="null3"/>
            </w:pPr>
            <w:r>
              <w:rPr>
                <w:sz w:val="21"/>
              </w:rPr>
              <w:t xml:space="preserve">b) </w:t>
            </w:r>
            <w:r>
              <w:rPr>
                <w:sz w:val="21"/>
              </w:rPr>
              <w:t>支持上电初始化界面显示</w:t>
            </w:r>
            <w:r>
              <w:rPr>
                <w:sz w:val="21"/>
              </w:rPr>
              <w:t xml:space="preserve">CPU </w:t>
            </w:r>
            <w:r>
              <w:rPr>
                <w:sz w:val="21"/>
              </w:rPr>
              <w:t>信息、内存信息、固件版本和部分快捷键信息功能；</w:t>
            </w:r>
          </w:p>
          <w:p>
            <w:pPr>
              <w:pStyle w:val="null3"/>
            </w:pPr>
            <w:r>
              <w:rPr>
                <w:sz w:val="21"/>
              </w:rPr>
              <w:t xml:space="preserve">c) </w:t>
            </w:r>
            <w:r>
              <w:rPr>
                <w:sz w:val="21"/>
              </w:rPr>
              <w:t>支持设置界面中英文显示切换功能；</w:t>
            </w:r>
          </w:p>
          <w:p>
            <w:pPr>
              <w:pStyle w:val="null3"/>
            </w:pPr>
            <w:r>
              <w:rPr>
                <w:sz w:val="21"/>
              </w:rPr>
              <w:t xml:space="preserve">d) </w:t>
            </w:r>
            <w:r>
              <w:rPr>
                <w:sz w:val="21"/>
              </w:rPr>
              <w:t>支持查看</w:t>
            </w:r>
            <w:r>
              <w:rPr>
                <w:sz w:val="21"/>
              </w:rPr>
              <w:t>PCIe</w:t>
            </w:r>
            <w:r>
              <w:rPr>
                <w:sz w:val="21"/>
              </w:rPr>
              <w:t>设备信息，</w:t>
            </w:r>
            <w:r>
              <w:rPr>
                <w:sz w:val="21"/>
              </w:rPr>
              <w:t>SATA</w:t>
            </w:r>
            <w:r>
              <w:rPr>
                <w:sz w:val="21"/>
              </w:rPr>
              <w:t>设备信息功能；</w:t>
            </w:r>
          </w:p>
          <w:p>
            <w:pPr>
              <w:pStyle w:val="null3"/>
            </w:pPr>
            <w:r>
              <w:rPr>
                <w:sz w:val="21"/>
              </w:rPr>
              <w:t xml:space="preserve">e) </w:t>
            </w:r>
            <w:r>
              <w:rPr>
                <w:sz w:val="21"/>
              </w:rPr>
              <w:t>支持操作系统安装和引导功能，应并向操作系统提供计算机主板信息和服务接口；</w:t>
            </w:r>
          </w:p>
          <w:p>
            <w:pPr>
              <w:pStyle w:val="null3"/>
            </w:pPr>
            <w:r>
              <w:rPr>
                <w:sz w:val="21"/>
              </w:rPr>
              <w:t xml:space="preserve">f) </w:t>
            </w:r>
            <w:r>
              <w:rPr>
                <w:sz w:val="21"/>
              </w:rPr>
              <w:t>支持设置启动顺序，</w:t>
            </w:r>
            <w:r>
              <w:rPr>
                <w:sz w:val="21"/>
              </w:rPr>
              <w:t>并按照设置的启动顺序启动功能；</w:t>
            </w:r>
          </w:p>
          <w:p>
            <w:pPr>
              <w:pStyle w:val="null3"/>
            </w:pPr>
            <w:r>
              <w:rPr>
                <w:sz w:val="21"/>
              </w:rPr>
              <w:t xml:space="preserve">g) </w:t>
            </w:r>
            <w:r>
              <w:rPr>
                <w:sz w:val="21"/>
              </w:rPr>
              <w:t>支持安全启动功能；</w:t>
            </w:r>
          </w:p>
          <w:p>
            <w:pPr>
              <w:pStyle w:val="null3"/>
            </w:pPr>
            <w:r>
              <w:rPr>
                <w:sz w:val="21"/>
              </w:rPr>
              <w:t xml:space="preserve">h) </w:t>
            </w:r>
            <w:r>
              <w:rPr>
                <w:sz w:val="21"/>
              </w:rPr>
              <w:t>支持设置口令、修改口令、验证口令功能；</w:t>
            </w:r>
          </w:p>
          <w:p>
            <w:pPr>
              <w:pStyle w:val="null3"/>
            </w:pPr>
            <w:r>
              <w:rPr>
                <w:sz w:val="21"/>
              </w:rPr>
              <w:t xml:space="preserve">i) </w:t>
            </w:r>
            <w:r>
              <w:rPr>
                <w:sz w:val="21"/>
              </w:rPr>
              <w:t>支持板载显示控制或独立显卡的显示控制功能；</w:t>
            </w:r>
          </w:p>
          <w:p>
            <w:pPr>
              <w:pStyle w:val="null3"/>
            </w:pPr>
            <w:r>
              <w:rPr>
                <w:sz w:val="21"/>
              </w:rPr>
              <w:t xml:space="preserve">j) </w:t>
            </w:r>
            <w:r>
              <w:rPr>
                <w:sz w:val="21"/>
              </w:rPr>
              <w:t>支持</w:t>
            </w:r>
            <w:r>
              <w:rPr>
                <w:sz w:val="21"/>
              </w:rPr>
              <w:t>RAID</w:t>
            </w:r>
            <w:r>
              <w:rPr>
                <w:sz w:val="21"/>
              </w:rPr>
              <w:t>识别和启动功能；</w:t>
            </w:r>
          </w:p>
          <w:p>
            <w:pPr>
              <w:pStyle w:val="null3"/>
            </w:pPr>
            <w:r>
              <w:rPr>
                <w:sz w:val="21"/>
              </w:rPr>
              <w:t xml:space="preserve">k) </w:t>
            </w:r>
            <w:r>
              <w:rPr>
                <w:sz w:val="21"/>
              </w:rPr>
              <w:t>支持串口重定向功能；</w:t>
            </w:r>
          </w:p>
          <w:p>
            <w:pPr>
              <w:pStyle w:val="null3"/>
            </w:pPr>
            <w:r>
              <w:rPr>
                <w:sz w:val="21"/>
              </w:rPr>
              <w:t xml:space="preserve">1) </w:t>
            </w:r>
            <w:r>
              <w:rPr>
                <w:sz w:val="21"/>
              </w:rPr>
              <w:t>支持固件更新功能；</w:t>
            </w:r>
          </w:p>
          <w:p>
            <w:pPr>
              <w:pStyle w:val="null3"/>
            </w:pPr>
            <w:r>
              <w:rPr>
                <w:sz w:val="21"/>
              </w:rPr>
              <w:t xml:space="preserve">m) </w:t>
            </w:r>
            <w:r>
              <w:rPr>
                <w:sz w:val="21"/>
              </w:rPr>
              <w:t>支持</w:t>
            </w:r>
            <w:r>
              <w:rPr>
                <w:sz w:val="21"/>
              </w:rPr>
              <w:t xml:space="preserve">BIOS </w:t>
            </w:r>
            <w:r>
              <w:rPr>
                <w:sz w:val="21"/>
              </w:rPr>
              <w:t>固件设置的恢复出厂功能；</w:t>
            </w:r>
          </w:p>
          <w:p>
            <w:pPr>
              <w:pStyle w:val="null3"/>
            </w:pPr>
            <w:r>
              <w:rPr>
                <w:sz w:val="21"/>
              </w:rPr>
              <w:t xml:space="preserve">n) </w:t>
            </w:r>
            <w:r>
              <w:rPr>
                <w:sz w:val="21"/>
              </w:rPr>
              <w:t>支持网络引导启用和关闭功能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★远程控制</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支持远程关机和重新启动功能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7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操作</w:t>
            </w:r>
          </w:p>
          <w:p>
            <w:pPr>
              <w:pStyle w:val="null3"/>
            </w:pPr>
            <w:r>
              <w:rPr>
                <w:sz w:val="21"/>
              </w:rPr>
              <w:t>系统及驱动功能</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★操作系统及驱动的升级</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支持通过网络、闪存盘对操作系统、驱动进行升级</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★操作系统功能</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a) </w:t>
            </w:r>
            <w:r>
              <w:rPr>
                <w:sz w:val="21"/>
              </w:rPr>
              <w:t>支持访问控制、安全审计、网络接入鉴别等功能；</w:t>
            </w:r>
          </w:p>
          <w:p>
            <w:pPr>
              <w:pStyle w:val="null3"/>
            </w:pPr>
            <w:r>
              <w:rPr>
                <w:sz w:val="21"/>
              </w:rPr>
              <w:t xml:space="preserve">b) </w:t>
            </w:r>
            <w:r>
              <w:rPr>
                <w:sz w:val="21"/>
              </w:rPr>
              <w:t>操作系统其他功能应满足操作系统政府采购需求标准中加★的指标要求</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中文信息处理功能</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★中文信息处理</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符合</w:t>
            </w:r>
            <w:r>
              <w:rPr>
                <w:sz w:val="21"/>
              </w:rPr>
              <w:t>GB 18030</w:t>
            </w:r>
            <w:r>
              <w:rPr>
                <w:sz w:val="21"/>
              </w:rPr>
              <w:t>的有关规定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安全要求</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关键部件安全要求</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★关键部件安全要求</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CPU</w:t>
            </w:r>
            <w:r>
              <w:rPr>
                <w:sz w:val="21"/>
              </w:rPr>
              <w:t>和操作系统等关键部件应当符合安全可靠测评要求，通过政府有关部门指定的中国信息安全测评中心和国家保密科技测评中心网站查看安全可靠测评结果。</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安全要求</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固件安全要求</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★故障检测</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支持故障检测功能，可以检测到具体的</w:t>
            </w:r>
            <w:r>
              <w:rPr>
                <w:sz w:val="21"/>
              </w:rPr>
              <w:t>FRU</w:t>
            </w:r>
            <w:r>
              <w:rPr>
                <w:sz w:val="21"/>
              </w:rPr>
              <w:t>（内存、硬盘等）的故障并发出告警</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安全要求</w:t>
            </w:r>
          </w:p>
        </w:tc>
        <w:tc>
          <w:tcPr>
            <w:tcW w:type="dxa" w:w="7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系统安全要求</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★弱口令字典检查</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支持弱口令字典检查功能，出现在弱口令字典中的字符串不能被设置为用户口令</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安全要求</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★白名单访问控制</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支持基于时间、</w:t>
            </w:r>
            <w:r>
              <w:rPr>
                <w:sz w:val="21"/>
              </w:rPr>
              <w:t>IP</w:t>
            </w:r>
            <w:r>
              <w:rPr>
                <w:sz w:val="21"/>
              </w:rPr>
              <w:t>或</w:t>
            </w:r>
            <w:r>
              <w:rPr>
                <w:sz w:val="21"/>
              </w:rPr>
              <w:t>MAC</w:t>
            </w:r>
            <w:r>
              <w:rPr>
                <w:sz w:val="21"/>
              </w:rPr>
              <w:t>白名单访问控制</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安全要求</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★二次鉴别</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支持二次鉴别功能。对于用户配置、权限配置、公钥导入等重要的管理操作，已登录用户应通过二次鉴别后，才能执行操作</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安全要求</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★密码证书安全加密存储</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支持对带外管理系统中的用户口令和证书等敏感信息进行加密存储，禁止使用私有的和业界已知不安全的密码算法</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安全要求</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★敏感信息安全加密传输</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支持使用安全的传输加密协议</w:t>
            </w:r>
            <w:r>
              <w:rPr>
                <w:sz w:val="21"/>
              </w:rPr>
              <w:t xml:space="preserve"> (</w:t>
            </w:r>
            <w:r>
              <w:rPr>
                <w:sz w:val="21"/>
              </w:rPr>
              <w:t>如</w:t>
            </w:r>
            <w:r>
              <w:rPr>
                <w:sz w:val="21"/>
              </w:rPr>
              <w:t>SSH</w:t>
            </w:r>
            <w:r>
              <w:rPr>
                <w:sz w:val="21"/>
              </w:rPr>
              <w:t>或</w:t>
            </w:r>
            <w:r>
              <w:rPr>
                <w:sz w:val="21"/>
              </w:rPr>
              <w:t>HTTPS</w:t>
            </w:r>
            <w:r>
              <w:rPr>
                <w:sz w:val="21"/>
              </w:rPr>
              <w:t>等</w:t>
            </w:r>
            <w:r>
              <w:rPr>
                <w:sz w:val="21"/>
              </w:rPr>
              <w:t>)</w:t>
            </w:r>
            <w:r>
              <w:rPr>
                <w:sz w:val="21"/>
              </w:rPr>
              <w:t>传输用户的敏感信息</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安全要求</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信息安全要求</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★研发过程安全</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供应商承诺，</w:t>
            </w:r>
            <w:r>
              <w:rPr>
                <w:sz w:val="21"/>
              </w:rPr>
              <w:t>生产商已建立从需求、设计、开发、测试、维护端到端的开发流程管理机制，输出和保存开发流程中每个阶段的产品需求清单、设计文档、开发文档、测试记录等材料，保证各个流程可追溯</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安全要求</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物理安全</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★物理安全</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安全要求应符合</w:t>
            </w:r>
            <w:r>
              <w:rPr>
                <w:sz w:val="21"/>
              </w:rPr>
              <w:t xml:space="preserve">GB 4943.1 </w:t>
            </w:r>
            <w:r>
              <w:rPr>
                <w:sz w:val="21"/>
              </w:rPr>
              <w:t>的规定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安全要求</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限用物质的限量要求</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★限用物质的限量要求</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限用物质的限量应符合</w:t>
            </w:r>
            <w:r>
              <w:rPr>
                <w:sz w:val="21"/>
              </w:rPr>
              <w:t>GB/T 26572</w:t>
            </w:r>
            <w:r>
              <w:rPr>
                <w:sz w:val="21"/>
              </w:rPr>
              <w:t>的要求</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7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CPU</w:t>
            </w:r>
            <w:r>
              <w:rPr>
                <w:sz w:val="21"/>
              </w:rPr>
              <w:t>性能</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CPU</w:t>
            </w:r>
            <w:r>
              <w:rPr>
                <w:sz w:val="21"/>
              </w:rPr>
              <w:t>主频</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2.6GHz</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★单</w:t>
            </w:r>
            <w:r>
              <w:rPr>
                <w:sz w:val="21"/>
              </w:rPr>
              <w:t>CPU</w:t>
            </w:r>
            <w:r>
              <w:rPr>
                <w:sz w:val="21"/>
              </w:rPr>
              <w:t>核数</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48</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★单</w:t>
            </w:r>
            <w:r>
              <w:rPr>
                <w:sz w:val="21"/>
              </w:rPr>
              <w:t>CPU</w:t>
            </w:r>
            <w:r>
              <w:rPr>
                <w:sz w:val="21"/>
              </w:rPr>
              <w:t>末级缓存容量</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256MB</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7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内存性能</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★单内存模块容量</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64GB</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★内存速率</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4800MT/s</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显卡</w:t>
            </w:r>
          </w:p>
          <w:p>
            <w:pPr>
              <w:pStyle w:val="null3"/>
            </w:pPr>
            <w:r>
              <w:rPr>
                <w:sz w:val="21"/>
              </w:rPr>
              <w:t>性能</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★独立显卡性能</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显卡显示芯片核心频率≥</w:t>
            </w:r>
            <w:r>
              <w:rPr>
                <w:sz w:val="21"/>
              </w:rPr>
              <w:t>855MHz</w:t>
            </w:r>
            <w:r>
              <w:rPr>
                <w:sz w:val="21"/>
              </w:rPr>
              <w:t>；</w:t>
            </w:r>
          </w:p>
          <w:p>
            <w:pPr>
              <w:pStyle w:val="null3"/>
            </w:pPr>
            <w:r>
              <w:rPr>
                <w:sz w:val="21"/>
              </w:rPr>
              <w:t>显存等效频率≥</w:t>
            </w:r>
            <w:r>
              <w:rPr>
                <w:sz w:val="21"/>
              </w:rPr>
              <w:t>30000MT/s</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RAID</w:t>
            </w:r>
            <w:r>
              <w:rPr>
                <w:sz w:val="21"/>
              </w:rPr>
              <w:t>卡性能</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RAID</w:t>
            </w:r>
            <w:r>
              <w:rPr>
                <w:sz w:val="21"/>
              </w:rPr>
              <w:t>卡缓存容量大小</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配备</w:t>
            </w:r>
            <w:r>
              <w:rPr>
                <w:sz w:val="21"/>
              </w:rPr>
              <w:t xml:space="preserve">RAID </w:t>
            </w:r>
            <w:r>
              <w:rPr>
                <w:sz w:val="21"/>
              </w:rPr>
              <w:t>卡且</w:t>
            </w:r>
            <w:r>
              <w:rPr>
                <w:sz w:val="21"/>
              </w:rPr>
              <w:t>RAID</w:t>
            </w:r>
            <w:r>
              <w:rPr>
                <w:sz w:val="21"/>
              </w:rPr>
              <w:t>卡有缓存容量，容量不少于</w:t>
            </w:r>
            <w:r>
              <w:rPr>
                <w:sz w:val="21"/>
              </w:rPr>
              <w:t>4GB</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电源能耗</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★电源能耗</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符合</w:t>
            </w:r>
            <w:r>
              <w:rPr>
                <w:sz w:val="21"/>
              </w:rPr>
              <w:t>GB/T 9813.3</w:t>
            </w:r>
            <w:r>
              <w:rPr>
                <w:sz w:val="21"/>
              </w:rPr>
              <w:t>的有关规定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兼容要求</w:t>
            </w:r>
          </w:p>
        </w:tc>
        <w:tc>
          <w:tcPr>
            <w:tcW w:type="dxa" w:w="7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部件兼容性要求</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★内存兼容性</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适配</w:t>
            </w:r>
            <w:r>
              <w:rPr>
                <w:sz w:val="21"/>
              </w:rPr>
              <w:t>3</w:t>
            </w:r>
            <w:r>
              <w:rPr>
                <w:sz w:val="21"/>
              </w:rPr>
              <w:t>种及以上厂商的内存产品，且均不低于产品支持的内存规格</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兼容要求</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★固态存储兼容性</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适配</w:t>
            </w:r>
            <w:r>
              <w:rPr>
                <w:sz w:val="21"/>
              </w:rPr>
              <w:t>3</w:t>
            </w:r>
            <w:r>
              <w:rPr>
                <w:sz w:val="21"/>
              </w:rPr>
              <w:t>种或以上厂商的固态存储产品，且均不低于产品支持的固态存储设备规格</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兼容要求</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★网卡兼容性</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网卡应适配两种或以上厂商产品</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兼容要求</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★功能卡兼容性</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内置或适配符合</w:t>
            </w:r>
            <w:r>
              <w:rPr>
                <w:sz w:val="21"/>
              </w:rPr>
              <w:t>PCIe</w:t>
            </w:r>
            <w:r>
              <w:rPr>
                <w:sz w:val="21"/>
              </w:rPr>
              <w:t>的功能卡，如：网络功能卡、存储功能卡及图形显示功能卡</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兼容要求</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外设兼容性</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★外设兼容性</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兼容多种主流生产商的外部设备，包括显示器、键盘、鼠标、闪存盘、移动硬盘、</w:t>
            </w:r>
            <w:r>
              <w:rPr>
                <w:sz w:val="21"/>
              </w:rPr>
              <w:t>USB</w:t>
            </w:r>
            <w:r>
              <w:rPr>
                <w:sz w:val="21"/>
              </w:rPr>
              <w:t>光驱及</w:t>
            </w:r>
            <w:r>
              <w:rPr>
                <w:sz w:val="21"/>
              </w:rPr>
              <w:t>KVM</w:t>
            </w:r>
            <w:r>
              <w:rPr>
                <w:sz w:val="21"/>
              </w:rPr>
              <w:t>等，要求使用不同厂商的外部设备时，</w:t>
            </w:r>
            <w:r>
              <w:rPr>
                <w:sz w:val="21"/>
              </w:rPr>
              <w:t>系统均能正常识别和安装驱动</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兼容要求</w:t>
            </w:r>
          </w:p>
        </w:tc>
        <w:tc>
          <w:tcPr>
            <w:tcW w:type="dxa" w:w="7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软件兼容性</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★数据库兼容</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兼容</w:t>
            </w:r>
            <w:r>
              <w:rPr>
                <w:sz w:val="21"/>
              </w:rPr>
              <w:t>3</w:t>
            </w:r>
            <w:r>
              <w:rPr>
                <w:sz w:val="21"/>
              </w:rPr>
              <w:t>个及以上厂商的数据库产品</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兼容要求</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★中间件兼容</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兼容</w:t>
            </w:r>
            <w:r>
              <w:rPr>
                <w:sz w:val="21"/>
              </w:rPr>
              <w:t>3</w:t>
            </w:r>
            <w:r>
              <w:rPr>
                <w:sz w:val="21"/>
              </w:rPr>
              <w:t>个及以上厂商的中间件产品</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兼容要求</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★平台软件兼容</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兼容</w:t>
            </w:r>
            <w:r>
              <w:rPr>
                <w:sz w:val="21"/>
              </w:rPr>
              <w:t>3</w:t>
            </w:r>
            <w:r>
              <w:rPr>
                <w:sz w:val="21"/>
              </w:rPr>
              <w:t>个及以上厂商的大数据平台</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可靠性要求</w:t>
            </w:r>
          </w:p>
        </w:tc>
        <w:tc>
          <w:tcPr>
            <w:tcW w:type="dxa" w:w="7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整机可靠性要求</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★整机可靠性</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MTBF(m1)</w:t>
            </w:r>
            <w:r>
              <w:rPr>
                <w:sz w:val="21"/>
              </w:rPr>
              <w:t>≥</w:t>
            </w:r>
            <w:r>
              <w:rPr>
                <w:sz w:val="21"/>
              </w:rPr>
              <w:t>10</w:t>
            </w:r>
            <w:r>
              <w:rPr>
                <w:sz w:val="21"/>
              </w:rPr>
              <w:t>万小时</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可靠性要求</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★风扇可靠性</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风扇寿命应不低于</w:t>
            </w:r>
            <w:r>
              <w:rPr>
                <w:sz w:val="21"/>
              </w:rPr>
              <w:t>40000h</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可靠性要求</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★部件可靠性</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支持硬盘、电源、风扇热插拔（内置风扇除外）</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包装及运输要求</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包装及运输要求</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★标志、包装、运输和贮存</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符合</w:t>
            </w:r>
            <w:r>
              <w:rPr>
                <w:sz w:val="21"/>
              </w:rPr>
              <w:t>GB/T 9813.3</w:t>
            </w:r>
            <w:r>
              <w:rPr>
                <w:sz w:val="21"/>
              </w:rPr>
              <w:t>和商品包装政府采购需求标准的相关规定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软件服务</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▲预装操作系统</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预装正版银河麒麟高级服务器操作系统</w:t>
            </w:r>
            <w:r>
              <w:rPr>
                <w:sz w:val="21"/>
              </w:rPr>
              <w:t xml:space="preserve"> V10 SP3</w:t>
            </w:r>
          </w:p>
          <w:p>
            <w:pPr>
              <w:pStyle w:val="null3"/>
            </w:pPr>
            <w:r>
              <w:rPr>
                <w:sz w:val="21"/>
              </w:rPr>
              <w:t>（内核版本</w:t>
            </w:r>
            <w:r>
              <w:rPr>
                <w:sz w:val="21"/>
              </w:rPr>
              <w:t>4.19</w:t>
            </w:r>
            <w:r>
              <w:rPr>
                <w:sz w:val="21"/>
              </w:rPr>
              <w:t>），含不少于</w:t>
            </w:r>
            <w:r>
              <w:rPr>
                <w:sz w:val="21"/>
              </w:rPr>
              <w:t>3</w:t>
            </w:r>
            <w:r>
              <w:rPr>
                <w:sz w:val="21"/>
              </w:rPr>
              <w:t>年升级服务</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7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服务响应</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★服务响应</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a) </w:t>
            </w:r>
            <w:r>
              <w:rPr>
                <w:sz w:val="21"/>
              </w:rPr>
              <w:t>提供电话、电子邮件、远程连接等多种形式服务；</w:t>
            </w:r>
          </w:p>
          <w:p>
            <w:pPr>
              <w:pStyle w:val="null3"/>
            </w:pPr>
            <w:r>
              <w:rPr>
                <w:sz w:val="21"/>
              </w:rPr>
              <w:t xml:space="preserve">b) </w:t>
            </w:r>
            <w:r>
              <w:rPr>
                <w:sz w:val="21"/>
              </w:rPr>
              <w:t>提供同城</w:t>
            </w:r>
            <w:r>
              <w:rPr>
                <w:sz w:val="21"/>
              </w:rPr>
              <w:t>4h</w:t>
            </w:r>
            <w:r>
              <w:rPr>
                <w:sz w:val="21"/>
              </w:rPr>
              <w:t>、异地</w:t>
            </w:r>
            <w:r>
              <w:rPr>
                <w:sz w:val="21"/>
              </w:rPr>
              <w:t>12h</w:t>
            </w:r>
            <w:r>
              <w:rPr>
                <w:sz w:val="21"/>
              </w:rPr>
              <w:t>技术响应服务，</w:t>
            </w:r>
            <w:r>
              <w:rPr>
                <w:sz w:val="21"/>
              </w:rPr>
              <w:t>2</w:t>
            </w:r>
            <w:r>
              <w:rPr>
                <w:sz w:val="21"/>
              </w:rPr>
              <w:t>个工作日解决问题，</w:t>
            </w:r>
            <w:r>
              <w:rPr>
                <w:sz w:val="21"/>
              </w:rPr>
              <w:t>对于未能解决的问题和故障应提供可行的升级方案，并提供周转设备；</w:t>
            </w:r>
          </w:p>
          <w:p>
            <w:pPr>
              <w:pStyle w:val="null3"/>
            </w:pPr>
            <w:r>
              <w:rPr>
                <w:sz w:val="21"/>
              </w:rPr>
              <w:t xml:space="preserve">c) </w:t>
            </w:r>
            <w:r>
              <w:rPr>
                <w:sz w:val="21"/>
              </w:rPr>
              <w:t>建立全国技术服务体系和服务团体，符合专业服务体系标准要求，提供原厂中文服务；</w:t>
            </w:r>
          </w:p>
          <w:p>
            <w:pPr>
              <w:pStyle w:val="null3"/>
            </w:pPr>
            <w:r>
              <w:rPr>
                <w:sz w:val="21"/>
              </w:rPr>
              <w:t xml:space="preserve">d) </w:t>
            </w:r>
            <w:r>
              <w:rPr>
                <w:sz w:val="21"/>
              </w:rPr>
              <w:t>服务周期内提供产品的维修、换件（硬盘不返还）和升级服务</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★培训服务</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供应商提供培训材料、产品手册、培训视频等培训相关内容</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服务周期</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★服务周期</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a) </w:t>
            </w:r>
            <w:r>
              <w:rPr>
                <w:sz w:val="21"/>
              </w:rPr>
              <w:t>产品免费服务周期（含换件和维修）应不小于</w:t>
            </w:r>
            <w:r>
              <w:rPr>
                <w:sz w:val="21"/>
              </w:rPr>
              <w:t>3</w:t>
            </w:r>
            <w:r>
              <w:rPr>
                <w:sz w:val="21"/>
              </w:rPr>
              <w:t>年；</w:t>
            </w:r>
          </w:p>
          <w:p>
            <w:pPr>
              <w:pStyle w:val="null3"/>
            </w:pPr>
            <w:r>
              <w:rPr>
                <w:sz w:val="21"/>
              </w:rPr>
              <w:t xml:space="preserve">b) </w:t>
            </w:r>
            <w:r>
              <w:rPr>
                <w:sz w:val="21"/>
              </w:rPr>
              <w:t>设备停产后继续提供质量保障服务</w:t>
            </w:r>
            <w:r>
              <w:rPr>
                <w:sz w:val="21"/>
              </w:rPr>
              <w:t>(</w:t>
            </w:r>
            <w:r>
              <w:rPr>
                <w:sz w:val="21"/>
              </w:rPr>
              <w:t>含备品备件</w:t>
            </w:r>
            <w:r>
              <w:rPr>
                <w:sz w:val="21"/>
              </w:rPr>
              <w:t xml:space="preserve">) </w:t>
            </w:r>
            <w:r>
              <w:rPr>
                <w:sz w:val="21"/>
              </w:rPr>
              <w:t>，</w:t>
            </w:r>
            <w:r>
              <w:rPr>
                <w:sz w:val="21"/>
              </w:rPr>
              <w:t>服务终止时间与最后一批设备交付时间间隔不低于</w:t>
            </w:r>
            <w:r>
              <w:rPr>
                <w:sz w:val="21"/>
              </w:rPr>
              <w:t>6</w:t>
            </w:r>
            <w:r>
              <w:rPr>
                <w:sz w:val="21"/>
              </w:rPr>
              <w:t>年；</w:t>
            </w:r>
          </w:p>
          <w:p>
            <w:pPr>
              <w:pStyle w:val="null3"/>
            </w:pPr>
            <w:r>
              <w:rPr>
                <w:sz w:val="21"/>
              </w:rPr>
              <w:t xml:space="preserve">c) </w:t>
            </w:r>
            <w:r>
              <w:rPr>
                <w:sz w:val="21"/>
              </w:rPr>
              <w:t>产品停止服务时间应提前</w:t>
            </w:r>
            <w:r>
              <w:rPr>
                <w:sz w:val="21"/>
              </w:rPr>
              <w:t>1</w:t>
            </w:r>
            <w:r>
              <w:rPr>
                <w:sz w:val="21"/>
              </w:rPr>
              <w:t>年告知客户；</w:t>
            </w:r>
          </w:p>
          <w:p>
            <w:pPr>
              <w:pStyle w:val="null3"/>
            </w:pPr>
            <w:r>
              <w:rPr>
                <w:sz w:val="21"/>
              </w:rPr>
              <w:t xml:space="preserve">d) </w:t>
            </w:r>
            <w:r>
              <w:rPr>
                <w:sz w:val="21"/>
              </w:rPr>
              <w:t>产品发布日期需在随机文件中明确</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7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服务工具要求</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★工具要求</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供应商提供设置服务器硬件、辅助操作系统安装等功能的辅助工具和管理软件。且随附软件应具有合法授权或版权</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★驱动安装升级指引</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供应商提供出厂安装的配件所需的驱动程序，</w:t>
            </w:r>
            <w:r>
              <w:rPr>
                <w:sz w:val="21"/>
              </w:rPr>
              <w:t>形式包括但不限于驱动光盘、驱动下载链接等。其他配件应提供指引</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★管理软件</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具备资源管理、系统管理、性能监控、健康监控、基于网络控制、报警设置功能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7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增值服务</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★厂家升级产品软件与扩容服务</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供应商提供原厂级的部件</w:t>
            </w:r>
            <w:r>
              <w:rPr>
                <w:sz w:val="21"/>
              </w:rPr>
              <w:t>/</w:t>
            </w:r>
            <w:r>
              <w:rPr>
                <w:sz w:val="21"/>
              </w:rPr>
              <w:t>软件产品升级和扩容能力</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★提供上门服务</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免费服务周期（含换件和维修）≥</w:t>
            </w:r>
            <w:r>
              <w:rPr>
                <w:sz w:val="21"/>
              </w:rPr>
              <w:t>3</w:t>
            </w:r>
            <w:r>
              <w:rPr>
                <w:sz w:val="21"/>
              </w:rPr>
              <w:t>年，免费服务周期内硬盘损坏更换免回收；供应商具备提供上门服务的能力</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供保要求</w:t>
            </w:r>
          </w:p>
        </w:tc>
        <w:tc>
          <w:tcPr>
            <w:tcW w:type="dxa" w:w="7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供应链质量</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★抗干扰性</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当产品部件出现供应风险时，</w:t>
            </w:r>
            <w:r>
              <w:rPr>
                <w:sz w:val="21"/>
              </w:rPr>
              <w:t>应通知客户并提供风险应对方案确保产品的服务保障，</w:t>
            </w:r>
            <w:r>
              <w:rPr>
                <w:sz w:val="21"/>
              </w:rPr>
              <w:t>必要时应停止相关受影响产品的销售</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供保要求</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★供应能力证明</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供应商提供供应链稳定承诺书，</w:t>
            </w:r>
            <w:r>
              <w:rPr>
                <w:sz w:val="21"/>
              </w:rPr>
              <w:t>确保产品的部件在产品服务周期内稳定供货</w:t>
            </w:r>
          </w:p>
        </w:tc>
      </w:tr>
      <w:tr>
        <w:tc>
          <w:tcPr>
            <w:tcW w:type="dxa" w:w="830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“★”条款说明：供应商在投标时出具关于所提供的“服务器”是否满足采购文件要求的承诺函（上述“★”指标应逐项响应，可参照</w:t>
            </w:r>
            <w:r>
              <w:rPr>
                <w:sz w:val="21"/>
              </w:rPr>
              <w:t>本招标文件第六章</w:t>
            </w:r>
            <w:r>
              <w:rPr>
                <w:sz w:val="21"/>
              </w:rPr>
              <w:t>中《</w:t>
            </w:r>
            <w:r>
              <w:rPr>
                <w:sz w:val="21"/>
              </w:rPr>
              <w:t>承诺函》格式）。</w:t>
            </w:r>
          </w:p>
          <w:p>
            <w:pPr>
              <w:pStyle w:val="null3"/>
              <w:jc w:val="left"/>
            </w:pPr>
            <w:r>
              <w:rPr>
                <w:sz w:val="21"/>
              </w:rPr>
              <w:t>提醒：供应商应实事求是响应本项目所列要求，如有虚假承诺，采购人将以供应商违反《中华人民共和国政府采购法》第七十七条第一款规定“提供虚假材料谋取中标、成交的”情况上报政府采购监管部门，供应商将被列入不良行为记录名单，在一至三年内禁止参加政府采购活动。</w:t>
            </w:r>
          </w:p>
        </w:tc>
      </w:tr>
    </w:tbl>
    <w:p>
      <w:pPr>
        <w:pStyle w:val="null3"/>
        <w:jc w:val="both"/>
      </w:pPr>
      <w:r>
        <w:rPr>
          <w:sz w:val="21"/>
          <w:b/>
        </w:rPr>
        <w:t>2.</w:t>
      </w:r>
      <w:r>
        <w:rPr>
          <w:sz w:val="21"/>
          <w:b/>
        </w:rPr>
        <w:t>货物要求</w:t>
      </w:r>
    </w:p>
    <w:p>
      <w:pPr>
        <w:pStyle w:val="null3"/>
        <w:ind w:firstLine="420"/>
        <w:jc w:val="both"/>
      </w:pPr>
      <w:r>
        <w:rPr>
          <w:sz w:val="21"/>
        </w:rPr>
        <w:t>（</w:t>
      </w:r>
      <w:r>
        <w:rPr>
          <w:sz w:val="21"/>
        </w:rPr>
        <w:t>1</w:t>
      </w:r>
      <w:r>
        <w:rPr>
          <w:sz w:val="21"/>
        </w:rPr>
        <w:t>）货物为全新、未使用过的原装合格正品，无污染，表面无划损，无任何缺陷隐患、质量瑕疵，完全符合生产厂家且不低于国家规定的质量、规格和性能的要求。</w:t>
      </w:r>
    </w:p>
    <w:p>
      <w:pPr>
        <w:pStyle w:val="null3"/>
        <w:ind w:firstLine="420"/>
        <w:jc w:val="both"/>
      </w:pPr>
      <w:r>
        <w:rPr>
          <w:sz w:val="21"/>
        </w:rPr>
        <w:t>（</w:t>
      </w:r>
      <w:r>
        <w:rPr>
          <w:sz w:val="21"/>
        </w:rPr>
        <w:t>2</w:t>
      </w:r>
      <w:r>
        <w:rPr>
          <w:sz w:val="21"/>
        </w:rPr>
        <w:t>）货物的生产、销售均符合法律法规的规定，产品须按国家标准或行业标准取得生产、销售等相关证书或者许可，保证货物在中国境内可依常规安全合法使用。</w:t>
      </w:r>
    </w:p>
    <w:p>
      <w:pPr>
        <w:pStyle w:val="null3"/>
        <w:ind w:firstLine="420"/>
        <w:jc w:val="both"/>
      </w:pPr>
      <w:r>
        <w:rPr>
          <w:sz w:val="21"/>
        </w:rPr>
        <w:t>（</w:t>
      </w:r>
      <w:r>
        <w:rPr>
          <w:sz w:val="21"/>
        </w:rPr>
        <w:t>3</w:t>
      </w:r>
      <w:r>
        <w:rPr>
          <w:sz w:val="21"/>
        </w:rPr>
        <w:t>）供应商系合法取得货物的处分权，有权将货物出售给采购人，供应商的销售行为不损害任何第三方的合法权益（包括但不限于第三方所享有的著作权、专利权、商标权等知识产权），保证不会有任何第三方因本合同的订立和履行向采购人主张权利。</w:t>
      </w:r>
    </w:p>
    <w:p>
      <w:pPr>
        <w:pStyle w:val="null3"/>
        <w:ind w:firstLine="420"/>
        <w:jc w:val="both"/>
      </w:pPr>
      <w:r>
        <w:rPr>
          <w:sz w:val="21"/>
        </w:rPr>
        <w:t>如第三方以采购人技术侵犯其知识产权或者其他权利为由向采购人主张权利，由此所产生的一切损害赔偿、补偿以及其他合理损失（包括但不限于诉讼费、律师费）等均由供应商承担。</w:t>
      </w:r>
    </w:p>
    <w:p>
      <w:pPr>
        <w:pStyle w:val="null3"/>
        <w:ind w:firstLine="420"/>
        <w:jc w:val="both"/>
      </w:pPr>
      <w:r>
        <w:rPr>
          <w:sz w:val="21"/>
        </w:rPr>
        <w:t>（</w:t>
      </w:r>
      <w:r>
        <w:rPr>
          <w:sz w:val="21"/>
        </w:rPr>
        <w:t>4</w:t>
      </w:r>
      <w:r>
        <w:rPr>
          <w:sz w:val="21"/>
        </w:rPr>
        <w:t>）货物应当附有如下文件资料及物品：包括但不限于质量合格证书、保修证书、产品使用说明书及其他应随产品一同装箱的配件、技术资料等。</w:t>
      </w:r>
    </w:p>
    <w:p>
      <w:pPr>
        <w:pStyle w:val="null3"/>
        <w:ind w:firstLine="420"/>
        <w:jc w:val="both"/>
      </w:pPr>
      <w:r>
        <w:rPr>
          <w:sz w:val="21"/>
        </w:rPr>
        <w:t>（</w:t>
      </w:r>
      <w:r>
        <w:rPr>
          <w:sz w:val="21"/>
        </w:rPr>
        <w:t>5</w:t>
      </w:r>
      <w:r>
        <w:rPr>
          <w:sz w:val="21"/>
        </w:rPr>
        <w:t>）货物包装：货物应当采用原制造商提供的标准包装。如果货物本身的包装不能满足运输、存储要求的，供应商应当在保证原包装完好的情形下增加和改善包装方式以满足相应要求。每个独立的包装应当附有装箱单。</w:t>
      </w:r>
    </w:p>
    <w:p>
      <w:pPr>
        <w:pStyle w:val="null3"/>
        <w:ind w:firstLine="420"/>
        <w:jc w:val="both"/>
      </w:pPr>
      <w:r>
        <w:rPr>
          <w:sz w:val="21"/>
        </w:rPr>
        <w:t>（</w:t>
      </w:r>
      <w:r>
        <w:rPr>
          <w:sz w:val="21"/>
        </w:rPr>
        <w:t>6</w:t>
      </w:r>
      <w:r>
        <w:rPr>
          <w:sz w:val="21"/>
        </w:rPr>
        <w:t>）标示于货物、产品质量检验合格证、装箱单及包装之上的批号、序列号、证号、装箱号等编号应当一致，或者能够相互关联印证，并与制造商确定的编码规则和存档记录一致，可供溯源。</w:t>
      </w:r>
    </w:p>
    <w:p>
      <w:pPr>
        <w:pStyle w:val="null3"/>
        <w:ind w:firstLine="422"/>
        <w:jc w:val="both"/>
      </w:pPr>
      <w:r>
        <w:rPr>
          <w:sz w:val="21"/>
          <w:b/>
        </w:rPr>
        <w:t>3.</w:t>
      </w:r>
      <w:r>
        <w:rPr>
          <w:sz w:val="21"/>
          <w:b/>
        </w:rPr>
        <w:t>质保期及售后服务</w:t>
      </w:r>
    </w:p>
    <w:p>
      <w:pPr>
        <w:pStyle w:val="null3"/>
        <w:ind w:firstLine="420"/>
        <w:jc w:val="both"/>
      </w:pPr>
      <w:r>
        <w:rPr>
          <w:sz w:val="21"/>
        </w:rPr>
        <w:t>（</w:t>
      </w:r>
      <w:r>
        <w:rPr>
          <w:sz w:val="21"/>
        </w:rPr>
        <w:t>1</w:t>
      </w:r>
      <w:r>
        <w:rPr>
          <w:sz w:val="21"/>
        </w:rPr>
        <w:t>）质量保障期：本项目通过验收之日起不少于</w:t>
      </w:r>
      <w:r>
        <w:rPr>
          <w:sz w:val="21"/>
        </w:rPr>
        <w:t>3</w:t>
      </w:r>
      <w:r>
        <w:rPr>
          <w:sz w:val="21"/>
        </w:rPr>
        <w:t>年（以中标供应商投标时响应的质保期为准），费用包含在报价中。</w:t>
      </w:r>
    </w:p>
    <w:p>
      <w:pPr>
        <w:pStyle w:val="null3"/>
        <w:ind w:firstLine="420"/>
        <w:jc w:val="both"/>
      </w:pPr>
      <w:r>
        <w:rPr>
          <w:sz w:val="21"/>
        </w:rPr>
        <w:t>（</w:t>
      </w:r>
      <w:r>
        <w:rPr>
          <w:sz w:val="21"/>
        </w:rPr>
        <w:t>2</w:t>
      </w:r>
      <w:r>
        <w:rPr>
          <w:sz w:val="21"/>
        </w:rPr>
        <w:t>）质量保障服务内容：质保期内需对本项目所有软硬件设备及其集成功能提供维修维护服务</w:t>
      </w:r>
      <w:r>
        <w:rPr>
          <w:sz w:val="21"/>
        </w:rPr>
        <w:t>(</w:t>
      </w:r>
      <w:r>
        <w:rPr>
          <w:sz w:val="21"/>
        </w:rPr>
        <w:t>含备件</w:t>
      </w:r>
      <w:r>
        <w:rPr>
          <w:sz w:val="21"/>
        </w:rPr>
        <w:t>)</w:t>
      </w:r>
      <w:r>
        <w:rPr>
          <w:sz w:val="21"/>
        </w:rPr>
        <w:t>，硬盘损坏更换免回收，所有设备维修服务均为上门服务，由此产生的费用包含在此次投标总报价中。</w:t>
      </w:r>
    </w:p>
    <w:p>
      <w:pPr>
        <w:pStyle w:val="null3"/>
        <w:ind w:firstLine="420"/>
        <w:jc w:val="both"/>
      </w:pPr>
      <w:r>
        <w:rPr>
          <w:sz w:val="21"/>
        </w:rPr>
        <w:t>（</w:t>
      </w:r>
      <w:r>
        <w:rPr>
          <w:sz w:val="21"/>
        </w:rPr>
        <w:t>3</w:t>
      </w:r>
      <w:r>
        <w:rPr>
          <w:sz w:val="21"/>
        </w:rPr>
        <w:t>）质量保障服务要求：在质量保障服务期内，对所采购的所有软硬件设备提供技术支持和服务，不得另加收费。</w:t>
      </w:r>
    </w:p>
    <w:p>
      <w:pPr>
        <w:pStyle w:val="null3"/>
        <w:ind w:firstLine="420"/>
        <w:jc w:val="both"/>
      </w:pPr>
      <w:r>
        <w:rPr>
          <w:sz w:val="21"/>
        </w:rPr>
        <w:t>（</w:t>
      </w:r>
      <w:r>
        <w:rPr>
          <w:sz w:val="21"/>
        </w:rPr>
        <w:t>4</w:t>
      </w:r>
      <w:r>
        <w:rPr>
          <w:sz w:val="21"/>
        </w:rPr>
        <w:t>）质量保障期内，如因设备质量问题导致设备停止使用超过</w:t>
      </w:r>
      <w:r>
        <w:rPr>
          <w:sz w:val="21"/>
        </w:rPr>
        <w:t>24</w:t>
      </w:r>
      <w:r>
        <w:rPr>
          <w:sz w:val="21"/>
        </w:rPr>
        <w:t>小时的，质量保障期相应顺延。如果设备停止使用时间累计超过</w:t>
      </w:r>
      <w:r>
        <w:rPr>
          <w:sz w:val="21"/>
        </w:rPr>
        <w:t>30</w:t>
      </w:r>
      <w:r>
        <w:rPr>
          <w:sz w:val="21"/>
        </w:rPr>
        <w:t>个自然日的，则质量保证期从</w:t>
      </w:r>
      <w:r>
        <w:rPr>
          <w:sz w:val="21"/>
        </w:rPr>
        <w:t>0</w:t>
      </w:r>
      <w:r>
        <w:rPr>
          <w:sz w:val="21"/>
        </w:rPr>
        <w:t>开始重新计算；如果设备停止使用时间累计超过</w:t>
      </w:r>
      <w:r>
        <w:rPr>
          <w:sz w:val="21"/>
        </w:rPr>
        <w:t>60</w:t>
      </w:r>
      <w:r>
        <w:rPr>
          <w:sz w:val="21"/>
        </w:rPr>
        <w:t>个自然日的，则供应商需将故障设备更换为同型号同配置的全新设备，更换的设备质保期从</w:t>
      </w:r>
      <w:r>
        <w:rPr>
          <w:sz w:val="21"/>
        </w:rPr>
        <w:t>0</w:t>
      </w:r>
      <w:r>
        <w:rPr>
          <w:sz w:val="21"/>
        </w:rPr>
        <w:t>开始重新计算。</w:t>
      </w:r>
    </w:p>
    <w:p>
      <w:pPr>
        <w:pStyle w:val="null3"/>
        <w:ind w:firstLine="420"/>
        <w:jc w:val="both"/>
      </w:pPr>
      <w:r>
        <w:rPr>
          <w:sz w:val="21"/>
        </w:rPr>
        <w:t>（</w:t>
      </w:r>
      <w:r>
        <w:rPr>
          <w:sz w:val="21"/>
        </w:rPr>
        <w:t>5</w:t>
      </w:r>
      <w:r>
        <w:rPr>
          <w:sz w:val="21"/>
        </w:rPr>
        <w:t>）质量保障期内，如果出现紧急技术问题，供应商提供同城</w:t>
      </w:r>
      <w:r>
        <w:rPr>
          <w:sz w:val="21"/>
        </w:rPr>
        <w:t>4</w:t>
      </w:r>
      <w:r>
        <w:rPr>
          <w:sz w:val="21"/>
        </w:rPr>
        <w:t>小时、异地</w:t>
      </w:r>
      <w:r>
        <w:rPr>
          <w:sz w:val="21"/>
        </w:rPr>
        <w:t>12</w:t>
      </w:r>
      <w:r>
        <w:rPr>
          <w:sz w:val="21"/>
        </w:rPr>
        <w:t>小时技术响应服务（服务响应以现场为主，远程协助），</w:t>
      </w:r>
      <w:r>
        <w:rPr>
          <w:sz w:val="21"/>
        </w:rPr>
        <w:t>2</w:t>
      </w:r>
      <w:r>
        <w:rPr>
          <w:sz w:val="21"/>
        </w:rPr>
        <w:t>个工作日解决问题，对于未能解决的问题和故障应提供可行的升级方案，并提供周转设备或更换全新设备，更换的设备免费质保期从</w:t>
      </w:r>
      <w:r>
        <w:rPr>
          <w:sz w:val="21"/>
        </w:rPr>
        <w:t>0</w:t>
      </w:r>
      <w:r>
        <w:rPr>
          <w:sz w:val="21"/>
        </w:rPr>
        <w:t>开始重新计算；</w:t>
      </w:r>
    </w:p>
    <w:p>
      <w:pPr>
        <w:pStyle w:val="null3"/>
        <w:ind w:firstLine="420"/>
        <w:jc w:val="both"/>
      </w:pPr>
      <w:r>
        <w:rPr>
          <w:sz w:val="21"/>
        </w:rPr>
        <w:t>（</w:t>
      </w:r>
      <w:r>
        <w:rPr>
          <w:sz w:val="21"/>
        </w:rPr>
        <w:t>6</w:t>
      </w:r>
      <w:r>
        <w:rPr>
          <w:sz w:val="21"/>
        </w:rPr>
        <w:t>）供应商提供电话、电子邮件、远程连接等多种形式政企专线，以保证能够提供每天</w:t>
      </w:r>
      <w:r>
        <w:rPr>
          <w:sz w:val="21"/>
        </w:rPr>
        <w:t>24</w:t>
      </w:r>
      <w:r>
        <w:rPr>
          <w:sz w:val="21"/>
        </w:rPr>
        <w:t>小时、每周</w:t>
      </w:r>
      <w:r>
        <w:rPr>
          <w:sz w:val="21"/>
        </w:rPr>
        <w:t>7</w:t>
      </w:r>
      <w:r>
        <w:rPr>
          <w:sz w:val="21"/>
        </w:rPr>
        <w:t>天的响应服务</w:t>
      </w:r>
      <w:r>
        <w:rPr>
          <w:sz w:val="21"/>
        </w:rPr>
        <w:t>(</w:t>
      </w:r>
      <w:r>
        <w:rPr>
          <w:sz w:val="21"/>
        </w:rPr>
        <w:t>“</w:t>
      </w:r>
      <w:r>
        <w:rPr>
          <w:sz w:val="21"/>
        </w:rPr>
        <w:t>7x24</w:t>
      </w:r>
      <w:r>
        <w:rPr>
          <w:sz w:val="21"/>
        </w:rPr>
        <w:t>小时响应服务”</w:t>
      </w:r>
      <w:r>
        <w:rPr>
          <w:sz w:val="21"/>
        </w:rPr>
        <w:t>)</w:t>
      </w:r>
      <w:r>
        <w:rPr>
          <w:sz w:val="21"/>
        </w:rPr>
        <w:t>。</w:t>
      </w:r>
    </w:p>
    <w:p>
      <w:pPr>
        <w:pStyle w:val="null3"/>
        <w:ind w:firstLine="422"/>
        <w:jc w:val="both"/>
      </w:pPr>
      <w:r>
        <w:rPr>
          <w:sz w:val="21"/>
          <w:b/>
        </w:rPr>
        <w:t>4.</w:t>
      </w:r>
      <w:r>
        <w:rPr>
          <w:sz w:val="21"/>
          <w:b/>
        </w:rPr>
        <w:t>技术服务要求</w:t>
      </w:r>
    </w:p>
    <w:p>
      <w:pPr>
        <w:pStyle w:val="null3"/>
        <w:ind w:firstLine="420"/>
        <w:jc w:val="both"/>
      </w:pPr>
      <w:r>
        <w:rPr>
          <w:sz w:val="21"/>
        </w:rPr>
        <w:t>供应商需在投标文件中对以下技术服务要求全部给予响应。</w:t>
      </w:r>
    </w:p>
    <w:p>
      <w:pPr>
        <w:pStyle w:val="null3"/>
        <w:ind w:firstLine="420"/>
        <w:jc w:val="both"/>
      </w:pPr>
      <w:r>
        <w:rPr>
          <w:sz w:val="21"/>
        </w:rPr>
        <w:t>需提供包括但不限于售后服务体系，售后服务流程，应急预案等方案，做出详细说明。</w:t>
      </w:r>
    </w:p>
    <w:p>
      <w:pPr>
        <w:pStyle w:val="null3"/>
        <w:ind w:firstLine="420"/>
        <w:jc w:val="both"/>
      </w:pPr>
      <w:r>
        <w:rPr>
          <w:sz w:val="21"/>
        </w:rPr>
        <w:t>技术服务人员：供应商须指派固定的团队为本项目提供专业服务，服务团队成员不得少于</w:t>
      </w:r>
      <w:r>
        <w:rPr>
          <w:sz w:val="21"/>
        </w:rPr>
        <w:t>2</w:t>
      </w:r>
      <w:r>
        <w:rPr>
          <w:sz w:val="21"/>
        </w:rPr>
        <w:t>人，现场实施工程师应具有丰富的项目经验，指派专人担任项目负责人，负责本项目协调管理工作。</w:t>
      </w:r>
    </w:p>
    <w:p>
      <w:pPr>
        <w:pStyle w:val="null3"/>
        <w:ind w:firstLine="420"/>
        <w:jc w:val="both"/>
      </w:pPr>
      <w:r>
        <w:rPr>
          <w:sz w:val="21"/>
        </w:rPr>
        <w:t>验收合格后</w:t>
      </w:r>
      <w:r>
        <w:rPr>
          <w:sz w:val="21"/>
        </w:rPr>
        <w:t>1</w:t>
      </w:r>
      <w:r>
        <w:rPr>
          <w:sz w:val="21"/>
        </w:rPr>
        <w:t>年内，采购人如需供应商提供本项目配套的国产操作系统使用方面的培训，供应商需在收到电话、微信或书面通知后</w:t>
      </w:r>
      <w:r>
        <w:rPr>
          <w:sz w:val="21"/>
        </w:rPr>
        <w:t>10</w:t>
      </w:r>
      <w:r>
        <w:rPr>
          <w:sz w:val="21"/>
        </w:rPr>
        <w:t>个自然日内派培训老师到采购人现场提供本项目配套国产操作系统的使用、升级、故障排除、组网等培训，培训时间不少于</w:t>
      </w:r>
      <w:r>
        <w:rPr>
          <w:sz w:val="21"/>
        </w:rPr>
        <w:t>1</w:t>
      </w:r>
      <w:r>
        <w:rPr>
          <w:sz w:val="21"/>
        </w:rPr>
        <w:t>天，并提供相应的培训资料给甲方。培训老师应具有相应的技术水平和培训经验，以保证培训效果。因培训产生的费用已包含在报价中，供应商不得另加收费。</w:t>
      </w:r>
    </w:p>
    <w:p>
      <w:pPr>
        <w:pStyle w:val="null3"/>
        <w:ind w:firstLine="420"/>
        <w:jc w:val="both"/>
      </w:pPr>
      <w:r>
        <w:rPr>
          <w:sz w:val="21"/>
        </w:rPr>
        <w:t>如需调整服务团队成员，须书面向采购人提出申请，说明申请理由，经采购人书面同意方可调整团队人员，调入人员的资历和从业经验不低于调出人员，否则视为违约行为，采购人有权终止服务合同。</w:t>
      </w:r>
    </w:p>
    <w:p>
      <w:pPr>
        <w:pStyle w:val="null3"/>
        <w:ind w:firstLine="482"/>
        <w:jc w:val="both"/>
      </w:pPr>
      <w:r>
        <w:rPr>
          <w:sz w:val="27"/>
          <w:b/>
        </w:rPr>
        <w:t>附件：政策适用性说明</w:t>
      </w:r>
    </w:p>
    <w:p>
      <w:pPr>
        <w:pStyle w:val="null3"/>
      </w:pPr>
      <w:r>
        <w:rPr>
          <w:sz w:val="21"/>
          <w:b/>
        </w:rPr>
        <w:t>（注意：代替本招标文件第六章《格式文件与要求》中的格式四文件，不再使用格式四文件）</w:t>
      </w:r>
    </w:p>
    <w:p>
      <w:pPr>
        <w:pStyle w:val="null3"/>
        <w:jc w:val="center"/>
      </w:pPr>
      <w:r>
        <w:rPr>
          <w:sz w:val="24"/>
          <w:b/>
          <w:shd w:fill="FFFFFF" w:val="clear"/>
        </w:rPr>
        <w:t>政策适用性说明</w:t>
      </w:r>
    </w:p>
    <w:p>
      <w:pPr>
        <w:pStyle w:val="null3"/>
        <w:jc w:val="center"/>
      </w:pPr>
      <w:r>
        <w:rPr>
          <w:sz w:val="21"/>
          <w:shd w:fill="FFFFFF" w:val="clear"/>
        </w:rPr>
        <w:t>供应商所投的产品，符合节能产品、环境标志产品政策要求的，按以下格式提供说明。</w:t>
      </w:r>
    </w:p>
    <w:p>
      <w:pPr>
        <w:pStyle w:val="null3"/>
        <w:ind w:left="360"/>
        <w:jc w:val="both"/>
      </w:pPr>
      <w:r>
        <w:rPr>
          <w:sz w:val="21"/>
          <w:b/>
          <w:shd w:fill="FFFFFF" w:val="clear"/>
        </w:rPr>
        <w:t xml:space="preserve">1.   </w:t>
      </w:r>
      <w:r>
        <w:rPr>
          <w:sz w:val="21"/>
          <w:b/>
          <w:shd w:fill="FFFFFF" w:val="clear"/>
        </w:rPr>
        <w:t>节能产品说明：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692"/>
        <w:gridCol w:w="1211"/>
        <w:gridCol w:w="2509"/>
        <w:gridCol w:w="1730"/>
        <w:gridCol w:w="1990"/>
        <w:gridCol w:w="173"/>
      </w:tblGrid>
      <w:tr>
        <w:tc>
          <w:tcPr>
            <w:tcW w:type="dxa" w:w="692"/>
            <w:tcBorders>
              <w:top w:val="singl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序号</w:t>
            </w:r>
          </w:p>
        </w:tc>
        <w:tc>
          <w:tcPr>
            <w:tcW w:type="dxa" w:w="1211"/>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产品名称</w:t>
            </w:r>
          </w:p>
          <w:p>
            <w:pPr>
              <w:pStyle w:val="null3"/>
              <w:jc w:val="center"/>
            </w:pPr>
          </w:p>
        </w:tc>
        <w:tc>
          <w:tcPr>
            <w:tcW w:type="dxa" w:w="2509"/>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对应《节能产品政府采购品目清单》的品目序号</w:t>
            </w:r>
          </w:p>
        </w:tc>
        <w:tc>
          <w:tcPr>
            <w:tcW w:type="dxa" w:w="1730"/>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产品认证证书所在投标文件页码</w:t>
            </w:r>
          </w:p>
        </w:tc>
        <w:tc>
          <w:tcPr>
            <w:tcW w:type="dxa" w:w="1990"/>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产品报价（元）</w:t>
            </w:r>
          </w:p>
          <w:p>
            <w:pPr>
              <w:pStyle w:val="null3"/>
              <w:jc w:val="center"/>
            </w:pPr>
          </w:p>
        </w:tc>
        <w:tc>
          <w:tcPr>
            <w:tcW w:type="dxa" w:w="173"/>
            <w:tcBorders>
              <w:top w:val="none" w:color="000000" w:sz="4"/>
              <w:left w:val="none" w:color="000000" w:sz="4"/>
              <w:bottom w:val="none" w:color="000000" w:sz="4"/>
              <w:right w:val="none" w:color="000000" w:sz="4"/>
            </w:tcBorders>
            <w:shd w:fill="FFFFFF"/>
            <w:tcMar>
              <w:top w:type="dxa" w:w="0"/>
              <w:left w:type="dxa" w:w="0"/>
              <w:bottom w:type="dxa" w:w="0"/>
              <w:right w:type="dxa" w:w="0"/>
            </w:tcMar>
            <w:vAlign w:val="top"/>
          </w:tcPr>
          <w:p/>
        </w:tc>
      </w:tr>
      <w:tr>
        <w:tc>
          <w:tcPr>
            <w:tcW w:type="dxa" w:w="8132"/>
            <w:gridSpan w:val="5"/>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（一）强制节能产品</w:t>
            </w:r>
          </w:p>
        </w:tc>
        <w:tc>
          <w:tcPr>
            <w:tcW w:type="dxa" w:w="173"/>
            <w:tcBorders>
              <w:top w:val="none" w:color="000000" w:sz="4"/>
              <w:left w:val="none" w:color="000000" w:sz="4"/>
              <w:bottom w:val="none" w:color="000000" w:sz="4"/>
              <w:right w:val="none" w:color="000000" w:sz="4"/>
            </w:tcBorders>
            <w:shd w:fill="FFFFFF"/>
            <w:tcMar>
              <w:top w:type="dxa" w:w="0"/>
              <w:left w:type="dxa" w:w="0"/>
              <w:bottom w:type="dxa" w:w="0"/>
              <w:right w:type="dxa" w:w="0"/>
            </w:tcMar>
            <w:vAlign w:val="top"/>
          </w:tcPr>
          <w:p>
            <w:pPr>
              <w:pStyle w:val="null3"/>
              <w:jc w:val="both"/>
            </w:pPr>
          </w:p>
        </w:tc>
      </w:tr>
      <w:tr>
        <w:tc>
          <w:tcPr>
            <w:tcW w:type="dxa" w:w="692"/>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1</w:t>
            </w:r>
          </w:p>
        </w:tc>
        <w:tc>
          <w:tcPr>
            <w:tcW w:type="dxa" w:w="1211"/>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p>
        </w:tc>
        <w:tc>
          <w:tcPr>
            <w:tcW w:type="dxa" w:w="2509"/>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73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990"/>
            <w:vMerge w:val="restart"/>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强制节能产品，此处无须填报价格</w:t>
            </w:r>
          </w:p>
        </w:tc>
        <w:tc>
          <w:tcPr>
            <w:tcW w:type="dxa" w:w="173"/>
            <w:tcBorders>
              <w:top w:val="none" w:color="000000" w:sz="4"/>
              <w:left w:val="none" w:color="000000" w:sz="4"/>
              <w:bottom w:val="none" w:color="000000" w:sz="4"/>
              <w:right w:val="none" w:color="000000" w:sz="4"/>
            </w:tcBorders>
            <w:shd w:fill="FFFFFF"/>
            <w:tcMar>
              <w:top w:type="dxa" w:w="0"/>
              <w:left w:type="dxa" w:w="0"/>
              <w:bottom w:type="dxa" w:w="0"/>
              <w:right w:type="dxa" w:w="0"/>
            </w:tcMar>
            <w:vAlign w:val="top"/>
          </w:tcPr>
          <w:p>
            <w:pPr>
              <w:pStyle w:val="null3"/>
              <w:jc w:val="both"/>
            </w:pPr>
          </w:p>
        </w:tc>
      </w:tr>
      <w:tr>
        <w:tc>
          <w:tcPr>
            <w:tcW w:type="dxa" w:w="692"/>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2</w:t>
            </w:r>
          </w:p>
        </w:tc>
        <w:tc>
          <w:tcPr>
            <w:tcW w:type="dxa" w:w="1211"/>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p>
        </w:tc>
        <w:tc>
          <w:tcPr>
            <w:tcW w:type="dxa" w:w="2509"/>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73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990"/>
            <w:vMerge/>
            <w:tcBorders>
              <w:top w:val="none" w:color="000000" w:sz="4"/>
              <w:left w:val="none" w:color="000000" w:sz="4"/>
              <w:bottom w:val="single" w:color="000000" w:sz="4"/>
              <w:right w:val="single" w:color="000000" w:sz="4"/>
            </w:tcBorders>
          </w:tcPr>
          <w:p/>
        </w:tc>
        <w:tc>
          <w:tcPr>
            <w:tcW w:type="dxa" w:w="173"/>
            <w:tcBorders>
              <w:top w:val="none" w:color="000000" w:sz="4"/>
              <w:left w:val="none" w:color="000000" w:sz="4"/>
              <w:bottom w:val="none" w:color="000000" w:sz="4"/>
              <w:right w:val="none" w:color="000000" w:sz="4"/>
            </w:tcBorders>
            <w:shd w:fill="FFFFFF"/>
            <w:tcMar>
              <w:top w:type="dxa" w:w="0"/>
              <w:left w:type="dxa" w:w="0"/>
              <w:bottom w:type="dxa" w:w="0"/>
              <w:right w:type="dxa" w:w="0"/>
            </w:tcMar>
            <w:vAlign w:val="top"/>
          </w:tcPr>
          <w:p/>
        </w:tc>
      </w:tr>
      <w:tr>
        <w:tc>
          <w:tcPr>
            <w:tcW w:type="dxa" w:w="8132"/>
            <w:gridSpan w:val="5"/>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（二）优先采购节能产品</w:t>
            </w:r>
          </w:p>
        </w:tc>
        <w:tc>
          <w:tcPr>
            <w:tcW w:type="dxa" w:w="173"/>
            <w:tcBorders>
              <w:top w:val="none" w:color="000000" w:sz="4"/>
              <w:left w:val="none" w:color="000000" w:sz="4"/>
              <w:bottom w:val="none" w:color="000000" w:sz="4"/>
              <w:right w:val="none" w:color="000000" w:sz="4"/>
            </w:tcBorders>
            <w:shd w:fill="FFFFFF"/>
            <w:tcMar>
              <w:top w:type="dxa" w:w="0"/>
              <w:left w:type="dxa" w:w="0"/>
              <w:bottom w:type="dxa" w:w="0"/>
              <w:right w:type="dxa" w:w="0"/>
            </w:tcMar>
            <w:vAlign w:val="top"/>
          </w:tcPr>
          <w:p>
            <w:pPr>
              <w:pStyle w:val="null3"/>
              <w:jc w:val="both"/>
            </w:pPr>
          </w:p>
        </w:tc>
      </w:tr>
      <w:tr>
        <w:tc>
          <w:tcPr>
            <w:tcW w:type="dxa" w:w="692"/>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1</w:t>
            </w:r>
          </w:p>
        </w:tc>
        <w:tc>
          <w:tcPr>
            <w:tcW w:type="dxa" w:w="1211"/>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p>
        </w:tc>
        <w:tc>
          <w:tcPr>
            <w:tcW w:type="dxa" w:w="2509"/>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73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99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73"/>
            <w:tcBorders>
              <w:top w:val="none" w:color="000000" w:sz="4"/>
              <w:left w:val="none" w:color="000000" w:sz="4"/>
              <w:bottom w:val="none" w:color="000000" w:sz="4"/>
              <w:right w:val="none" w:color="000000" w:sz="4"/>
            </w:tcBorders>
            <w:shd w:fill="FFFFFF"/>
            <w:tcMar>
              <w:top w:type="dxa" w:w="0"/>
              <w:left w:type="dxa" w:w="0"/>
              <w:bottom w:type="dxa" w:w="0"/>
              <w:right w:type="dxa" w:w="0"/>
            </w:tcMar>
            <w:vAlign w:val="top"/>
          </w:tcPr>
          <w:p/>
        </w:tc>
      </w:tr>
      <w:tr>
        <w:tc>
          <w:tcPr>
            <w:tcW w:type="dxa" w:w="692"/>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2</w:t>
            </w:r>
          </w:p>
        </w:tc>
        <w:tc>
          <w:tcPr>
            <w:tcW w:type="dxa" w:w="1211"/>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p>
        </w:tc>
        <w:tc>
          <w:tcPr>
            <w:tcW w:type="dxa" w:w="2509"/>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73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99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73"/>
            <w:tcBorders>
              <w:top w:val="none" w:color="000000" w:sz="4"/>
              <w:left w:val="none" w:color="000000" w:sz="4"/>
              <w:bottom w:val="none" w:color="000000" w:sz="4"/>
              <w:right w:val="none" w:color="000000" w:sz="4"/>
            </w:tcBorders>
            <w:shd w:fill="FFFFFF"/>
            <w:tcMar>
              <w:top w:type="dxa" w:w="0"/>
              <w:left w:type="dxa" w:w="0"/>
              <w:bottom w:type="dxa" w:w="0"/>
              <w:right w:type="dxa" w:w="0"/>
            </w:tcMar>
            <w:vAlign w:val="top"/>
          </w:tcPr>
          <w:p/>
        </w:tc>
      </w:tr>
      <w:tr>
        <w:tc>
          <w:tcPr>
            <w:tcW w:type="dxa" w:w="6142"/>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节能产品价格合计</w:t>
            </w:r>
          </w:p>
        </w:tc>
        <w:tc>
          <w:tcPr>
            <w:tcW w:type="dxa" w:w="199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p>
        </w:tc>
        <w:tc>
          <w:tcPr>
            <w:tcW w:type="dxa" w:w="173"/>
            <w:tcBorders>
              <w:top w:val="none" w:color="000000" w:sz="4"/>
              <w:left w:val="none" w:color="000000" w:sz="4"/>
              <w:bottom w:val="none" w:color="000000" w:sz="4"/>
              <w:right w:val="none" w:color="000000" w:sz="4"/>
            </w:tcBorders>
            <w:shd w:fill="FFFFFF"/>
            <w:tcMar>
              <w:top w:type="dxa" w:w="0"/>
              <w:left w:type="dxa" w:w="0"/>
              <w:bottom w:type="dxa" w:w="0"/>
              <w:right w:type="dxa" w:w="0"/>
            </w:tcMar>
            <w:vAlign w:val="top"/>
          </w:tcPr>
          <w:p/>
        </w:tc>
      </w:tr>
    </w:tbl>
    <w:p>
      <w:pPr>
        <w:pStyle w:val="null3"/>
        <w:jc w:val="right"/>
      </w:pPr>
      <w:r>
        <w:rPr>
          <w:sz w:val="21"/>
          <w:shd w:fill="FFFFFF" w:val="clear"/>
        </w:rPr>
        <w:t>投标人名称（盖章）：</w:t>
      </w:r>
      <w:r>
        <w:rPr>
          <w:sz w:val="21"/>
          <w:shd w:fill="FFFFFF" w:val="clear"/>
        </w:rPr>
        <w:t>__________________</w:t>
      </w:r>
    </w:p>
    <w:p>
      <w:pPr>
        <w:pStyle w:val="null3"/>
        <w:ind w:firstLine="480"/>
        <w:jc w:val="right"/>
      </w:pPr>
      <w:r>
        <w:rPr>
          <w:sz w:val="21"/>
          <w:shd w:fill="FFFFFF" w:val="clear"/>
        </w:rPr>
        <w:t>日期：年月日</w:t>
      </w:r>
    </w:p>
    <w:p>
      <w:pPr>
        <w:pStyle w:val="null3"/>
        <w:ind w:firstLine="480"/>
      </w:pPr>
      <w:r>
        <w:rPr>
          <w:sz w:val="21"/>
          <w:b/>
          <w:shd w:fill="FFFFFF" w:val="clear"/>
        </w:rPr>
        <w:t xml:space="preserve">2.   </w:t>
      </w:r>
      <w:r>
        <w:rPr>
          <w:sz w:val="21"/>
          <w:b/>
          <w:shd w:fill="FFFFFF" w:val="clear"/>
        </w:rPr>
        <w:t>环境标志产品说明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419"/>
        <w:gridCol w:w="1594"/>
        <w:gridCol w:w="1762"/>
        <w:gridCol w:w="2601"/>
        <w:gridCol w:w="1930"/>
      </w:tblGrid>
      <w:tr>
        <w:tc>
          <w:tcPr>
            <w:tcW w:type="dxa" w:w="419"/>
            <w:tcBorders>
              <w:top w:val="singl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序号</w:t>
            </w:r>
          </w:p>
        </w:tc>
        <w:tc>
          <w:tcPr>
            <w:tcW w:type="dxa" w:w="1594"/>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315"/>
            </w:pPr>
            <w:r>
              <w:rPr>
                <w:sz w:val="21"/>
              </w:rPr>
              <w:t>产品名称</w:t>
            </w:r>
          </w:p>
        </w:tc>
        <w:tc>
          <w:tcPr>
            <w:tcW w:type="dxa" w:w="1762"/>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105"/>
            </w:pPr>
            <w:r>
              <w:rPr>
                <w:sz w:val="21"/>
              </w:rPr>
              <w:t>对应《环境标志产品政府采购品目清单》的品目序号</w:t>
            </w:r>
          </w:p>
          <w:p>
            <w:pPr>
              <w:pStyle w:val="null3"/>
            </w:pPr>
          </w:p>
        </w:tc>
        <w:tc>
          <w:tcPr>
            <w:tcW w:type="dxa" w:w="2601"/>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产品认证证书所在投标文件页码</w:t>
            </w:r>
          </w:p>
        </w:tc>
        <w:tc>
          <w:tcPr>
            <w:tcW w:type="dxa" w:w="1930"/>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315"/>
            </w:pPr>
            <w:r>
              <w:rPr>
                <w:sz w:val="21"/>
              </w:rPr>
              <w:t>产品报价（元）</w:t>
            </w:r>
          </w:p>
          <w:p>
            <w:pPr>
              <w:pStyle w:val="null3"/>
            </w:pPr>
          </w:p>
        </w:tc>
      </w:tr>
      <w:tr>
        <w:tc>
          <w:tcPr>
            <w:tcW w:type="dxa" w:w="419"/>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1</w:t>
            </w:r>
          </w:p>
        </w:tc>
        <w:tc>
          <w:tcPr>
            <w:tcW w:type="dxa" w:w="159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p>
        </w:tc>
        <w:tc>
          <w:tcPr>
            <w:tcW w:type="dxa" w:w="176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601"/>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93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419"/>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both"/>
            </w:pPr>
            <w:r>
              <w:rPr>
                <w:sz w:val="21"/>
              </w:rPr>
              <w:t>2</w:t>
            </w:r>
          </w:p>
        </w:tc>
        <w:tc>
          <w:tcPr>
            <w:tcW w:type="dxa" w:w="159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p>
        </w:tc>
        <w:tc>
          <w:tcPr>
            <w:tcW w:type="dxa" w:w="176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601"/>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93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419"/>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both"/>
            </w:pPr>
            <w:r>
              <w:rPr>
                <w:sz w:val="21"/>
              </w:rPr>
              <w:t>3</w:t>
            </w:r>
          </w:p>
        </w:tc>
        <w:tc>
          <w:tcPr>
            <w:tcW w:type="dxa" w:w="159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p>
        </w:tc>
        <w:tc>
          <w:tcPr>
            <w:tcW w:type="dxa" w:w="176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601"/>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93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6376"/>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环境标志产品价格合计</w:t>
            </w:r>
          </w:p>
        </w:tc>
        <w:tc>
          <w:tcPr>
            <w:tcW w:type="dxa" w:w="193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pPr>
          </w:p>
        </w:tc>
      </w:tr>
    </w:tbl>
    <w:p>
      <w:pPr>
        <w:pStyle w:val="null3"/>
        <w:jc w:val="right"/>
      </w:pPr>
      <w:r>
        <w:rPr>
          <w:sz w:val="21"/>
          <w:shd w:fill="FFFFFF" w:val="clear"/>
        </w:rPr>
        <w:t>投标人名称（盖章）：</w:t>
      </w:r>
      <w:r>
        <w:rPr>
          <w:sz w:val="21"/>
          <w:shd w:fill="FFFFFF" w:val="clear"/>
        </w:rPr>
        <w:t>__________________</w:t>
      </w:r>
    </w:p>
    <w:p>
      <w:pPr>
        <w:pStyle w:val="null3"/>
        <w:ind w:firstLine="480"/>
        <w:jc w:val="right"/>
      </w:pPr>
      <w:r>
        <w:rPr>
          <w:sz w:val="21"/>
          <w:shd w:fill="FFFFFF" w:val="clear"/>
        </w:rPr>
        <w:t>日期：年月日</w:t>
      </w:r>
    </w:p>
    <w:p>
      <w:pPr>
        <w:pStyle w:val="null3"/>
        <w:ind w:left="360"/>
        <w:jc w:val="both"/>
      </w:pPr>
      <w:r>
        <w:rPr>
          <w:sz w:val="21"/>
          <w:shd w:fill="FFFFFF" w:val="clear"/>
        </w:rPr>
        <w:t>备注：</w:t>
      </w:r>
    </w:p>
    <w:p>
      <w:pPr>
        <w:pStyle w:val="null3"/>
      </w:pPr>
      <w:r>
        <w:rPr>
          <w:sz w:val="21"/>
          <w:shd w:fill="FFFFFF" w:val="clear"/>
        </w:rPr>
        <w:t xml:space="preserve">1. </w:t>
      </w:r>
      <w:r>
        <w:rPr>
          <w:sz w:val="21"/>
          <w:shd w:fill="FFFFFF" w:val="clear"/>
        </w:rPr>
        <w:t>供应商提供的节能产品、环境标志产品须为《节能产品政府采购品目清单》《环境标志产品政府采购品目清单》中的产品，产品认证证书处于有效期内，且发证机构为国家确定的认证机构，才可享受政策优惠。</w:t>
      </w:r>
    </w:p>
    <w:p>
      <w:pPr>
        <w:pStyle w:val="null3"/>
      </w:pPr>
      <w:r>
        <w:rPr>
          <w:sz w:val="21"/>
          <w:shd w:fill="FFFFFF" w:val="clear"/>
        </w:rPr>
        <w:t xml:space="preserve">2. </w:t>
      </w:r>
      <w:r>
        <w:rPr>
          <w:sz w:val="21"/>
          <w:shd w:fill="FFFFFF" w:val="clear"/>
        </w:rPr>
        <w:t>供应商在《关于印发环境标志产品政府采购品目清单的通知》（财库〔</w:t>
      </w:r>
      <w:r>
        <w:rPr>
          <w:sz w:val="21"/>
          <w:shd w:fill="FFFFFF" w:val="clear"/>
        </w:rPr>
        <w:t>2019</w:t>
      </w:r>
      <w:r>
        <w:rPr>
          <w:sz w:val="21"/>
          <w:shd w:fill="FFFFFF" w:val="clear"/>
        </w:rPr>
        <w:t>〕</w:t>
      </w:r>
      <w:r>
        <w:rPr>
          <w:sz w:val="21"/>
          <w:shd w:fill="FFFFFF" w:val="clear"/>
        </w:rPr>
        <w:t>18</w:t>
      </w:r>
      <w:r>
        <w:rPr>
          <w:sz w:val="21"/>
          <w:shd w:fill="FFFFFF" w:val="clear"/>
        </w:rPr>
        <w:t>号）、《关于印发节能产品政府采购品目清单的通知》（财库〔</w:t>
      </w:r>
      <w:r>
        <w:rPr>
          <w:sz w:val="21"/>
          <w:shd w:fill="FFFFFF" w:val="clear"/>
        </w:rPr>
        <w:t>2019</w:t>
      </w:r>
      <w:r>
        <w:rPr>
          <w:sz w:val="21"/>
          <w:shd w:fill="FFFFFF" w:val="clear"/>
        </w:rPr>
        <w:t>〕</w:t>
      </w:r>
      <w:r>
        <w:rPr>
          <w:sz w:val="21"/>
          <w:shd w:fill="FFFFFF" w:val="clear"/>
        </w:rPr>
        <w:t>19</w:t>
      </w:r>
      <w:r>
        <w:rPr>
          <w:sz w:val="21"/>
          <w:shd w:fill="FFFFFF" w:val="clear"/>
        </w:rPr>
        <w:t>号）中可以查到对应的清单目录。如后续有更新的，则以更新后的文件为准。</w:t>
      </w:r>
    </w:p>
    <w:p>
      <w:pPr>
        <w:pStyle w:val="null3"/>
      </w:pPr>
      <w:r>
        <w:rPr>
          <w:sz w:val="21"/>
          <w:shd w:fill="FFFFFF" w:val="clear"/>
        </w:rPr>
        <w:t xml:space="preserve">3. </w:t>
      </w:r>
      <w:r>
        <w:rPr>
          <w:sz w:val="21"/>
          <w:shd w:fill="FFFFFF" w:val="clear"/>
        </w:rPr>
        <w:t>国家确定的认证机构可在《市场监管总局关于发布参与实施政府采购节能产品、环境标志产品认证机构名录的公告》（</w:t>
      </w:r>
      <w:r>
        <w:rPr>
          <w:sz w:val="21"/>
          <w:shd w:fill="FFFFFF" w:val="clear"/>
        </w:rPr>
        <w:t>2019</w:t>
      </w:r>
      <w:r>
        <w:rPr>
          <w:sz w:val="21"/>
          <w:shd w:fill="FFFFFF" w:val="clear"/>
        </w:rPr>
        <w:t>年第</w:t>
      </w:r>
      <w:r>
        <w:rPr>
          <w:sz w:val="21"/>
          <w:shd w:fill="FFFFFF" w:val="clear"/>
        </w:rPr>
        <w:t>16</w:t>
      </w:r>
      <w:r>
        <w:rPr>
          <w:sz w:val="21"/>
          <w:shd w:fill="FFFFFF" w:val="clear"/>
        </w:rPr>
        <w:t>号）中查询。如后续有更新的，则以更新后的文件为准。</w:t>
      </w:r>
    </w:p>
    <w:p>
      <w:pPr>
        <w:pStyle w:val="null3"/>
      </w:pPr>
      <w:r>
        <w:rPr/>
        <w:t>采购包1（广东省地图院计算机设备采购（2025年））</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合同生效之日起至2025年4月15日止。</w:t>
            </w:r>
          </w:p>
        </w:tc>
      </w:tr>
      <w:tr>
        <w:tc>
          <w:tcPr>
            <w:tcW w:type="dxa" w:w="4153"/>
          </w:tcPr>
          <w:p>
            <w:pPr>
              <w:pStyle w:val="null3"/>
            </w:pPr>
            <w:r>
              <w:rPr/>
              <w:t>标的提供的地点</w:t>
            </w:r>
          </w:p>
        </w:tc>
        <w:tc>
          <w:tcPr>
            <w:tcW w:type="dxa" w:w="4153"/>
          </w:tcPr>
          <w:p>
            <w:pPr>
              <w:pStyle w:val="null3"/>
            </w:pPr>
            <w:r>
              <w:rPr/>
              <w:t>广东省广州市越秀区环市东路468号1号办公楼</w:t>
            </w:r>
          </w:p>
        </w:tc>
      </w:tr>
      <w:tr/>
      <w:tr/>
      <w:tr>
        <w:tc>
          <w:tcPr>
            <w:tcW w:type="dxa" w:w="4153"/>
          </w:tcPr>
          <w:p>
            <w:pPr>
              <w:pStyle w:val="null3"/>
            </w:pPr>
            <w:r>
              <w:rPr/>
              <w:t>付款方式</w:t>
            </w:r>
          </w:p>
        </w:tc>
        <w:tc>
          <w:tcPr>
            <w:tcW w:type="dxa" w:w="4153"/>
          </w:tcPr>
          <w:p>
            <w:pPr>
              <w:pStyle w:val="null3"/>
            </w:pPr>
            <w:r>
              <w:rPr/>
              <w:t>第1期为(预付款)：支付比例50%，支付比例50%，本项目签订合同生效后，采购人在收到供应商提供本项目招标文件要求的所有原厂盖章证明材料和税务部门认可的相应金额有效增值税普通发票之日起10个工作日内，向供应商支付中标价款总额的50%；。</w:t>
            </w:r>
          </w:p>
          <w:p>
            <w:pPr>
              <w:pStyle w:val="null3"/>
            </w:pPr>
            <w:r>
              <w:rPr/>
              <w:t>第2期为(尾款)：支付比例50%，支付比例50%，本项目通过验收后，采购人在收到供应商提供的税务部门认可的相应金额有效增值税普通发票之日起10个工作日内，向供应商支付中标价款总额的50%。。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1期：1.装箱单（包括但不限于质量合格证书、保修证书、产品使用说明书及其他应随产品一同装箱的配件、技术资料等）。 2.验收应在中标供应商、采购人双方共同参加下进行，验收按国家有关的规定、规范、项目采购文件及中标供应商投标文件承诺的相关技术要求进行。 3.中标供应商保证合同项下提供的货物（或者设备）不侵犯任何第三方的知识产权。否则，中标供应商需承担对第三方的侵权责任并承担因此而发生的所有费用。 4.由采购人组织验收，必要时，可邀请第三方机构进行验收，由此产生的费用由中标供应商承担。 5.所有设备需通过试运行且运行正常。 6.项目实施过程中约定的其他相关技术要求。 7.采购人在收齐所有本项目约定产品后3个工作日内组织验收，中标供应商代表参加验收。 ★8.投标人须承诺本项目所投设备均符合国家相关法律法规要求，如所投设备属于 “中国强制性产品认证目录”（CCC认证），验收时提供相关证明（提供在http://cx.cnca.cn/查询的产品的证书编号及查询结果截图 ）（投标时提供承诺，可参照“投标文件格式”中《承诺函》格式）。</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签订合同后提交证明材料</w:t>
            </w:r>
          </w:p>
        </w:tc>
        <w:tc>
          <w:tcPr>
            <w:tcW w:type="dxa" w:w="2076"/>
          </w:tcPr>
          <w:p>
            <w:pPr>
              <w:pStyle w:val="null3"/>
              <w:jc w:val="left"/>
            </w:pPr>
            <w:r>
              <w:rPr/>
              <w:t>1.中标供应商需按照投标时的承诺，在中标后与采购人签订合同后2个工作日内提供本项目招标文件要求的所有原厂盖章证明材料。如果不能在签订合同后2个工作日内提供本项目招标文件要求的所有原厂盖章证明材料，则视作中标供应商违约，本项目合同作废，中标供应商需在违约之日起10个工作日内向采购人赔付本合同总价的50%作为违约金，逾期则每日按本合同总金额的3‰向采购人另行偿付违约金。采购人同时按照《中华人民共和国政府采购法》第七十七条第一款规定“提供虚假材料谋取中标、成交的”情况，将情况上报政府采购监管部门（投标时提供承诺，可参照“投标文件格式”中《承诺函》格式）。</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逾期交货情况处理</w:t>
            </w:r>
          </w:p>
        </w:tc>
        <w:tc>
          <w:tcPr>
            <w:tcW w:type="dxa" w:w="2076"/>
          </w:tcPr>
          <w:p>
            <w:pPr>
              <w:pStyle w:val="null3"/>
              <w:jc w:val="left"/>
            </w:pPr>
            <w:r>
              <w:rPr/>
              <w:t>2.中标供应商逾期交货的，从逾期之日起每日按本合同总金额的3‰向采购人偿付违约金；逾期交货超过10天的，采购人有权终止合同，中标供应商在逾期交货10天之日起5天内将采购人已支付的第1期款项全部退回给采购人，并按照合同总金额的20%偿付违约金给采购人。中标供应商不按合同要求的时间内供货造成采购人不能在财政部门要求的本年度财政资金支付时限内支付本项目合同尾款而导致相应的年度财政资金被财政部门收回的，采购人不承担相应支付义务，相应的责任和后果由中标供应商承担（投标时提供承诺，可参照“投标文件格式”中《承诺函》格式）。</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图形工作站</w:t>
            </w:r>
          </w:p>
        </w:tc>
        <w:tc>
          <w:tcPr>
            <w:tcW w:type="dxa" w:w="831"/>
          </w:tcPr>
          <w:p>
            <w:pPr>
              <w:pStyle w:val="null3"/>
              <w:jc w:val="left"/>
            </w:pPr>
            <w:r>
              <w:rPr/>
              <w:t>图形工作站</w:t>
            </w:r>
          </w:p>
        </w:tc>
        <w:tc>
          <w:tcPr>
            <w:tcW w:type="dxa" w:w="831"/>
          </w:tcPr>
          <w:p>
            <w:pPr>
              <w:pStyle w:val="null3"/>
              <w:jc w:val="left"/>
            </w:pPr>
            <w:r>
              <w:rPr/>
              <w:t>台</w:t>
            </w:r>
          </w:p>
        </w:tc>
        <w:tc>
          <w:tcPr>
            <w:tcW w:type="dxa" w:w="831"/>
          </w:tcPr>
          <w:p>
            <w:pPr>
              <w:pStyle w:val="null3"/>
              <w:jc w:val="right"/>
            </w:pPr>
            <w:r>
              <w:rPr/>
              <w:t>29.00</w:t>
            </w:r>
          </w:p>
        </w:tc>
        <w:tc>
          <w:tcPr>
            <w:tcW w:type="dxa" w:w="831"/>
          </w:tcPr>
          <w:p>
            <w:pPr>
              <w:pStyle w:val="null3"/>
              <w:jc w:val="right"/>
            </w:pPr>
            <w:r>
              <w:rPr/>
              <w:t>27,000.00</w:t>
            </w:r>
          </w:p>
        </w:tc>
        <w:tc>
          <w:tcPr>
            <w:tcW w:type="dxa" w:w="831"/>
          </w:tcPr>
          <w:p>
            <w:pPr>
              <w:pStyle w:val="null3"/>
              <w:jc w:val="right"/>
            </w:pPr>
            <w:r>
              <w:rPr/>
              <w:t>783,000.00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移动工作站</w:t>
            </w:r>
          </w:p>
        </w:tc>
        <w:tc>
          <w:tcPr>
            <w:tcW w:type="dxa" w:w="831"/>
          </w:tcPr>
          <w:p>
            <w:pPr>
              <w:pStyle w:val="null3"/>
              <w:jc w:val="left"/>
            </w:pPr>
            <w:r>
              <w:rPr/>
              <w:t>移动工作站</w:t>
            </w:r>
          </w:p>
        </w:tc>
        <w:tc>
          <w:tcPr>
            <w:tcW w:type="dxa" w:w="831"/>
          </w:tcPr>
          <w:p>
            <w:pPr>
              <w:pStyle w:val="null3"/>
              <w:jc w:val="left"/>
            </w:pPr>
            <w:r>
              <w:rPr/>
              <w:t>台</w:t>
            </w:r>
          </w:p>
        </w:tc>
        <w:tc>
          <w:tcPr>
            <w:tcW w:type="dxa" w:w="831"/>
          </w:tcPr>
          <w:p>
            <w:pPr>
              <w:pStyle w:val="null3"/>
              <w:jc w:val="right"/>
            </w:pPr>
            <w:r>
              <w:rPr/>
              <w:t>12.00</w:t>
            </w:r>
          </w:p>
        </w:tc>
        <w:tc>
          <w:tcPr>
            <w:tcW w:type="dxa" w:w="831"/>
          </w:tcPr>
          <w:p>
            <w:pPr>
              <w:pStyle w:val="null3"/>
              <w:jc w:val="right"/>
            </w:pPr>
            <w:r>
              <w:rPr/>
              <w:t>14,000.00</w:t>
            </w:r>
          </w:p>
        </w:tc>
        <w:tc>
          <w:tcPr>
            <w:tcW w:type="dxa" w:w="831"/>
          </w:tcPr>
          <w:p>
            <w:pPr>
              <w:pStyle w:val="null3"/>
              <w:jc w:val="right"/>
            </w:pPr>
            <w:r>
              <w:rPr/>
              <w:t>168,000.00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服务器</w:t>
            </w:r>
          </w:p>
        </w:tc>
        <w:tc>
          <w:tcPr>
            <w:tcW w:type="dxa" w:w="831"/>
          </w:tcPr>
          <w:p>
            <w:pPr>
              <w:pStyle w:val="null3"/>
              <w:jc w:val="left"/>
            </w:pPr>
            <w:r>
              <w:rPr/>
              <w:t>服务器</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489,000.00</w:t>
            </w:r>
          </w:p>
        </w:tc>
        <w:tc>
          <w:tcPr>
            <w:tcW w:type="dxa" w:w="831"/>
          </w:tcPr>
          <w:p>
            <w:pPr>
              <w:pStyle w:val="null3"/>
              <w:jc w:val="right"/>
            </w:pPr>
            <w:r>
              <w:rPr/>
              <w:t>489,000.00</w:t>
            </w:r>
          </w:p>
        </w:tc>
        <w:tc>
          <w:tcPr>
            <w:tcW w:type="dxa" w:w="831"/>
          </w:tcPr>
          <w:p>
            <w:pPr>
              <w:pStyle w:val="null3"/>
            </w:pPr>
            <w:r>
              <w:rPr/>
              <w:t>工业</w:t>
            </w:r>
          </w:p>
        </w:tc>
        <w:tc>
          <w:tcPr>
            <w:tcW w:type="dxa" w:w="831"/>
          </w:tcPr>
          <w:p>
            <w:pPr>
              <w:pStyle w:val="null3"/>
            </w:pPr>
            <w:r>
              <w:rPr/>
              <w:t>详见附表三</w:t>
            </w:r>
          </w:p>
        </w:tc>
      </w:tr>
    </w:tbl>
    <w:p>
      <w:pPr>
        <w:pStyle w:val="null3"/>
      </w:pPr>
      <w:r>
        <w:rPr>
          <w:b/>
        </w:rPr>
        <w:t>附表</w:t>
      </w:r>
      <w:r>
        <w:rPr>
          <w:b/>
        </w:rPr>
        <w:t>一</w:t>
      </w:r>
      <w:r>
        <w:rPr>
          <w:b/>
        </w:rPr>
        <w:t>：</w:t>
      </w:r>
      <w:r>
        <w:rPr>
          <w:b/>
        </w:rPr>
        <w:t>图形工作站</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t>★条款详见用户需求书。</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t>▲单内存插槽最大可支持容量（板载内存不涉及）：≥</w:t>
            </w:r>
            <w:r>
              <w:rPr/>
              <w:t>64GB</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t>▲内存插槽满配时提供的最高内存总容量：≥</w:t>
            </w:r>
            <w:r>
              <w:rPr/>
              <w:t>256GB</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t>▲主板内置</w:t>
            </w:r>
            <w:r>
              <w:rPr/>
              <w:t>PCIe</w:t>
            </w:r>
            <w:r>
              <w:rPr/>
              <w:t>插槽数量：支持数量≥</w:t>
            </w:r>
            <w:r>
              <w:rPr/>
              <w:t>4</w:t>
            </w:r>
            <w:r>
              <w:rPr/>
              <w:t>，其中至少包括两个</w:t>
            </w:r>
            <w:r>
              <w:rPr/>
              <w:t xml:space="preserve">PCIex16 </w:t>
            </w:r>
            <w:r>
              <w:rPr/>
              <w:t>和</w:t>
            </w:r>
            <w:r>
              <w:rPr/>
              <w:t>1</w:t>
            </w:r>
            <w:r>
              <w:rPr/>
              <w:t>个</w:t>
            </w:r>
            <w:r>
              <w:rPr/>
              <w:t>PCIex8</w:t>
            </w:r>
            <w:r>
              <w:rPr/>
              <w:t>（须承诺中标后与本项目采购人签订合同后</w:t>
            </w:r>
            <w:r>
              <w:rPr/>
              <w:t>2</w:t>
            </w:r>
            <w:r>
              <w:rPr/>
              <w:t>个工作日内提供原厂盖章证明材料）</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t>▲固态存储容量：≥</w:t>
            </w:r>
            <w:r>
              <w:rPr/>
              <w:t>1TB</w:t>
            </w:r>
            <w:r>
              <w:rPr/>
              <w:t>，其中</w:t>
            </w:r>
            <w:r>
              <w:rPr/>
              <w:t>M.2 SSD</w:t>
            </w:r>
            <w:r>
              <w:rPr/>
              <w:t>固态盘容量≥</w:t>
            </w:r>
            <w:r>
              <w:rPr/>
              <w:t>512GB</w:t>
            </w:r>
            <w:r>
              <w:rPr/>
              <w:t>，</w:t>
            </w:r>
            <w:r>
              <w:rPr/>
              <w:t>SATA SSD</w:t>
            </w:r>
            <w:r>
              <w:rPr/>
              <w:t>固态盘容量≥</w:t>
            </w:r>
            <w:r>
              <w:rPr/>
              <w:t>512GB</w:t>
            </w:r>
          </w:p>
        </w:tc>
      </w:tr>
      <w:tr>
        <w:tc>
          <w:tcPr>
            <w:tcW w:type="dxa" w:w="2076"/>
          </w:tcPr>
          <w:p>
            <w:pPr>
              <w:pStyle w:val="null3"/>
            </w:pPr>
            <w:r>
              <w:rPr/>
              <w:t>▲</w:t>
            </w:r>
          </w:p>
        </w:tc>
        <w:tc>
          <w:tcPr>
            <w:tcW w:type="dxa" w:w="415"/>
          </w:tcPr>
          <w:p>
            <w:pPr>
              <w:pStyle w:val="null3"/>
            </w:pPr>
            <w:r>
              <w:rPr/>
              <w:t>6</w:t>
            </w:r>
          </w:p>
        </w:tc>
        <w:tc>
          <w:tcPr>
            <w:tcW w:type="dxa" w:w="5814"/>
          </w:tcPr>
          <w:p>
            <w:pPr>
              <w:pStyle w:val="null3"/>
            </w:pPr>
            <w:r>
              <w:rPr/>
              <w:t>▲机械硬盘总容量：≥</w:t>
            </w:r>
            <w:r>
              <w:rPr/>
              <w:t>16TB</w:t>
            </w:r>
          </w:p>
        </w:tc>
      </w:tr>
      <w:tr>
        <w:tc>
          <w:tcPr>
            <w:tcW w:type="dxa" w:w="2076"/>
          </w:tcPr>
          <w:p>
            <w:pPr>
              <w:pStyle w:val="null3"/>
            </w:pPr>
            <w:r>
              <w:rPr/>
              <w:t>▲</w:t>
            </w:r>
          </w:p>
        </w:tc>
        <w:tc>
          <w:tcPr>
            <w:tcW w:type="dxa" w:w="415"/>
          </w:tcPr>
          <w:p>
            <w:pPr>
              <w:pStyle w:val="null3"/>
            </w:pPr>
            <w:r>
              <w:rPr/>
              <w:t>7</w:t>
            </w:r>
          </w:p>
        </w:tc>
        <w:tc>
          <w:tcPr>
            <w:tcW w:type="dxa" w:w="5814"/>
          </w:tcPr>
          <w:p>
            <w:pPr>
              <w:pStyle w:val="null3"/>
            </w:pPr>
            <w:r>
              <w:rPr/>
              <w:t>▲故障诊断模块：内置</w:t>
            </w:r>
            <w:r>
              <w:rPr/>
              <w:t>PORT80</w:t>
            </w:r>
            <w:r>
              <w:rPr/>
              <w:t>诊断灯（须承诺中标后与本项目采购人签订合同后</w:t>
            </w:r>
            <w:r>
              <w:rPr/>
              <w:t>2</w:t>
            </w:r>
            <w:r>
              <w:rPr/>
              <w:t>个工作日内提供原厂盖章证明材料）</w:t>
            </w:r>
          </w:p>
        </w:tc>
      </w:tr>
      <w:tr>
        <w:tc>
          <w:tcPr>
            <w:tcW w:type="dxa" w:w="2076"/>
          </w:tcPr>
          <w:p>
            <w:pPr>
              <w:pStyle w:val="null3"/>
            </w:pPr>
            <w:r>
              <w:rPr/>
              <w:t>▲</w:t>
            </w:r>
          </w:p>
        </w:tc>
        <w:tc>
          <w:tcPr>
            <w:tcW w:type="dxa" w:w="415"/>
          </w:tcPr>
          <w:p>
            <w:pPr>
              <w:pStyle w:val="null3"/>
            </w:pPr>
            <w:r>
              <w:rPr/>
              <w:t>8</w:t>
            </w:r>
          </w:p>
        </w:tc>
        <w:tc>
          <w:tcPr>
            <w:tcW w:type="dxa" w:w="5814"/>
          </w:tcPr>
          <w:p>
            <w:pPr>
              <w:pStyle w:val="null3"/>
            </w:pPr>
            <w:r>
              <w:rPr/>
              <w:t>▲</w:t>
            </w:r>
            <w:r>
              <w:rPr/>
              <w:t>CPU</w:t>
            </w:r>
            <w:r>
              <w:rPr/>
              <w:t>支持的内存最高速率：≥</w:t>
            </w:r>
            <w:r>
              <w:rPr/>
              <w:t>3200MT/s</w:t>
            </w:r>
          </w:p>
        </w:tc>
      </w:tr>
      <w:tr>
        <w:tc>
          <w:tcPr>
            <w:tcW w:type="dxa" w:w="2076"/>
          </w:tcPr>
          <w:p>
            <w:pPr>
              <w:pStyle w:val="null3"/>
            </w:pPr>
            <w:r>
              <w:rPr/>
              <w:t>▲</w:t>
            </w:r>
          </w:p>
        </w:tc>
        <w:tc>
          <w:tcPr>
            <w:tcW w:type="dxa" w:w="415"/>
          </w:tcPr>
          <w:p>
            <w:pPr>
              <w:pStyle w:val="null3"/>
            </w:pPr>
            <w:r>
              <w:rPr/>
              <w:t>9</w:t>
            </w:r>
          </w:p>
        </w:tc>
        <w:tc>
          <w:tcPr>
            <w:tcW w:type="dxa" w:w="5814"/>
          </w:tcPr>
          <w:p>
            <w:pPr>
              <w:pStyle w:val="null3"/>
            </w:pPr>
            <w:r>
              <w:rPr/>
              <w:t>▲内存读写速率：≥</w:t>
            </w:r>
            <w:r>
              <w:rPr/>
              <w:t>3200MT/s</w:t>
            </w:r>
          </w:p>
        </w:tc>
      </w:tr>
      <w:tr>
        <w:tc>
          <w:tcPr>
            <w:tcW w:type="dxa" w:w="2076"/>
          </w:tcPr>
          <w:p>
            <w:pPr>
              <w:pStyle w:val="null3"/>
            </w:pPr>
            <w:r>
              <w:rPr/>
              <w:t>▲</w:t>
            </w:r>
          </w:p>
        </w:tc>
        <w:tc>
          <w:tcPr>
            <w:tcW w:type="dxa" w:w="415"/>
          </w:tcPr>
          <w:p>
            <w:pPr>
              <w:pStyle w:val="null3"/>
            </w:pPr>
            <w:r>
              <w:rPr/>
              <w:t>10</w:t>
            </w:r>
          </w:p>
        </w:tc>
        <w:tc>
          <w:tcPr>
            <w:tcW w:type="dxa" w:w="5814"/>
          </w:tcPr>
          <w:p>
            <w:pPr>
              <w:pStyle w:val="null3"/>
            </w:pPr>
            <w:r>
              <w:rPr/>
              <w:t>▲显示分辨率：≥</w:t>
            </w:r>
            <w:r>
              <w:rPr/>
              <w:t>7680</w:t>
            </w:r>
            <w:r>
              <w:rPr/>
              <w:t>×</w:t>
            </w:r>
            <w:r>
              <w:rPr/>
              <w:t>4320</w:t>
            </w:r>
          </w:p>
        </w:tc>
      </w:tr>
      <w:tr>
        <w:tc>
          <w:tcPr>
            <w:tcW w:type="dxa" w:w="2076"/>
          </w:tcPr>
          <w:p>
            <w:pPr>
              <w:pStyle w:val="null3"/>
            </w:pPr>
            <w:r>
              <w:rPr/>
              <w:t>▲</w:t>
            </w:r>
          </w:p>
        </w:tc>
        <w:tc>
          <w:tcPr>
            <w:tcW w:type="dxa" w:w="415"/>
          </w:tcPr>
          <w:p>
            <w:pPr>
              <w:pStyle w:val="null3"/>
            </w:pPr>
            <w:r>
              <w:rPr/>
              <w:t>11</w:t>
            </w:r>
          </w:p>
        </w:tc>
        <w:tc>
          <w:tcPr>
            <w:tcW w:type="dxa" w:w="5814"/>
          </w:tcPr>
          <w:p>
            <w:pPr>
              <w:pStyle w:val="null3"/>
            </w:pPr>
            <w:r>
              <w:rPr/>
              <w:t>▲独立显卡显存位宽≥</w:t>
            </w:r>
            <w:r>
              <w:rPr/>
              <w:t>192bit</w:t>
            </w:r>
          </w:p>
        </w:tc>
      </w:tr>
      <w:tr>
        <w:tc>
          <w:tcPr>
            <w:tcW w:type="dxa" w:w="2076"/>
          </w:tcPr>
          <w:p>
            <w:pPr>
              <w:pStyle w:val="null3"/>
            </w:pPr>
            <w:r>
              <w:rPr/>
              <w:t>▲</w:t>
            </w:r>
          </w:p>
        </w:tc>
        <w:tc>
          <w:tcPr>
            <w:tcW w:type="dxa" w:w="415"/>
          </w:tcPr>
          <w:p>
            <w:pPr>
              <w:pStyle w:val="null3"/>
            </w:pPr>
            <w:r>
              <w:rPr/>
              <w:t>12</w:t>
            </w:r>
          </w:p>
        </w:tc>
        <w:tc>
          <w:tcPr>
            <w:tcW w:type="dxa" w:w="5814"/>
          </w:tcPr>
          <w:p>
            <w:pPr>
              <w:pStyle w:val="null3"/>
            </w:pPr>
            <w:r>
              <w:rPr/>
              <w:t>▲独立显卡显存容量：≥</w:t>
            </w:r>
            <w:r>
              <w:rPr/>
              <w:t>12GB</w:t>
            </w:r>
          </w:p>
        </w:tc>
      </w:tr>
      <w:tr>
        <w:tc>
          <w:tcPr>
            <w:tcW w:type="dxa" w:w="2076"/>
          </w:tcPr>
          <w:p>
            <w:pPr>
              <w:pStyle w:val="null3"/>
            </w:pPr>
            <w:r>
              <w:rPr/>
              <w:t>▲</w:t>
            </w:r>
          </w:p>
        </w:tc>
        <w:tc>
          <w:tcPr>
            <w:tcW w:type="dxa" w:w="415"/>
          </w:tcPr>
          <w:p>
            <w:pPr>
              <w:pStyle w:val="null3"/>
            </w:pPr>
            <w:r>
              <w:rPr/>
              <w:t>13</w:t>
            </w:r>
          </w:p>
        </w:tc>
        <w:tc>
          <w:tcPr>
            <w:tcW w:type="dxa" w:w="5814"/>
          </w:tcPr>
          <w:p>
            <w:pPr>
              <w:pStyle w:val="null3"/>
            </w:pPr>
            <w:r>
              <w:rPr/>
              <w:t>▲显卡可支持多屏同时显示数量：能支持</w:t>
            </w:r>
            <w:r>
              <w:rPr/>
              <w:t>4</w:t>
            </w:r>
            <w:r>
              <w:rPr/>
              <w:t>块屏幕同时显示，分辨率应不低于</w:t>
            </w:r>
            <w:r>
              <w:rPr/>
              <w:t>4096x2160@120Hz</w:t>
            </w:r>
          </w:p>
        </w:tc>
      </w:tr>
      <w:tr>
        <w:tc>
          <w:tcPr>
            <w:tcW w:type="dxa" w:w="2076"/>
          </w:tcPr>
          <w:p>
            <w:pPr>
              <w:pStyle w:val="null3"/>
            </w:pPr>
            <w:r>
              <w:rPr/>
              <w:t>▲</w:t>
            </w:r>
          </w:p>
        </w:tc>
        <w:tc>
          <w:tcPr>
            <w:tcW w:type="dxa" w:w="415"/>
          </w:tcPr>
          <w:p>
            <w:pPr>
              <w:pStyle w:val="null3"/>
            </w:pPr>
            <w:r>
              <w:rPr/>
              <w:t>14</w:t>
            </w:r>
          </w:p>
        </w:tc>
        <w:tc>
          <w:tcPr>
            <w:tcW w:type="dxa" w:w="5814"/>
          </w:tcPr>
          <w:p>
            <w:pPr>
              <w:pStyle w:val="null3"/>
            </w:pPr>
            <w:r>
              <w:rPr/>
              <w:t>▲</w:t>
            </w:r>
            <w:r>
              <w:rPr/>
              <w:t>MTBF</w:t>
            </w:r>
            <w:r>
              <w:rPr/>
              <w:t>测试：</w:t>
            </w:r>
            <w:r>
              <w:rPr/>
              <w:t>MTBF(m1)</w:t>
            </w:r>
            <w:r>
              <w:rPr/>
              <w:t>≥</w:t>
            </w:r>
            <w:r>
              <w:rPr/>
              <w:t>30</w:t>
            </w:r>
            <w:r>
              <w:rPr/>
              <w:t>万小时（须承诺中标后与本项目采购人签订合同后</w:t>
            </w:r>
            <w:r>
              <w:rPr/>
              <w:t>2</w:t>
            </w:r>
            <w:r>
              <w:rPr/>
              <w:t>个工作日内提供原厂盖章证明材料）</w:t>
            </w:r>
          </w:p>
        </w:tc>
      </w:tr>
      <w:tr>
        <w:tc>
          <w:tcPr>
            <w:tcW w:type="dxa" w:w="2076"/>
          </w:tcPr>
          <w:p>
            <w:pPr>
              <w:pStyle w:val="null3"/>
            </w:pPr>
            <w:r>
              <w:rPr/>
              <w:t>▲</w:t>
            </w:r>
          </w:p>
        </w:tc>
        <w:tc>
          <w:tcPr>
            <w:tcW w:type="dxa" w:w="415"/>
          </w:tcPr>
          <w:p>
            <w:pPr>
              <w:pStyle w:val="null3"/>
            </w:pPr>
            <w:r>
              <w:rPr/>
              <w:t>15</w:t>
            </w:r>
          </w:p>
        </w:tc>
        <w:tc>
          <w:tcPr>
            <w:tcW w:type="dxa" w:w="5814"/>
          </w:tcPr>
          <w:p>
            <w:pPr>
              <w:pStyle w:val="null3"/>
            </w:pPr>
            <w:r>
              <w:rPr/>
              <w:t>▲常用软件兼容：整机厂商完成不少于</w:t>
            </w:r>
            <w:r>
              <w:rPr/>
              <w:t>10</w:t>
            </w:r>
            <w:r>
              <w:rPr/>
              <w:t>份所投产品同系列型号与操作系统或应用软件产品兼容性互认证。（须承诺中标后与本项目采购人签订合同后</w:t>
            </w:r>
            <w:r>
              <w:rPr/>
              <w:t>2</w:t>
            </w:r>
            <w:r>
              <w:rPr/>
              <w:t>个工作日内提供盖有互认证双方公司公章的产品兼容性互认证证书）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移动工作站</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t>★条款详见用户需求书</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t>▲内存配置容量：≥</w:t>
            </w:r>
            <w:r>
              <w:rPr/>
              <w:t>64GB</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t>▲单内存插槽最大可支持容量（板载内存不涉及）：≥</w:t>
            </w:r>
            <w:r>
              <w:rPr/>
              <w:t>32GB</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t>▲内存插槽满配时提供的最高内存总容量：≥</w:t>
            </w:r>
            <w:r>
              <w:rPr/>
              <w:t>32G</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t>▲独立显卡显存位宽：≥</w:t>
            </w:r>
            <w:r>
              <w:rPr/>
              <w:t>64</w:t>
            </w:r>
            <w:r>
              <w:rPr/>
              <w:t>位</w:t>
            </w:r>
          </w:p>
        </w:tc>
      </w:tr>
      <w:tr>
        <w:tc>
          <w:tcPr>
            <w:tcW w:type="dxa" w:w="2076"/>
          </w:tcPr>
          <w:p>
            <w:pPr>
              <w:pStyle w:val="null3"/>
            </w:pPr>
            <w:r>
              <w:rPr/>
              <w:t>▲</w:t>
            </w:r>
          </w:p>
        </w:tc>
        <w:tc>
          <w:tcPr>
            <w:tcW w:type="dxa" w:w="415"/>
          </w:tcPr>
          <w:p>
            <w:pPr>
              <w:pStyle w:val="null3"/>
            </w:pPr>
            <w:r>
              <w:rPr/>
              <w:t>6</w:t>
            </w:r>
          </w:p>
        </w:tc>
        <w:tc>
          <w:tcPr>
            <w:tcW w:type="dxa" w:w="5814"/>
          </w:tcPr>
          <w:p>
            <w:pPr>
              <w:pStyle w:val="null3"/>
            </w:pPr>
            <w:r>
              <w:rPr/>
              <w:t>▲独立显卡显存容量：≥</w:t>
            </w:r>
            <w:r>
              <w:rPr/>
              <w:t>4GB</w:t>
            </w:r>
          </w:p>
        </w:tc>
      </w:tr>
      <w:tr>
        <w:tc>
          <w:tcPr>
            <w:tcW w:type="dxa" w:w="2076"/>
          </w:tcPr>
          <w:p>
            <w:pPr>
              <w:pStyle w:val="null3"/>
            </w:pPr>
            <w:r>
              <w:rPr/>
              <w:t>▲</w:t>
            </w:r>
          </w:p>
        </w:tc>
        <w:tc>
          <w:tcPr>
            <w:tcW w:type="dxa" w:w="415"/>
          </w:tcPr>
          <w:p>
            <w:pPr>
              <w:pStyle w:val="null3"/>
            </w:pPr>
            <w:r>
              <w:rPr/>
              <w:t>7</w:t>
            </w:r>
          </w:p>
        </w:tc>
        <w:tc>
          <w:tcPr>
            <w:tcW w:type="dxa" w:w="5814"/>
          </w:tcPr>
          <w:p>
            <w:pPr>
              <w:pStyle w:val="null3"/>
            </w:pPr>
            <w:r>
              <w:rPr/>
              <w:t>▲独立显卡接口协议：产品支持</w:t>
            </w:r>
            <w:r>
              <w:rPr/>
              <w:t>PCIe</w:t>
            </w:r>
            <w:r>
              <w:rPr/>
              <w:t>协议版本大于等于</w:t>
            </w:r>
            <w:r>
              <w:rPr/>
              <w:t>3.0</w:t>
            </w:r>
            <w:r>
              <w:rPr/>
              <w:t>的独立显卡接口协议（须承诺中标后与本项目采购人签订合同后</w:t>
            </w:r>
            <w:r>
              <w:rPr/>
              <w:t>2</w:t>
            </w:r>
            <w:r>
              <w:rPr/>
              <w:t>个工作日内提供原厂盖章证明材料）</w:t>
            </w:r>
          </w:p>
        </w:tc>
      </w:tr>
      <w:tr>
        <w:tc>
          <w:tcPr>
            <w:tcW w:type="dxa" w:w="2076"/>
          </w:tcPr>
          <w:p>
            <w:pPr>
              <w:pStyle w:val="null3"/>
            </w:pPr>
            <w:r>
              <w:rPr/>
              <w:t>▲</w:t>
            </w:r>
          </w:p>
        </w:tc>
        <w:tc>
          <w:tcPr>
            <w:tcW w:type="dxa" w:w="415"/>
          </w:tcPr>
          <w:p>
            <w:pPr>
              <w:pStyle w:val="null3"/>
            </w:pPr>
            <w:r>
              <w:rPr/>
              <w:t>8</w:t>
            </w:r>
          </w:p>
        </w:tc>
        <w:tc>
          <w:tcPr>
            <w:tcW w:type="dxa" w:w="5814"/>
          </w:tcPr>
          <w:p>
            <w:pPr>
              <w:pStyle w:val="null3"/>
            </w:pPr>
            <w:r>
              <w:rPr/>
              <w:t>▲显示屏分辨率：≥</w:t>
            </w:r>
            <w:r>
              <w:rPr/>
              <w:t>1920x1200</w:t>
            </w:r>
          </w:p>
        </w:tc>
      </w:tr>
      <w:tr>
        <w:tc>
          <w:tcPr>
            <w:tcW w:type="dxa" w:w="2076"/>
          </w:tcPr>
          <w:p>
            <w:pPr>
              <w:pStyle w:val="null3"/>
            </w:pPr>
            <w:r>
              <w:rPr/>
              <w:t>▲</w:t>
            </w:r>
          </w:p>
        </w:tc>
        <w:tc>
          <w:tcPr>
            <w:tcW w:type="dxa" w:w="415"/>
          </w:tcPr>
          <w:p>
            <w:pPr>
              <w:pStyle w:val="null3"/>
            </w:pPr>
            <w:r>
              <w:rPr/>
              <w:t>9</w:t>
            </w:r>
          </w:p>
        </w:tc>
        <w:tc>
          <w:tcPr>
            <w:tcW w:type="dxa" w:w="5814"/>
          </w:tcPr>
          <w:p>
            <w:pPr>
              <w:pStyle w:val="null3"/>
            </w:pPr>
            <w:r>
              <w:rPr/>
              <w:t>▲电池快速充电功能：支持快速充电功能，</w:t>
            </w:r>
            <w:r>
              <w:rPr/>
              <w:t>USB PD</w:t>
            </w:r>
            <w:r>
              <w:rPr/>
              <w:t>（须承诺中标后与本项目采购人签订合同后</w:t>
            </w:r>
            <w:r>
              <w:rPr/>
              <w:t>2</w:t>
            </w:r>
            <w:r>
              <w:rPr/>
              <w:t>个工作日内提供原厂盖章证明材料）</w:t>
            </w:r>
          </w:p>
        </w:tc>
      </w:tr>
      <w:tr>
        <w:tc>
          <w:tcPr>
            <w:tcW w:type="dxa" w:w="2076"/>
          </w:tcPr>
          <w:p>
            <w:pPr>
              <w:pStyle w:val="null3"/>
            </w:pPr>
            <w:r>
              <w:rPr/>
              <w:t>▲</w:t>
            </w:r>
          </w:p>
        </w:tc>
        <w:tc>
          <w:tcPr>
            <w:tcW w:type="dxa" w:w="415"/>
          </w:tcPr>
          <w:p>
            <w:pPr>
              <w:pStyle w:val="null3"/>
            </w:pPr>
            <w:r>
              <w:rPr/>
              <w:t>10</w:t>
            </w:r>
          </w:p>
        </w:tc>
        <w:tc>
          <w:tcPr>
            <w:tcW w:type="dxa" w:w="5814"/>
          </w:tcPr>
          <w:p>
            <w:pPr>
              <w:pStyle w:val="null3"/>
            </w:pPr>
            <w:r>
              <w:rPr/>
              <w:t>▲</w:t>
            </w:r>
            <w:r>
              <w:rPr/>
              <w:t>CPU</w:t>
            </w:r>
            <w:r>
              <w:rPr/>
              <w:t>支持的内存最高速率：≥</w:t>
            </w:r>
            <w:r>
              <w:rPr/>
              <w:t>3200MT/s</w:t>
            </w:r>
          </w:p>
        </w:tc>
      </w:tr>
      <w:tr>
        <w:tc>
          <w:tcPr>
            <w:tcW w:type="dxa" w:w="2076"/>
          </w:tcPr>
          <w:p>
            <w:pPr>
              <w:pStyle w:val="null3"/>
            </w:pPr>
            <w:r>
              <w:rPr/>
              <w:t>▲</w:t>
            </w:r>
          </w:p>
        </w:tc>
        <w:tc>
          <w:tcPr>
            <w:tcW w:type="dxa" w:w="415"/>
          </w:tcPr>
          <w:p>
            <w:pPr>
              <w:pStyle w:val="null3"/>
            </w:pPr>
            <w:r>
              <w:rPr/>
              <w:t>11</w:t>
            </w:r>
          </w:p>
        </w:tc>
        <w:tc>
          <w:tcPr>
            <w:tcW w:type="dxa" w:w="5814"/>
          </w:tcPr>
          <w:p>
            <w:pPr>
              <w:pStyle w:val="null3"/>
            </w:pPr>
            <w:r>
              <w:rPr/>
              <w:t>▲内存读写速率：≥</w:t>
            </w:r>
            <w:r>
              <w:rPr/>
              <w:t>3200MT/s</w:t>
            </w:r>
          </w:p>
        </w:tc>
      </w:tr>
      <w:tr>
        <w:tc>
          <w:tcPr>
            <w:tcW w:type="dxa" w:w="2076"/>
          </w:tcPr>
          <w:p>
            <w:pPr>
              <w:pStyle w:val="null3"/>
            </w:pPr>
            <w:r>
              <w:rPr/>
              <w:t>▲</w:t>
            </w:r>
          </w:p>
        </w:tc>
        <w:tc>
          <w:tcPr>
            <w:tcW w:type="dxa" w:w="415"/>
          </w:tcPr>
          <w:p>
            <w:pPr>
              <w:pStyle w:val="null3"/>
            </w:pPr>
            <w:r>
              <w:rPr/>
              <w:t>12</w:t>
            </w:r>
          </w:p>
        </w:tc>
        <w:tc>
          <w:tcPr>
            <w:tcW w:type="dxa" w:w="5814"/>
          </w:tcPr>
          <w:p>
            <w:pPr>
              <w:pStyle w:val="null3"/>
            </w:pPr>
            <w:r>
              <w:rPr/>
              <w:t>▲显卡显示芯片核心频率：≥</w:t>
            </w:r>
            <w:r>
              <w:rPr/>
              <w:t>1300MHz</w:t>
            </w:r>
          </w:p>
        </w:tc>
      </w:tr>
      <w:tr>
        <w:tc>
          <w:tcPr>
            <w:tcW w:type="dxa" w:w="2076"/>
          </w:tcPr>
          <w:p>
            <w:pPr>
              <w:pStyle w:val="null3"/>
            </w:pPr>
            <w:r>
              <w:rPr/>
              <w:t>▲</w:t>
            </w:r>
          </w:p>
        </w:tc>
        <w:tc>
          <w:tcPr>
            <w:tcW w:type="dxa" w:w="415"/>
          </w:tcPr>
          <w:p>
            <w:pPr>
              <w:pStyle w:val="null3"/>
            </w:pPr>
            <w:r>
              <w:rPr/>
              <w:t>13</w:t>
            </w:r>
          </w:p>
        </w:tc>
        <w:tc>
          <w:tcPr>
            <w:tcW w:type="dxa" w:w="5814"/>
          </w:tcPr>
          <w:p>
            <w:pPr>
              <w:pStyle w:val="null3"/>
            </w:pPr>
            <w:r>
              <w:rPr/>
              <w:t>▲显存等效频率：≥</w:t>
            </w:r>
            <w:r>
              <w:rPr/>
              <w:t>4200MT/s</w:t>
            </w:r>
          </w:p>
        </w:tc>
      </w:tr>
      <w:tr>
        <w:tc>
          <w:tcPr>
            <w:tcW w:type="dxa" w:w="2076"/>
          </w:tcPr>
          <w:p>
            <w:pPr>
              <w:pStyle w:val="null3"/>
            </w:pPr>
            <w:r>
              <w:rPr/>
              <w:t>▲</w:t>
            </w:r>
          </w:p>
        </w:tc>
        <w:tc>
          <w:tcPr>
            <w:tcW w:type="dxa" w:w="415"/>
          </w:tcPr>
          <w:p>
            <w:pPr>
              <w:pStyle w:val="null3"/>
            </w:pPr>
            <w:r>
              <w:rPr/>
              <w:t>14</w:t>
            </w:r>
          </w:p>
        </w:tc>
        <w:tc>
          <w:tcPr>
            <w:tcW w:type="dxa" w:w="5814"/>
          </w:tcPr>
          <w:p>
            <w:pPr>
              <w:pStyle w:val="null3"/>
            </w:pPr>
            <w:r>
              <w:rPr/>
              <w:t>▲显示屏亮度：≥</w:t>
            </w:r>
            <w:r>
              <w:rPr/>
              <w:t>300</w:t>
            </w:r>
            <w:r>
              <w:rPr/>
              <w:t>尼特</w:t>
            </w:r>
          </w:p>
        </w:tc>
      </w:tr>
      <w:tr>
        <w:tc>
          <w:tcPr>
            <w:tcW w:type="dxa" w:w="2076"/>
          </w:tcPr>
          <w:p>
            <w:pPr>
              <w:pStyle w:val="null3"/>
            </w:pPr>
            <w:r>
              <w:rPr/>
              <w:t>▲</w:t>
            </w:r>
          </w:p>
        </w:tc>
        <w:tc>
          <w:tcPr>
            <w:tcW w:type="dxa" w:w="415"/>
          </w:tcPr>
          <w:p>
            <w:pPr>
              <w:pStyle w:val="null3"/>
            </w:pPr>
            <w:r>
              <w:rPr/>
              <w:t>15</w:t>
            </w:r>
          </w:p>
        </w:tc>
        <w:tc>
          <w:tcPr>
            <w:tcW w:type="dxa" w:w="5814"/>
          </w:tcPr>
          <w:p>
            <w:pPr>
              <w:pStyle w:val="null3"/>
            </w:pPr>
            <w:r>
              <w:rPr/>
              <w:t>▲网络设备支持无线网络通信技术协议：支持不低于</w:t>
            </w:r>
            <w:r>
              <w:rPr/>
              <w:t>WiFi6</w:t>
            </w:r>
            <w:r>
              <w:rPr/>
              <w:t>（须承诺中标后与本项目采购人签订合同后</w:t>
            </w:r>
            <w:r>
              <w:rPr/>
              <w:t>2</w:t>
            </w:r>
            <w:r>
              <w:rPr/>
              <w:t>个工作日内提供原厂盖章证明材料）</w:t>
            </w:r>
          </w:p>
        </w:tc>
      </w:tr>
      <w:tr>
        <w:tc>
          <w:tcPr>
            <w:tcW w:type="dxa" w:w="2076"/>
          </w:tcPr>
          <w:p>
            <w:pPr>
              <w:pStyle w:val="null3"/>
            </w:pPr>
            <w:r>
              <w:rPr/>
              <w:t>▲</w:t>
            </w:r>
          </w:p>
        </w:tc>
        <w:tc>
          <w:tcPr>
            <w:tcW w:type="dxa" w:w="415"/>
          </w:tcPr>
          <w:p>
            <w:pPr>
              <w:pStyle w:val="null3"/>
            </w:pPr>
            <w:r>
              <w:rPr/>
              <w:t>16</w:t>
            </w:r>
          </w:p>
        </w:tc>
        <w:tc>
          <w:tcPr>
            <w:tcW w:type="dxa" w:w="5814"/>
          </w:tcPr>
          <w:p>
            <w:pPr>
              <w:pStyle w:val="null3"/>
            </w:pPr>
            <w:r>
              <w:rPr/>
              <w:t>▲网络设备蓝牙协议：支持蓝牙模块，蓝牙协议不低于</w:t>
            </w:r>
            <w:r>
              <w:rPr/>
              <w:t>5.2</w:t>
            </w:r>
            <w:r>
              <w:rPr/>
              <w:t>版本</w:t>
            </w:r>
          </w:p>
        </w:tc>
      </w:tr>
      <w:tr>
        <w:tc>
          <w:tcPr>
            <w:tcW w:type="dxa" w:w="2076"/>
          </w:tcPr>
          <w:p>
            <w:pPr>
              <w:pStyle w:val="null3"/>
            </w:pPr>
            <w:r>
              <w:rPr/>
              <w:t>▲</w:t>
            </w:r>
          </w:p>
        </w:tc>
        <w:tc>
          <w:tcPr>
            <w:tcW w:type="dxa" w:w="415"/>
          </w:tcPr>
          <w:p>
            <w:pPr>
              <w:pStyle w:val="null3"/>
            </w:pPr>
            <w:r>
              <w:rPr/>
              <w:t>17</w:t>
            </w:r>
          </w:p>
        </w:tc>
        <w:tc>
          <w:tcPr>
            <w:tcW w:type="dxa" w:w="5814"/>
          </w:tcPr>
          <w:p>
            <w:pPr>
              <w:pStyle w:val="null3"/>
            </w:pPr>
            <w:r>
              <w:rPr/>
              <w:t>▲</w:t>
            </w:r>
            <w:r>
              <w:rPr/>
              <w:t>MTBF</w:t>
            </w:r>
            <w:r>
              <w:rPr/>
              <w:t>测试：≥</w:t>
            </w:r>
            <w:r>
              <w:rPr/>
              <w:t>30</w:t>
            </w:r>
            <w:r>
              <w:rPr/>
              <w:t>万小时（须承诺中标后与本项目采购人签订合同后</w:t>
            </w:r>
            <w:r>
              <w:rPr/>
              <w:t>2</w:t>
            </w:r>
            <w:r>
              <w:rPr/>
              <w:t>个工作日内提供原厂盖章证明材料）</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服务器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t>★条款详见用户需求书</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t>▲主板</w:t>
            </w:r>
            <w:r>
              <w:rPr/>
              <w:t>PCIe</w:t>
            </w:r>
            <w:r>
              <w:rPr/>
              <w:t>插槽数量及规格：提供标准</w:t>
            </w:r>
            <w:r>
              <w:rPr/>
              <w:t>PCIe4.0</w:t>
            </w:r>
            <w:r>
              <w:rPr/>
              <w:t>插槽≥</w:t>
            </w:r>
            <w:r>
              <w:rPr/>
              <w:t>12</w:t>
            </w:r>
            <w:r>
              <w:rPr/>
              <w:t>个</w:t>
            </w:r>
            <w:r>
              <w:rPr/>
              <w:t>x16</w:t>
            </w:r>
            <w:r>
              <w:rPr/>
              <w:t>插槽；提供</w:t>
            </w:r>
            <w:r>
              <w:rPr/>
              <w:t>2</w:t>
            </w:r>
            <w:r>
              <w:rPr/>
              <w:t>个内置的</w:t>
            </w:r>
            <w:r>
              <w:rPr/>
              <w:t>RAID</w:t>
            </w:r>
            <w:r>
              <w:rPr/>
              <w:t>卡专用</w:t>
            </w:r>
            <w:r>
              <w:rPr/>
              <w:t>PCIe</w:t>
            </w:r>
            <w:r>
              <w:rPr/>
              <w:t>插槽。</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t>▲内存配置容量：≥</w:t>
            </w:r>
            <w:r>
              <w:rPr>
                <w:sz w:val="20"/>
                <w:color w:val="000000"/>
              </w:rPr>
              <w:t>512GB DDR5 4800MHz ECC RDIMM</w:t>
            </w:r>
            <w:r>
              <w:rPr>
                <w:sz w:val="20"/>
                <w:color w:val="000000"/>
              </w:rPr>
              <w:t>。</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t>▲独立显卡数量：≥</w:t>
            </w:r>
            <w:r>
              <w:rPr/>
              <w:t>8</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t>▲独立显卡信息：显存类型：</w:t>
            </w:r>
            <w:r>
              <w:rPr/>
              <w:t>GDDR6</w:t>
            </w:r>
            <w:r>
              <w:rPr/>
              <w:t>；显存位宽：≥</w:t>
            </w:r>
            <w:r>
              <w:rPr/>
              <w:t>384bit</w:t>
            </w:r>
            <w:r>
              <w:rPr/>
              <w:t>；显存容量≥</w:t>
            </w:r>
            <w:r>
              <w:rPr/>
              <w:t>24GB</w:t>
            </w:r>
            <w:r>
              <w:rPr/>
              <w:t>；接口协议：产品支持</w:t>
            </w:r>
            <w:r>
              <w:rPr/>
              <w:t>PCIe</w:t>
            </w:r>
            <w:r>
              <w:rPr/>
              <w:t>协议版本大于等于</w:t>
            </w:r>
            <w:r>
              <w:rPr/>
              <w:t>4.0</w:t>
            </w:r>
            <w:r>
              <w:rPr/>
              <w:t>。</w:t>
            </w:r>
          </w:p>
        </w:tc>
      </w:tr>
      <w:tr>
        <w:tc>
          <w:tcPr>
            <w:tcW w:type="dxa" w:w="2076"/>
          </w:tcPr>
          <w:p>
            <w:pPr>
              <w:pStyle w:val="null3"/>
            </w:pPr>
            <w:r>
              <w:rPr/>
              <w:t>▲</w:t>
            </w:r>
          </w:p>
        </w:tc>
        <w:tc>
          <w:tcPr>
            <w:tcW w:type="dxa" w:w="415"/>
          </w:tcPr>
          <w:p>
            <w:pPr>
              <w:pStyle w:val="null3"/>
            </w:pPr>
            <w:r>
              <w:rPr/>
              <w:t>6</w:t>
            </w:r>
          </w:p>
        </w:tc>
        <w:tc>
          <w:tcPr>
            <w:tcW w:type="dxa" w:w="5814"/>
          </w:tcPr>
          <w:p>
            <w:pPr>
              <w:pStyle w:val="null3"/>
            </w:pPr>
            <w:r>
              <w:rPr/>
              <w:t>▲预装操作系统：预装符合桌面操作系统政府采购需求标准、通过安全可靠测评的正版银河麒麟高级服务器操作系统</w:t>
            </w:r>
            <w:r>
              <w:rPr/>
              <w:t xml:space="preserve"> V10 SP3</w:t>
            </w:r>
            <w:r>
              <w:rPr/>
              <w:t>（内核版本</w:t>
            </w:r>
            <w:r>
              <w:rPr/>
              <w:t>4.19</w:t>
            </w:r>
            <w:r>
              <w:rPr/>
              <w:t>），含不少于</w:t>
            </w:r>
            <w:r>
              <w:rPr/>
              <w:t>3</w:t>
            </w:r>
            <w:r>
              <w:rPr/>
              <w:t>年升级服务</w:t>
            </w:r>
          </w:p>
        </w:tc>
      </w:tr>
      <w:tr>
        <w:tc>
          <w:tcPr>
            <w:tcW w:type="dxa" w:w="2076"/>
          </w:tcPr>
          <w:p>
            <w:pPr>
              <w:pStyle w:val="null3"/>
            </w:pPr>
            <w:r>
              <w:rPr/>
              <w:t>▲</w:t>
            </w:r>
          </w:p>
        </w:tc>
        <w:tc>
          <w:tcPr>
            <w:tcW w:type="dxa" w:w="415"/>
          </w:tcPr>
          <w:p>
            <w:pPr>
              <w:pStyle w:val="null3"/>
            </w:pPr>
            <w:r>
              <w:rPr/>
              <w:t>7</w:t>
            </w:r>
          </w:p>
        </w:tc>
        <w:tc>
          <w:tcPr>
            <w:tcW w:type="dxa" w:w="5814"/>
          </w:tcPr>
          <w:p>
            <w:pPr>
              <w:pStyle w:val="null3"/>
            </w:pPr>
            <w:r>
              <w:rPr/>
              <w:t>▲整机可靠性：</w:t>
            </w:r>
            <w:r>
              <w:rPr/>
              <w:t>MTBF(m1)</w:t>
            </w:r>
            <w:r>
              <w:rPr/>
              <w:t>≥</w:t>
            </w:r>
            <w:r>
              <w:rPr/>
              <w:t>20</w:t>
            </w:r>
            <w:r>
              <w:rPr/>
              <w:t>万小时（须承诺成交后与采购人签订合同时提供原厂盖章证明材料）</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广东省地图院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采购机构代理服务收费标准：http://gpcgd.gd.gov.cn/ywdt/tzgg/content/post_3049076.html（以中标金额为基数计算）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主持人开启远程解密起30分钟内完成；说明：具体情况根据开标时现场代理机构人员设置为准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省地图院计算机设备采购（2025年）)：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采购包1（广东省地图院计算机设备采购（2025年））：</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1） 供应商所投产品属于“环境标志产品政府采购品目清单”范围的，提供国家确定的认证机构出具的、处于有效期之内的环境标志产品认证证书，环境标志产品核实价给予C2的价格扣除。 评审价＝核实价－环境标志产品核实价×C2（C2的取值为1 %）； 2）供应商所投产品属于“节能产品政府采购品目清单”优先采购范围（即非标注星号的产品）的，提供国家确定的认证机构出具的、处于有效期之内的节能标志产品认证证书，节能产品核实价给予C3的价格扣除。 评审价＝核实价－节能产品核实价×C3（C3的取值为1%）；上述节能产品包括节水产品。</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采购包1（广东省地图院计算机设备采购（2025年））：</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书面声明（承诺具有依法缴纳税收和社会保障资金的良好记录），格式自拟；或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书面声明（承诺具有良好的商业信誉和健全的财务会计制度），格式自拟；或提供经会计师事务所审计的投标人2023年度或2024年度财务状况报告；或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提供书面声明（承诺具备履行合同所必需的设备和专业技术能力），格式自拟；或按投标（响应）文件格式填报设备及专业技术能力情况。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按照《投标函》相关内容格式要求提供承诺。注：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信用中国”网站(www.creditchina.gov.cn)列入“失信被执行人”“重大税收违法失信主体”“政府采购严重违法失信行为记录名单”；不处于中国政府采购网(www.ccgp.gov.cn)“政府采购严重违法失信行为信息记录”中的禁止参加政府采购活动期间。（以采购代理机构于投标（响应）截止日当天在“信用中国”网站（www.creditchina.gov.cn）及中国政府采购网（www.ccgp.gov.cn）查询结果为准，如相关失信记录已失效，报价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不得再参与本项目投标（响应）。按《投标函》相关内容格式要求提供承诺。</w:t>
            </w:r>
          </w:p>
        </w:tc>
      </w:tr>
    </w:tbl>
    <w:p>
      <w:pPr>
        <w:pStyle w:val="null3"/>
        <w:ind w:firstLine="480"/>
      </w:pPr>
      <w:r>
        <w:rPr/>
        <w:t>表二符合性审查表：</w:t>
      </w:r>
    </w:p>
    <w:p>
      <w:pPr>
        <w:pStyle w:val="null3"/>
      </w:pPr>
      <w:r>
        <w:rPr/>
        <w:t>采购包1（广东省地图院计算机设备采购（2025年））：</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投标（报价）总金额是固定价且是唯一的，未超过采购预算，分项报价未超过分项采购预算。</w:t>
            </w:r>
          </w:p>
        </w:tc>
        <w:tc>
          <w:tcPr>
            <w:tcW w:type="dxa" w:w="4238"/>
          </w:tcPr>
          <w:p>
            <w:pPr>
              <w:pStyle w:val="null3"/>
            </w:pPr>
            <w:r>
              <w:rPr/>
              <w:t>投标（报价）总金额是固定价且是唯一的，未超过采购预算，分项报价未超过分项采购预算。</w:t>
            </w:r>
          </w:p>
        </w:tc>
      </w:tr>
      <w:tr>
        <w:tc>
          <w:tcPr>
            <w:tcW w:type="dxa" w:w="890"/>
          </w:tcPr>
          <w:p>
            <w:pPr>
              <w:pStyle w:val="null3"/>
            </w:pPr>
            <w:r>
              <w:rPr/>
              <w:t>2</w:t>
            </w:r>
          </w:p>
        </w:tc>
        <w:tc>
          <w:tcPr>
            <w:tcW w:type="dxa" w:w="3178"/>
          </w:tcPr>
          <w:p>
            <w:pPr>
              <w:pStyle w:val="null3"/>
            </w:pPr>
            <w:r>
              <w:rPr/>
              <w:t>对标的没有报价漏项。</w:t>
            </w:r>
          </w:p>
        </w:tc>
        <w:tc>
          <w:tcPr>
            <w:tcW w:type="dxa" w:w="4238"/>
          </w:tcPr>
          <w:p>
            <w:pPr>
              <w:pStyle w:val="null3"/>
            </w:pPr>
            <w:r>
              <w:rPr/>
              <w:t>对标的没有报价漏项。</w:t>
            </w:r>
          </w:p>
        </w:tc>
      </w:tr>
      <w:tr>
        <w:tc>
          <w:tcPr>
            <w:tcW w:type="dxa" w:w="890"/>
          </w:tcPr>
          <w:p>
            <w:pPr>
              <w:pStyle w:val="null3"/>
            </w:pPr>
            <w:r>
              <w:rPr/>
              <w:t>3</w:t>
            </w:r>
          </w:p>
        </w:tc>
        <w:tc>
          <w:tcPr>
            <w:tcW w:type="dxa" w:w="3178"/>
          </w:tcPr>
          <w:p>
            <w:pPr>
              <w:pStyle w:val="null3"/>
            </w:pPr>
            <w:r>
              <w:rPr/>
              <w:t>未以进口产品投标。</w:t>
            </w:r>
          </w:p>
        </w:tc>
        <w:tc>
          <w:tcPr>
            <w:tcW w:type="dxa" w:w="4238"/>
          </w:tcPr>
          <w:p>
            <w:pPr>
              <w:pStyle w:val="null3"/>
            </w:pPr>
            <w:r>
              <w:rPr/>
              <w:t>未以进口产品投标。</w:t>
            </w:r>
          </w:p>
        </w:tc>
      </w:tr>
      <w:tr>
        <w:tc>
          <w:tcPr>
            <w:tcW w:type="dxa" w:w="890"/>
          </w:tcPr>
          <w:p>
            <w:pPr>
              <w:pStyle w:val="null3"/>
            </w:pPr>
            <w:r>
              <w:rPr/>
              <w:t>4</w:t>
            </w:r>
          </w:p>
        </w:tc>
        <w:tc>
          <w:tcPr>
            <w:tcW w:type="dxa" w:w="3178"/>
          </w:tcPr>
          <w:p>
            <w:pPr>
              <w:pStyle w:val="null3"/>
            </w:pPr>
            <w:r>
              <w:rPr/>
              <w:t>提交投标函，投标函按规定格式填写，内容完整。</w:t>
            </w:r>
          </w:p>
        </w:tc>
        <w:tc>
          <w:tcPr>
            <w:tcW w:type="dxa" w:w="4238"/>
          </w:tcPr>
          <w:p>
            <w:pPr>
              <w:pStyle w:val="null3"/>
            </w:pPr>
            <w:r>
              <w:rPr/>
              <w:t>提交投标函，投标函按规定格式填写，内容完整。</w:t>
            </w:r>
          </w:p>
        </w:tc>
      </w:tr>
      <w:tr>
        <w:tc>
          <w:tcPr>
            <w:tcW w:type="dxa" w:w="890"/>
          </w:tcPr>
          <w:p>
            <w:pPr>
              <w:pStyle w:val="null3"/>
            </w:pPr>
            <w:r>
              <w:rPr/>
              <w:t>5</w:t>
            </w:r>
          </w:p>
        </w:tc>
        <w:tc>
          <w:tcPr>
            <w:tcW w:type="dxa" w:w="3178"/>
          </w:tcPr>
          <w:p>
            <w:pPr>
              <w:pStyle w:val="null3"/>
            </w:pPr>
            <w:r>
              <w:rPr/>
              <w:t>法定代表人（单位负责人）资格证明书及授权委托书（如法定代表人（单位负责人）代表单位投标（响应）的，则提交法定代表人（单位负责人）资格证明书即可），按对应格式文件签署、盖章。</w:t>
            </w:r>
          </w:p>
        </w:tc>
        <w:tc>
          <w:tcPr>
            <w:tcW w:type="dxa" w:w="4238"/>
          </w:tcPr>
          <w:p>
            <w:pPr>
              <w:pStyle w:val="null3"/>
            </w:pPr>
            <w:r>
              <w:rPr/>
              <w:t>法定代表人（单位负责人）资格证明书及授权委托书（如法定代表人（单位负责人）代表单位投标（响应）的，则提交法定代表人（单位负责人）资格证明书即可），按对应格式文件签署、盖章。</w:t>
            </w:r>
          </w:p>
        </w:tc>
      </w:tr>
      <w:tr>
        <w:tc>
          <w:tcPr>
            <w:tcW w:type="dxa" w:w="890"/>
          </w:tcPr>
          <w:p>
            <w:pPr>
              <w:pStyle w:val="null3"/>
            </w:pPr>
            <w:r>
              <w:rPr/>
              <w:t>6</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7</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8</w:t>
            </w:r>
          </w:p>
        </w:tc>
        <w:tc>
          <w:tcPr>
            <w:tcW w:type="dxa" w:w="3178"/>
          </w:tcPr>
          <w:p>
            <w:pPr>
              <w:pStyle w:val="null3"/>
            </w:pPr>
            <w:r>
              <w:rPr/>
              <w:t>如出现投标报价错误的处理原则修正后的报价，投标人按规定书面确认。</w:t>
            </w:r>
          </w:p>
        </w:tc>
        <w:tc>
          <w:tcPr>
            <w:tcW w:type="dxa" w:w="4238"/>
          </w:tcPr>
          <w:p>
            <w:pPr>
              <w:pStyle w:val="null3"/>
            </w:pPr>
            <w:r>
              <w:rPr/>
              <w:t>如出现投标报价错误的处理原则修正后的报价，投标人按规定书面确认。</w:t>
            </w:r>
          </w:p>
        </w:tc>
      </w:tr>
      <w:tr>
        <w:tc>
          <w:tcPr>
            <w:tcW w:type="dxa" w:w="890"/>
          </w:tcPr>
          <w:p>
            <w:pPr>
              <w:pStyle w:val="null3"/>
            </w:pPr>
            <w:r>
              <w:rPr/>
              <w:t>9</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10</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11</w:t>
            </w:r>
          </w:p>
        </w:tc>
        <w:tc>
          <w:tcPr>
            <w:tcW w:type="dxa" w:w="317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c>
          <w:tcPr>
            <w:tcW w:type="dxa" w:w="423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pPr>
              <w:pStyle w:val="null3"/>
            </w:pPr>
            <w:r>
              <w:rPr/>
              <w:t>12</w:t>
            </w:r>
          </w:p>
        </w:tc>
        <w:tc>
          <w:tcPr>
            <w:tcW w:type="dxa" w:w="3178"/>
          </w:tcPr>
          <w:p>
            <w:pPr>
              <w:pStyle w:val="null3"/>
            </w:pPr>
            <w:r>
              <w:rPr/>
              <w:t>未以联合体形式投标。</w:t>
            </w:r>
          </w:p>
        </w:tc>
        <w:tc>
          <w:tcPr>
            <w:tcW w:type="dxa" w:w="4238"/>
          </w:tcPr>
          <w:p>
            <w:pPr>
              <w:pStyle w:val="null3"/>
            </w:pPr>
            <w:r>
              <w:rPr/>
              <w:t>未以联合体形式投标。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采购包1(广东省地图院计算机设备采购（2025年）):</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图形工作站技术参数响应 (25.2分) (25.2分)</w:t>
            </w:r>
          </w:p>
        </w:tc>
        <w:tc>
          <w:tcPr>
            <w:tcW w:type="dxa" w:w="5076"/>
          </w:tcPr>
          <w:p>
            <w:pPr>
              <w:pStyle w:val="null3"/>
              <w:jc w:val="left"/>
            </w:pPr>
            <w:r>
              <w:rPr/>
              <w:t>供应商须对用户需求书中的“技术标准与要求”内容中的“附表一：图形工作站”中的“▲”条款逐项响应，每1项完全满足或正偏离的得1.8分，本项满分25.2分。投标时出具关于所提供的“图形工作站”是否满足采购文件要求的承诺函（上述指标应逐项响应，未提供对应指标项具体响应数值或内容的，视同负偏离，对应项不得分。可参照“格式”中《承诺函》格式）。</w:t>
            </w:r>
          </w:p>
        </w:tc>
      </w:tr>
      <w:tr>
        <w:tc>
          <w:tcPr>
            <w:tcW w:type="dxa" w:w="922"/>
            <w:gridSpan w:val="2"/>
            <w:vMerge/>
          </w:tcPr>
          <w:p/>
        </w:tc>
        <w:tc>
          <w:tcPr>
            <w:tcW w:type="dxa" w:w="2307"/>
          </w:tcPr>
          <w:p>
            <w:pPr>
              <w:pStyle w:val="null3"/>
              <w:jc w:val="left"/>
            </w:pPr>
            <w:r>
              <w:rPr/>
              <w:t>移动工作站技术参数响应 (11.2分) (11.2分)</w:t>
            </w:r>
          </w:p>
        </w:tc>
        <w:tc>
          <w:tcPr>
            <w:tcW w:type="dxa" w:w="5076"/>
          </w:tcPr>
          <w:p>
            <w:pPr>
              <w:pStyle w:val="null3"/>
              <w:jc w:val="left"/>
            </w:pPr>
            <w:r>
              <w:rPr/>
              <w:t>供应商须对用户需求书中的“技术标准与要求”内容中的“附表二：移动工作站”中的“▲”条款逐项响应，每1项完全满足或正偏离的得0.7分，本项满分11.2分。投标时出具关于所提供的“移动工作站”是否满足采购文件要求的承诺函（上述指标应逐项响应，未提供对应指标项具体响应数值或内容的，视同负偏离，对应项不得分。可参照“格式”中《承诺函》格式）。</w:t>
            </w:r>
          </w:p>
        </w:tc>
      </w:tr>
      <w:tr>
        <w:tc>
          <w:tcPr>
            <w:tcW w:type="dxa" w:w="922"/>
            <w:gridSpan w:val="2"/>
            <w:vMerge/>
          </w:tcPr>
          <w:p/>
        </w:tc>
        <w:tc>
          <w:tcPr>
            <w:tcW w:type="dxa" w:w="2307"/>
          </w:tcPr>
          <w:p>
            <w:pPr>
              <w:pStyle w:val="null3"/>
              <w:jc w:val="left"/>
            </w:pPr>
            <w:r>
              <w:rPr/>
              <w:t>服务器技术参数响应（9.6分） (9.6分)</w:t>
            </w:r>
          </w:p>
        </w:tc>
        <w:tc>
          <w:tcPr>
            <w:tcW w:type="dxa" w:w="5076"/>
          </w:tcPr>
          <w:p>
            <w:pPr>
              <w:pStyle w:val="null3"/>
              <w:jc w:val="left"/>
            </w:pPr>
            <w:r>
              <w:rPr/>
              <w:t>供应商须对用户需求书中的“技术标准与要求”内容中的“附表三：服务器”中的“▲”条款逐项响应，每1项完全满足或正偏离的得1.6分，本项满分9.6分。投标时出具关于所提供的“移动工作站”是否满足采购文件要求的承诺函（上述指标应逐项响应，未提供对应指标项具体响应数值或内容的，视同负偏离，对应项不得分。可参照“格式”中《承诺函》格式）。</w:t>
            </w:r>
          </w:p>
        </w:tc>
      </w:tr>
      <w:tr>
        <w:tc>
          <w:tcPr>
            <w:tcW w:type="dxa" w:w="922"/>
            <w:gridSpan w:val="2"/>
            <w:vMerge/>
          </w:tcPr>
          <w:p/>
        </w:tc>
        <w:tc>
          <w:tcPr>
            <w:tcW w:type="dxa" w:w="2307"/>
          </w:tcPr>
          <w:p>
            <w:pPr>
              <w:pStyle w:val="null3"/>
              <w:jc w:val="left"/>
            </w:pPr>
            <w:r>
              <w:rPr/>
              <w:t>技术服务方案 (4.0分) (4.0分)</w:t>
            </w:r>
            <w:r>
              <w:rPr/>
              <w:t>，（等次分值选择：</w:t>
            </w:r>
            <w:r>
              <w:rPr/>
              <w:t>0.0;</w:t>
            </w:r>
            <w:r>
              <w:rPr/>
              <w:t>1.0;</w:t>
            </w:r>
            <w:r>
              <w:rPr/>
              <w:t>2.0;</w:t>
            </w:r>
            <w:r>
              <w:rPr/>
              <w:t>4.0;</w:t>
            </w:r>
            <w:r>
              <w:rPr/>
              <w:t>）</w:t>
            </w:r>
          </w:p>
        </w:tc>
        <w:tc>
          <w:tcPr>
            <w:tcW w:type="dxa" w:w="5076"/>
          </w:tcPr>
          <w:p>
            <w:pPr>
              <w:pStyle w:val="null3"/>
              <w:jc w:val="left"/>
            </w:pPr>
            <w:r>
              <w:rPr/>
              <w:t>根据用户需求书“质保期及售后服务”“技术服务要求”提供服务方案： （1）方案完全满足且优于项目要求的，得4分； （2）方案完全满足项目要求的，得2分； （3）方案不完全满足项目要求的，得1分； （4）未提供或其他不得分。</w:t>
            </w:r>
          </w:p>
        </w:tc>
      </w:tr>
      <w:tr>
        <w:tc>
          <w:tcPr>
            <w:tcW w:type="dxa" w:w="922"/>
            <w:gridSpan w:val="2"/>
            <w:vMerge w:val="restart"/>
          </w:tcPr>
          <w:p>
            <w:pPr>
              <w:pStyle w:val="null3"/>
              <w:jc w:val="center"/>
            </w:pPr>
            <w:r>
              <w:rPr/>
              <w:t>商务部分</w:t>
            </w:r>
          </w:p>
        </w:tc>
        <w:tc>
          <w:tcPr>
            <w:tcW w:type="dxa" w:w="2307"/>
          </w:tcPr>
          <w:p>
            <w:pPr>
              <w:pStyle w:val="null3"/>
              <w:jc w:val="left"/>
            </w:pPr>
            <w:r>
              <w:rPr/>
              <w:t>供应商资质 (2.0分)</w:t>
            </w:r>
          </w:p>
        </w:tc>
        <w:tc>
          <w:tcPr>
            <w:tcW w:type="dxa" w:w="5076"/>
          </w:tcPr>
          <w:p>
            <w:pPr>
              <w:pStyle w:val="null3"/>
              <w:jc w:val="left"/>
            </w:pPr>
            <w:r>
              <w:rPr/>
              <w:t>供应商具有ISO9001质量管理体系认证证书（认证范围与计算机设备相关），得2分 注：须同时提供认证证书复印件及国家认证认可监督管理委员会的“全国认证认可信息公共服务平台”(http://cx.cnca.cn)查询结果截图，失效、撤销或暂停的对应证书项不得分。新设立企业设立时间不足6个月未能取得相关认证且提供书面说明的，可获得对应证书的分值。</w:t>
            </w:r>
          </w:p>
        </w:tc>
      </w:tr>
      <w:tr>
        <w:tc>
          <w:tcPr>
            <w:tcW w:type="dxa" w:w="922"/>
            <w:gridSpan w:val="2"/>
            <w:vMerge/>
          </w:tcPr>
          <w:p/>
        </w:tc>
        <w:tc>
          <w:tcPr>
            <w:tcW w:type="dxa" w:w="2307"/>
          </w:tcPr>
          <w:p>
            <w:pPr>
              <w:pStyle w:val="null3"/>
              <w:jc w:val="left"/>
            </w:pPr>
            <w:r>
              <w:rPr/>
              <w:t>项目服务团队 (4.0分)</w:t>
            </w:r>
          </w:p>
        </w:tc>
        <w:tc>
          <w:tcPr>
            <w:tcW w:type="dxa" w:w="5076"/>
          </w:tcPr>
          <w:p>
            <w:pPr>
              <w:pStyle w:val="null3"/>
              <w:jc w:val="left"/>
            </w:pPr>
            <w:r>
              <w:rPr/>
              <w:t>为保证售后培训服务的质量： 1.项目负责人（项目经理，1人）具有计算机技术与软件专业技术资格：信息系统项目管理师证书，得2分； 2.技术负责人（1人）具有计算机技术与软件专业技术资格：系统集成项目管理工程师证书或信息系统项目管理师证书，得2分； 注：提供服务团队人员身份证复印件、相关证书复印件及2024年6月以来任意一个月投标人为其依法缴纳社保（须至少包含养老保险）证明。</w:t>
            </w:r>
          </w:p>
        </w:tc>
      </w:tr>
      <w:tr>
        <w:tc>
          <w:tcPr>
            <w:tcW w:type="dxa" w:w="922"/>
            <w:gridSpan w:val="2"/>
            <w:vMerge/>
          </w:tcPr>
          <w:p/>
        </w:tc>
        <w:tc>
          <w:tcPr>
            <w:tcW w:type="dxa" w:w="2307"/>
          </w:tcPr>
          <w:p>
            <w:pPr>
              <w:pStyle w:val="null3"/>
              <w:jc w:val="left"/>
            </w:pPr>
            <w:r>
              <w:rPr/>
              <w:t>项目业绩 (6.0分)</w:t>
            </w:r>
          </w:p>
        </w:tc>
        <w:tc>
          <w:tcPr>
            <w:tcW w:type="dxa" w:w="5076"/>
          </w:tcPr>
          <w:p>
            <w:pPr>
              <w:pStyle w:val="null3"/>
              <w:jc w:val="left"/>
            </w:pPr>
            <w:r>
              <w:rPr/>
              <w:t>供应商提供2021年1月1日至今所投产品同型号产品（任一产品均可）的销售合同（合同乙方为投标人或厂家），每个0.5分，最多6分；（需提供合同清单、合同封面、关键页、双章页）并盖供应商公章，漏放，错放均不得分。</w:t>
            </w:r>
          </w:p>
        </w:tc>
      </w:tr>
      <w:tr>
        <w:tc>
          <w:tcPr>
            <w:tcW w:type="dxa" w:w="922"/>
            <w:gridSpan w:val="2"/>
            <w:vMerge/>
          </w:tcPr>
          <w:p/>
        </w:tc>
        <w:tc>
          <w:tcPr>
            <w:tcW w:type="dxa" w:w="2307"/>
          </w:tcPr>
          <w:p>
            <w:pPr>
              <w:pStyle w:val="null3"/>
              <w:jc w:val="left"/>
            </w:pPr>
            <w:r>
              <w:rPr/>
              <w:t>制造商售后能力 (4.0分)</w:t>
            </w:r>
          </w:p>
        </w:tc>
        <w:tc>
          <w:tcPr>
            <w:tcW w:type="dxa" w:w="5076"/>
          </w:tcPr>
          <w:p>
            <w:pPr>
              <w:pStyle w:val="null3"/>
              <w:jc w:val="left"/>
            </w:pPr>
            <w:r>
              <w:rPr/>
              <w:t>为了保证原厂售后服务质量，所投产品厂家具有： 通过GB/T 27922商品售后服务评价体系的认证（认证覆盖的业务范围须与计算机设备的售后服务相关)，具备相关认证证书，得4分。 注：提供证书复印件加盖投标人公章，并同时提供在“全国认证认可信息公共服务平台”(http://cx.cnca.cn)对体系证书的信息查询截图作为评审依据，已暂停、失效、撤消、认证范围不符合要求的或不提供的不得分。 新设立企业成立时间不足6个月未能取得相关认证且提供书面说明的，可获得对应证书的分值。 若所投产品涉及多个制造商，则涉及制造商都需要提供相关材料，否则不得分。</w:t>
            </w:r>
          </w:p>
        </w:tc>
      </w:tr>
      <w:tr>
        <w:tc>
          <w:tcPr>
            <w:tcW w:type="dxa" w:w="922"/>
            <w:gridSpan w:val="2"/>
            <w:vMerge/>
          </w:tcPr>
          <w:p/>
        </w:tc>
        <w:tc>
          <w:tcPr>
            <w:tcW w:type="dxa" w:w="2307"/>
          </w:tcPr>
          <w:p>
            <w:pPr>
              <w:pStyle w:val="null3"/>
              <w:jc w:val="left"/>
            </w:pPr>
            <w:r>
              <w:rPr/>
              <w:t>整机质量服务要求 (4.0分)</w:t>
            </w:r>
          </w:p>
        </w:tc>
        <w:tc>
          <w:tcPr>
            <w:tcW w:type="dxa" w:w="5076"/>
          </w:tcPr>
          <w:p>
            <w:pPr>
              <w:pStyle w:val="null3"/>
              <w:jc w:val="left"/>
            </w:pPr>
            <w:r>
              <w:rPr/>
              <w:t>对整机质量服务进行评审： 提供所投产品（操作系统除外）不少于5年原厂保修、保修期内硬盘损坏提供更换免回收服务，费用已包含在报价中，不得另外收取。 供应商承诺提供所投产品（操作系统除外）不少于5年的原厂保修期、保修期内提供硬盘损坏更换免回收服务（投标人盖章），同时承诺中标后与本项目采购人签订合同后2个工作日内提供所投产品制造商盖章的不少于5年的原厂质保和售后服务证明材料的，得4分。无响应或不按要求响应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jc w:val="center"/>
      </w:pPr>
      <w:r>
        <w:rPr>
          <w:sz w:val="48"/>
          <w:b/>
        </w:rPr>
        <w:t>政府采购货物买卖合同</w:t>
      </w:r>
    </w:p>
    <w:p>
      <w:pPr>
        <w:pStyle w:val="null3"/>
        <w:jc w:val="center"/>
      </w:pPr>
      <w:r>
        <w:rPr/>
        <w:t xml:space="preserve"> </w:t>
      </w:r>
    </w:p>
    <w:p>
      <w:pPr>
        <w:pStyle w:val="null3"/>
        <w:jc w:val="center"/>
      </w:pPr>
      <w:r>
        <w:rPr/>
        <w:t xml:space="preserve"> </w:t>
      </w:r>
    </w:p>
    <w:p>
      <w:pPr>
        <w:pStyle w:val="null3"/>
        <w:jc w:val="both"/>
      </w:pPr>
      <w:r>
        <w:rPr>
          <w:sz w:val="22"/>
        </w:rPr>
        <w:t>(</w:t>
      </w:r>
      <w:r>
        <w:rPr>
          <w:sz w:val="22"/>
        </w:rPr>
        <w:t>注：本合同为初稿，最终以乙方响应情况并经甲乙双方协商一致的合同为准）</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sz w:val="24"/>
        </w:rPr>
        <w:t xml:space="preserve">       项目名称：</w:t>
      </w:r>
      <w:r>
        <w:rPr>
          <w:sz w:val="24"/>
          <w:u w:val="single"/>
        </w:rPr>
        <w:t>广东省地图院计算机设备采购（</w:t>
      </w:r>
      <w:r>
        <w:rPr>
          <w:sz w:val="24"/>
          <w:u w:val="single"/>
        </w:rPr>
        <w:t>2025</w:t>
      </w:r>
      <w:r>
        <w:rPr>
          <w:sz w:val="24"/>
          <w:u w:val="single"/>
        </w:rPr>
        <w:t>年）</w:t>
      </w:r>
    </w:p>
    <w:p>
      <w:pPr>
        <w:pStyle w:val="null3"/>
        <w:ind w:left="420"/>
        <w:jc w:val="both"/>
      </w:pPr>
      <w:r>
        <w:rPr>
          <w:sz w:val="24"/>
        </w:rPr>
        <w:t>合同编号：</w:t>
      </w:r>
    </w:p>
    <w:p>
      <w:pPr>
        <w:pStyle w:val="null3"/>
        <w:ind w:left="420"/>
        <w:jc w:val="both"/>
      </w:pPr>
      <w:r>
        <w:rPr>
          <w:sz w:val="24"/>
        </w:rPr>
        <w:t>甲方：</w:t>
      </w:r>
      <w:r>
        <w:rPr>
          <w:sz w:val="24"/>
          <w:u w:val="single"/>
        </w:rPr>
        <w:t>广东省地图院</w:t>
      </w:r>
    </w:p>
    <w:p>
      <w:pPr>
        <w:pStyle w:val="null3"/>
        <w:ind w:left="420"/>
        <w:jc w:val="both"/>
      </w:pPr>
      <w:r>
        <w:rPr>
          <w:sz w:val="24"/>
        </w:rPr>
        <w:t>乙方：</w:t>
      </w:r>
    </w:p>
    <w:p>
      <w:pPr>
        <w:pStyle w:val="null3"/>
        <w:ind w:left="420"/>
        <w:jc w:val="both"/>
      </w:pPr>
      <w:r>
        <w:rPr>
          <w:sz w:val="24"/>
        </w:rPr>
        <w:t>签订时间：</w:t>
      </w:r>
    </w:p>
    <w:p>
      <w:pPr>
        <w:pStyle w:val="null3"/>
        <w:jc w:val="center"/>
      </w:pPr>
      <w:r>
        <w:rPr>
          <w:sz w:val="28"/>
          <w:b/>
        </w:rPr>
        <w:t>第一节</w:t>
      </w:r>
      <w:r>
        <w:rPr>
          <w:sz w:val="28"/>
          <w:b/>
        </w:rPr>
        <w:t>政府采购合同协议书</w:t>
      </w:r>
    </w:p>
    <w:p>
      <w:pPr>
        <w:pStyle w:val="null3"/>
        <w:jc w:val="both"/>
      </w:pPr>
      <w:r>
        <w:rPr>
          <w:sz w:val="21"/>
        </w:rPr>
        <w:t>甲方（全称）：</w:t>
      </w:r>
      <w:r>
        <w:rPr>
          <w:sz w:val="20"/>
          <w:u w:val="single"/>
        </w:rPr>
        <w:t xml:space="preserve">    </w:t>
      </w:r>
      <w:r>
        <w:rPr>
          <w:sz w:val="21"/>
          <w:u w:val="single"/>
        </w:rPr>
        <w:t>广东省地图院</w:t>
      </w:r>
      <w:r>
        <w:rPr>
          <w:sz w:val="20"/>
          <w:u w:val="single"/>
        </w:rPr>
        <w:t xml:space="preserve">        </w:t>
      </w:r>
      <w:r>
        <w:rPr>
          <w:sz w:val="21"/>
        </w:rPr>
        <w:t>（采购人）</w:t>
      </w:r>
    </w:p>
    <w:p>
      <w:pPr>
        <w:pStyle w:val="null3"/>
        <w:jc w:val="both"/>
      </w:pPr>
      <w:r>
        <w:rPr>
          <w:sz w:val="21"/>
        </w:rPr>
        <w:t>乙方（全称）：（供应商）</w:t>
      </w:r>
    </w:p>
    <w:p>
      <w:pPr>
        <w:pStyle w:val="null3"/>
        <w:jc w:val="both"/>
      </w:pPr>
      <w:r>
        <w:rPr>
          <w:sz w:val="21"/>
        </w:rPr>
        <w:t>依据《中华人民共和国民法典》《中华人民共和国政府采购法》等有关的法律法规，以及本采购项目的招标</w:t>
      </w:r>
      <w:r>
        <w:rPr>
          <w:sz w:val="21"/>
        </w:rPr>
        <w:t>/</w:t>
      </w:r>
      <w:r>
        <w:rPr>
          <w:sz w:val="21"/>
        </w:rPr>
        <w:t>谈判文件等采购文件、乙方的《投标（响应）文件》及《中标（成交）通知书》，甲乙双方同意签订本合同。具体情况及要求如下：</w:t>
      </w:r>
      <w:r>
        <w:rPr>
          <w:sz w:val="20"/>
        </w:rPr>
        <w:t xml:space="preserve">   </w:t>
      </w:r>
    </w:p>
    <w:p>
      <w:pPr>
        <w:pStyle w:val="null3"/>
        <w:ind w:firstLine="422"/>
        <w:jc w:val="both"/>
      </w:pPr>
      <w:r>
        <w:rPr>
          <w:sz w:val="21"/>
          <w:b/>
        </w:rPr>
        <w:t xml:space="preserve">1. </w:t>
      </w:r>
      <w:r>
        <w:rPr>
          <w:sz w:val="21"/>
          <w:b/>
        </w:rPr>
        <w:t>项目信息</w:t>
      </w:r>
    </w:p>
    <w:p>
      <w:pPr>
        <w:pStyle w:val="null3"/>
        <w:ind w:firstLine="420"/>
        <w:jc w:val="both"/>
      </w:pPr>
      <w:r>
        <w:rPr>
          <w:sz w:val="21"/>
        </w:rPr>
        <w:t>（</w:t>
      </w:r>
      <w:r>
        <w:rPr>
          <w:sz w:val="21"/>
        </w:rPr>
        <w:t>1</w:t>
      </w:r>
      <w:r>
        <w:rPr>
          <w:sz w:val="21"/>
        </w:rPr>
        <w:t>）采购项目名称：</w:t>
      </w:r>
      <w:r>
        <w:rPr>
          <w:sz w:val="21"/>
          <w:u w:val="single"/>
        </w:rPr>
        <w:t>广东省地图院计算机设备采购（</w:t>
      </w:r>
      <w:r>
        <w:rPr>
          <w:sz w:val="21"/>
          <w:u w:val="single"/>
        </w:rPr>
        <w:t>2025</w:t>
      </w:r>
      <w:r>
        <w:rPr>
          <w:sz w:val="21"/>
          <w:u w:val="single"/>
        </w:rPr>
        <w:t>年）</w:t>
      </w:r>
    </w:p>
    <w:p>
      <w:pPr>
        <w:pStyle w:val="null3"/>
        <w:jc w:val="both"/>
      </w:pPr>
      <w:r>
        <w:rPr>
          <w:sz w:val="20"/>
        </w:rPr>
        <w:t xml:space="preserve">         </w:t>
      </w:r>
      <w:r>
        <w:rPr>
          <w:sz w:val="21"/>
        </w:rPr>
        <w:t>采购项目编号：</w:t>
      </w:r>
    </w:p>
    <w:p>
      <w:pPr>
        <w:pStyle w:val="null3"/>
        <w:ind w:firstLine="420"/>
        <w:jc w:val="both"/>
      </w:pPr>
      <w:r>
        <w:rPr>
          <w:sz w:val="21"/>
        </w:rPr>
        <w:t>（</w:t>
      </w:r>
      <w:r>
        <w:rPr>
          <w:sz w:val="21"/>
        </w:rPr>
        <w:t>2</w:t>
      </w:r>
      <w:r>
        <w:rPr>
          <w:sz w:val="21"/>
        </w:rPr>
        <w:t>）采购计划编号：</w:t>
      </w:r>
    </w:p>
    <w:p>
      <w:pPr>
        <w:pStyle w:val="null3"/>
        <w:ind w:firstLine="420"/>
        <w:jc w:val="both"/>
      </w:pPr>
      <w:r>
        <w:rPr>
          <w:sz w:val="21"/>
        </w:rPr>
        <w:t>（</w:t>
      </w:r>
      <w:r>
        <w:rPr>
          <w:sz w:val="21"/>
        </w:rPr>
        <w:t>3</w:t>
      </w:r>
      <w:r>
        <w:rPr>
          <w:sz w:val="21"/>
        </w:rPr>
        <w:t>）项目内容：</w:t>
      </w:r>
    </w:p>
    <w:p>
      <w:pPr>
        <w:pStyle w:val="null3"/>
        <w:ind w:firstLine="420"/>
        <w:jc w:val="both"/>
      </w:pPr>
      <w:r>
        <w:rPr>
          <w:sz w:val="20"/>
        </w:rPr>
        <w:t xml:space="preserve">     </w:t>
      </w:r>
      <w:r>
        <w:rPr>
          <w:sz w:val="21"/>
        </w:rPr>
        <w:t>①采购标的及数量（台</w:t>
      </w:r>
      <w:r>
        <w:rPr>
          <w:sz w:val="21"/>
        </w:rPr>
        <w:t>/</w:t>
      </w:r>
      <w:r>
        <w:rPr>
          <w:sz w:val="21"/>
        </w:rPr>
        <w:t>套</w:t>
      </w:r>
      <w:r>
        <w:rPr>
          <w:sz w:val="21"/>
        </w:rPr>
        <w:t>/</w:t>
      </w:r>
      <w:r>
        <w:rPr>
          <w:sz w:val="21"/>
        </w:rPr>
        <w:t>个</w:t>
      </w:r>
      <w:r>
        <w:rPr>
          <w:sz w:val="21"/>
        </w:rPr>
        <w:t>/</w:t>
      </w:r>
      <w:r>
        <w:rPr>
          <w:sz w:val="21"/>
        </w:rPr>
        <w:t>架</w:t>
      </w:r>
      <w:r>
        <w:rPr>
          <w:sz w:val="21"/>
        </w:rPr>
        <w:t>/</w:t>
      </w:r>
      <w:r>
        <w:rPr>
          <w:sz w:val="21"/>
        </w:rPr>
        <w:t>组等）：</w:t>
      </w:r>
      <w:r>
        <w:rPr>
          <w:sz w:val="20"/>
          <w:u w:val="single"/>
        </w:rPr>
        <w:t xml:space="preserve">    </w:t>
      </w:r>
      <w:r>
        <w:rPr>
          <w:sz w:val="21"/>
          <w:u w:val="single"/>
        </w:rPr>
        <w:t>图形工作站</w:t>
      </w:r>
      <w:r>
        <w:rPr>
          <w:sz w:val="21"/>
          <w:u w:val="single"/>
        </w:rPr>
        <w:t>29</w:t>
      </w:r>
      <w:r>
        <w:rPr>
          <w:sz w:val="21"/>
          <w:u w:val="single"/>
        </w:rPr>
        <w:t>台</w:t>
      </w:r>
      <w:r>
        <w:rPr>
          <w:sz w:val="20"/>
          <w:u w:val="single"/>
        </w:rPr>
        <w:t xml:space="preserve"> </w:t>
      </w:r>
    </w:p>
    <w:p>
      <w:pPr>
        <w:pStyle w:val="null3"/>
        <w:ind w:firstLine="420"/>
        <w:jc w:val="both"/>
      </w:pPr>
      <w:r>
        <w:rPr>
          <w:sz w:val="20"/>
        </w:rPr>
        <w:t xml:space="preserve">     </w:t>
      </w:r>
      <w:r>
        <w:rPr>
          <w:sz w:val="21"/>
        </w:rPr>
        <w:t>品牌：</w:t>
      </w:r>
      <w:r>
        <w:rPr>
          <w:sz w:val="20"/>
        </w:rPr>
        <w:t xml:space="preserve">     </w:t>
      </w:r>
      <w:r>
        <w:rPr>
          <w:sz w:val="21"/>
        </w:rPr>
        <w:t>规格型号：</w:t>
      </w:r>
    </w:p>
    <w:p>
      <w:pPr>
        <w:pStyle w:val="null3"/>
        <w:ind w:firstLine="1050"/>
        <w:jc w:val="both"/>
      </w:pPr>
      <w:r>
        <w:rPr>
          <w:sz w:val="21"/>
        </w:rPr>
        <w:t>②采购标的及数量（台</w:t>
      </w:r>
      <w:r>
        <w:rPr>
          <w:sz w:val="21"/>
        </w:rPr>
        <w:t>/</w:t>
      </w:r>
      <w:r>
        <w:rPr>
          <w:sz w:val="21"/>
        </w:rPr>
        <w:t>套</w:t>
      </w:r>
      <w:r>
        <w:rPr>
          <w:sz w:val="21"/>
        </w:rPr>
        <w:t>/</w:t>
      </w:r>
      <w:r>
        <w:rPr>
          <w:sz w:val="21"/>
        </w:rPr>
        <w:t>个</w:t>
      </w:r>
      <w:r>
        <w:rPr>
          <w:sz w:val="21"/>
        </w:rPr>
        <w:t>/</w:t>
      </w:r>
      <w:r>
        <w:rPr>
          <w:sz w:val="21"/>
        </w:rPr>
        <w:t>架</w:t>
      </w:r>
      <w:r>
        <w:rPr>
          <w:sz w:val="21"/>
        </w:rPr>
        <w:t>/</w:t>
      </w:r>
      <w:r>
        <w:rPr>
          <w:sz w:val="21"/>
        </w:rPr>
        <w:t>组等）：</w:t>
      </w:r>
      <w:r>
        <w:rPr>
          <w:sz w:val="20"/>
          <w:u w:val="single"/>
        </w:rPr>
        <w:t xml:space="preserve">   </w:t>
      </w:r>
      <w:r>
        <w:rPr>
          <w:sz w:val="21"/>
          <w:u w:val="single"/>
        </w:rPr>
        <w:t>移动工作站</w:t>
      </w:r>
      <w:r>
        <w:rPr>
          <w:sz w:val="21"/>
          <w:u w:val="single"/>
        </w:rPr>
        <w:t>12</w:t>
      </w:r>
      <w:r>
        <w:rPr>
          <w:sz w:val="21"/>
          <w:u w:val="single"/>
        </w:rPr>
        <w:t>台</w:t>
      </w:r>
      <w:r>
        <w:rPr>
          <w:sz w:val="20"/>
          <w:u w:val="single"/>
        </w:rPr>
        <w:t xml:space="preserve"> </w:t>
      </w:r>
    </w:p>
    <w:p>
      <w:pPr>
        <w:pStyle w:val="null3"/>
        <w:ind w:firstLine="420"/>
        <w:jc w:val="both"/>
      </w:pPr>
      <w:r>
        <w:rPr>
          <w:sz w:val="20"/>
        </w:rPr>
        <w:t xml:space="preserve">     </w:t>
      </w:r>
      <w:r>
        <w:rPr>
          <w:sz w:val="21"/>
        </w:rPr>
        <w:t>品牌：</w:t>
      </w:r>
      <w:r>
        <w:rPr>
          <w:sz w:val="20"/>
        </w:rPr>
        <w:t xml:space="preserve">     </w:t>
      </w:r>
      <w:r>
        <w:rPr>
          <w:sz w:val="21"/>
        </w:rPr>
        <w:t>规格型号：</w:t>
      </w:r>
    </w:p>
    <w:p>
      <w:pPr>
        <w:pStyle w:val="null3"/>
        <w:ind w:firstLine="1050"/>
        <w:jc w:val="both"/>
      </w:pPr>
      <w:r>
        <w:rPr>
          <w:sz w:val="21"/>
        </w:rPr>
        <w:t>③采购标的及数量（台</w:t>
      </w:r>
      <w:r>
        <w:rPr>
          <w:sz w:val="21"/>
        </w:rPr>
        <w:t>/</w:t>
      </w:r>
      <w:r>
        <w:rPr>
          <w:sz w:val="21"/>
        </w:rPr>
        <w:t>套</w:t>
      </w:r>
      <w:r>
        <w:rPr>
          <w:sz w:val="21"/>
        </w:rPr>
        <w:t>/</w:t>
      </w:r>
      <w:r>
        <w:rPr>
          <w:sz w:val="21"/>
        </w:rPr>
        <w:t>个</w:t>
      </w:r>
      <w:r>
        <w:rPr>
          <w:sz w:val="21"/>
        </w:rPr>
        <w:t>/</w:t>
      </w:r>
      <w:r>
        <w:rPr>
          <w:sz w:val="21"/>
        </w:rPr>
        <w:t>架</w:t>
      </w:r>
      <w:r>
        <w:rPr>
          <w:sz w:val="21"/>
        </w:rPr>
        <w:t>/</w:t>
      </w:r>
      <w:r>
        <w:rPr>
          <w:sz w:val="21"/>
        </w:rPr>
        <w:t>组等）：</w:t>
      </w:r>
      <w:r>
        <w:rPr>
          <w:sz w:val="21"/>
          <w:u w:val="single"/>
        </w:rPr>
        <w:t>服务器</w:t>
      </w:r>
      <w:r>
        <w:rPr>
          <w:sz w:val="21"/>
          <w:u w:val="single"/>
        </w:rPr>
        <w:t>1</w:t>
      </w:r>
      <w:r>
        <w:rPr>
          <w:sz w:val="21"/>
          <w:u w:val="single"/>
        </w:rPr>
        <w:t>台</w:t>
      </w:r>
      <w:r>
        <w:rPr>
          <w:sz w:val="20"/>
          <w:u w:val="single"/>
        </w:rPr>
        <w:t xml:space="preserve"> </w:t>
      </w:r>
    </w:p>
    <w:p>
      <w:pPr>
        <w:pStyle w:val="null3"/>
        <w:ind w:firstLine="420"/>
        <w:jc w:val="both"/>
      </w:pPr>
      <w:r>
        <w:rPr>
          <w:sz w:val="20"/>
        </w:rPr>
        <w:t xml:space="preserve">     </w:t>
      </w:r>
      <w:r>
        <w:rPr>
          <w:sz w:val="21"/>
        </w:rPr>
        <w:t>品牌：</w:t>
      </w:r>
      <w:r>
        <w:rPr>
          <w:sz w:val="20"/>
        </w:rPr>
        <w:t xml:space="preserve">     </w:t>
      </w:r>
      <w:r>
        <w:rPr>
          <w:sz w:val="21"/>
        </w:rPr>
        <w:t>规格型号：</w:t>
      </w:r>
    </w:p>
    <w:p>
      <w:pPr>
        <w:pStyle w:val="null3"/>
        <w:ind w:firstLine="945"/>
        <w:jc w:val="both"/>
      </w:pPr>
      <w:r>
        <w:rPr>
          <w:sz w:val="21"/>
        </w:rPr>
        <w:t>采购标的的技术要求、商务要求具体见附件。</w:t>
      </w:r>
    </w:p>
    <w:p>
      <w:pPr>
        <w:pStyle w:val="null3"/>
        <w:ind w:firstLine="945"/>
        <w:jc w:val="both"/>
      </w:pPr>
      <w:r>
        <w:rPr>
          <w:sz w:val="21"/>
        </w:rPr>
        <w:t>①涉及信息类产品，请填写该产品关键部件的品牌、型号：</w:t>
      </w:r>
    </w:p>
    <w:p>
      <w:pPr>
        <w:pStyle w:val="null3"/>
        <w:ind w:firstLine="420"/>
        <w:jc w:val="both"/>
      </w:pPr>
      <w:r>
        <w:rPr>
          <w:sz w:val="20"/>
        </w:rPr>
        <w:t xml:space="preserve">     </w:t>
      </w:r>
      <w:r>
        <w:rPr>
          <w:sz w:val="21"/>
        </w:rPr>
        <w:t>标的名称：</w:t>
      </w:r>
      <w:r>
        <w:rPr>
          <w:sz w:val="20"/>
          <w:u w:val="single"/>
        </w:rPr>
        <w:t xml:space="preserve">  </w:t>
      </w:r>
      <w:r>
        <w:rPr>
          <w:sz w:val="21"/>
          <w:u w:val="single"/>
        </w:rPr>
        <w:t>图形工作站</w:t>
      </w:r>
      <w:r>
        <w:rPr>
          <w:sz w:val="20"/>
          <w:u w:val="single"/>
        </w:rPr>
        <w:t xml:space="preserve">          </w:t>
      </w:r>
    </w:p>
    <w:p>
      <w:pPr>
        <w:pStyle w:val="null3"/>
        <w:ind w:firstLine="420"/>
        <w:jc w:val="both"/>
      </w:pPr>
      <w:r>
        <w:rPr>
          <w:sz w:val="20"/>
        </w:rPr>
        <w:t xml:space="preserve">     </w:t>
      </w:r>
      <w:r>
        <w:rPr>
          <w:sz w:val="21"/>
        </w:rPr>
        <w:t>关键部件：</w:t>
      </w:r>
      <w:r>
        <w:rPr>
          <w:sz w:val="21"/>
          <w:u w:val="single"/>
        </w:rPr>
        <w:t xml:space="preserve"> CPU</w:t>
      </w:r>
      <w:r>
        <w:rPr>
          <w:sz w:val="21"/>
          <w:u w:val="single"/>
        </w:rPr>
        <w:t>芯片</w:t>
      </w:r>
      <w:r>
        <w:rPr>
          <w:sz w:val="20"/>
        </w:rPr>
        <w:t xml:space="preserve"> </w:t>
      </w:r>
      <w:r>
        <w:rPr>
          <w:sz w:val="21"/>
        </w:rPr>
        <w:t>品牌：</w:t>
      </w:r>
      <w:r>
        <w:rPr>
          <w:sz w:val="21"/>
        </w:rPr>
        <w:t>型号：</w:t>
      </w:r>
    </w:p>
    <w:p>
      <w:pPr>
        <w:pStyle w:val="null3"/>
        <w:ind w:firstLine="420"/>
        <w:jc w:val="both"/>
      </w:pPr>
      <w:r>
        <w:rPr>
          <w:sz w:val="20"/>
        </w:rPr>
        <w:t xml:space="preserve">     </w:t>
      </w:r>
      <w:r>
        <w:rPr>
          <w:sz w:val="21"/>
        </w:rPr>
        <w:t>关键部件：</w:t>
      </w:r>
      <w:r>
        <w:rPr>
          <w:sz w:val="21"/>
          <w:u w:val="single"/>
        </w:rPr>
        <w:t>操作系统</w:t>
      </w:r>
      <w:r>
        <w:rPr>
          <w:sz w:val="20"/>
        </w:rPr>
        <w:t xml:space="preserve"> </w:t>
      </w:r>
      <w:r>
        <w:rPr>
          <w:sz w:val="21"/>
        </w:rPr>
        <w:t>品牌：</w:t>
      </w:r>
      <w:r>
        <w:rPr>
          <w:sz w:val="21"/>
        </w:rPr>
        <w:t>型号：</w:t>
      </w:r>
    </w:p>
    <w:p>
      <w:pPr>
        <w:pStyle w:val="null3"/>
        <w:ind w:firstLine="945"/>
        <w:jc w:val="both"/>
      </w:pPr>
      <w:r>
        <w:rPr>
          <w:sz w:val="21"/>
        </w:rPr>
        <w:t>②涉及信息类产品，请填写该产品关键部件的品牌、型号：</w:t>
      </w:r>
    </w:p>
    <w:p>
      <w:pPr>
        <w:pStyle w:val="null3"/>
        <w:ind w:firstLine="420"/>
        <w:jc w:val="both"/>
      </w:pPr>
      <w:r>
        <w:rPr>
          <w:sz w:val="20"/>
        </w:rPr>
        <w:t xml:space="preserve">     </w:t>
      </w:r>
      <w:r>
        <w:rPr>
          <w:sz w:val="21"/>
        </w:rPr>
        <w:t>标的名称：</w:t>
      </w:r>
      <w:r>
        <w:rPr>
          <w:sz w:val="20"/>
          <w:u w:val="single"/>
        </w:rPr>
        <w:t xml:space="preserve">  </w:t>
      </w:r>
      <w:r>
        <w:rPr>
          <w:sz w:val="21"/>
          <w:u w:val="single"/>
        </w:rPr>
        <w:t>移动工作站</w:t>
      </w:r>
      <w:r>
        <w:rPr>
          <w:sz w:val="20"/>
          <w:u w:val="single"/>
        </w:rPr>
        <w:t xml:space="preserve">          </w:t>
      </w:r>
    </w:p>
    <w:p>
      <w:pPr>
        <w:pStyle w:val="null3"/>
        <w:ind w:firstLine="420"/>
        <w:jc w:val="both"/>
      </w:pPr>
      <w:r>
        <w:rPr>
          <w:sz w:val="20"/>
        </w:rPr>
        <w:t xml:space="preserve">     </w:t>
      </w:r>
      <w:r>
        <w:rPr>
          <w:sz w:val="21"/>
        </w:rPr>
        <w:t>关键部件：</w:t>
      </w:r>
      <w:r>
        <w:rPr>
          <w:sz w:val="21"/>
          <w:u w:val="single"/>
        </w:rPr>
        <w:t xml:space="preserve"> CPU</w:t>
      </w:r>
      <w:r>
        <w:rPr>
          <w:sz w:val="21"/>
          <w:u w:val="single"/>
        </w:rPr>
        <w:t>芯片</w:t>
      </w:r>
      <w:r>
        <w:rPr>
          <w:sz w:val="20"/>
        </w:rPr>
        <w:t xml:space="preserve"> </w:t>
      </w:r>
      <w:r>
        <w:rPr>
          <w:sz w:val="21"/>
        </w:rPr>
        <w:t>品牌：</w:t>
      </w:r>
      <w:r>
        <w:rPr>
          <w:sz w:val="21"/>
        </w:rPr>
        <w:t>型号：</w:t>
      </w:r>
    </w:p>
    <w:p>
      <w:pPr>
        <w:pStyle w:val="null3"/>
        <w:ind w:firstLine="420"/>
        <w:jc w:val="both"/>
      </w:pPr>
      <w:r>
        <w:rPr>
          <w:sz w:val="20"/>
        </w:rPr>
        <w:t xml:space="preserve">     </w:t>
      </w:r>
      <w:r>
        <w:rPr>
          <w:sz w:val="21"/>
        </w:rPr>
        <w:t>关键部件：</w:t>
      </w:r>
      <w:r>
        <w:rPr>
          <w:sz w:val="21"/>
          <w:u w:val="single"/>
        </w:rPr>
        <w:t>操作系统</w:t>
      </w:r>
      <w:r>
        <w:rPr>
          <w:sz w:val="20"/>
        </w:rPr>
        <w:t xml:space="preserve"> </w:t>
      </w:r>
      <w:r>
        <w:rPr>
          <w:sz w:val="21"/>
        </w:rPr>
        <w:t>品牌：</w:t>
      </w:r>
      <w:r>
        <w:rPr>
          <w:sz w:val="21"/>
        </w:rPr>
        <w:t>型号：</w:t>
      </w:r>
    </w:p>
    <w:p>
      <w:pPr>
        <w:pStyle w:val="null3"/>
        <w:ind w:firstLine="945"/>
        <w:jc w:val="both"/>
      </w:pPr>
      <w:r>
        <w:rPr>
          <w:sz w:val="21"/>
        </w:rPr>
        <w:t>③涉及信息类产品，请填写该产品关键部件的品牌、型号：</w:t>
      </w:r>
    </w:p>
    <w:p>
      <w:pPr>
        <w:pStyle w:val="null3"/>
        <w:ind w:firstLine="420"/>
        <w:jc w:val="both"/>
      </w:pPr>
      <w:r>
        <w:rPr>
          <w:sz w:val="20"/>
        </w:rPr>
        <w:t xml:space="preserve">     </w:t>
      </w:r>
      <w:r>
        <w:rPr>
          <w:sz w:val="21"/>
        </w:rPr>
        <w:t>标的名称：</w:t>
      </w:r>
      <w:r>
        <w:rPr>
          <w:sz w:val="21"/>
          <w:u w:val="single"/>
        </w:rPr>
        <w:t>服务器</w:t>
      </w:r>
    </w:p>
    <w:p>
      <w:pPr>
        <w:pStyle w:val="null3"/>
        <w:ind w:firstLine="420"/>
        <w:jc w:val="both"/>
      </w:pPr>
      <w:r>
        <w:rPr>
          <w:sz w:val="20"/>
        </w:rPr>
        <w:t xml:space="preserve">     </w:t>
      </w:r>
      <w:r>
        <w:rPr>
          <w:sz w:val="21"/>
        </w:rPr>
        <w:t>关键部件：</w:t>
      </w:r>
      <w:r>
        <w:rPr>
          <w:sz w:val="21"/>
          <w:u w:val="single"/>
        </w:rPr>
        <w:t xml:space="preserve"> CPU</w:t>
      </w:r>
      <w:r>
        <w:rPr>
          <w:sz w:val="21"/>
          <w:u w:val="single"/>
        </w:rPr>
        <w:t>芯片</w:t>
      </w:r>
      <w:r>
        <w:rPr>
          <w:sz w:val="20"/>
        </w:rPr>
        <w:t xml:space="preserve"> </w:t>
      </w:r>
      <w:r>
        <w:rPr>
          <w:sz w:val="21"/>
        </w:rPr>
        <w:t>品牌：</w:t>
      </w:r>
      <w:r>
        <w:rPr>
          <w:sz w:val="21"/>
        </w:rPr>
        <w:t>型号：</w:t>
      </w:r>
    </w:p>
    <w:p>
      <w:pPr>
        <w:pStyle w:val="null3"/>
        <w:ind w:firstLine="420"/>
        <w:jc w:val="both"/>
      </w:pPr>
      <w:r>
        <w:rPr>
          <w:sz w:val="20"/>
        </w:rPr>
        <w:t xml:space="preserve">     </w:t>
      </w:r>
      <w:r>
        <w:rPr>
          <w:sz w:val="21"/>
        </w:rPr>
        <w:t>关键部件：</w:t>
      </w:r>
      <w:r>
        <w:rPr>
          <w:sz w:val="21"/>
          <w:u w:val="single"/>
        </w:rPr>
        <w:t>操作系统</w:t>
      </w:r>
      <w:r>
        <w:rPr>
          <w:sz w:val="20"/>
        </w:rPr>
        <w:t xml:space="preserve"> </w:t>
      </w:r>
      <w:r>
        <w:rPr>
          <w:sz w:val="21"/>
        </w:rPr>
        <w:t>品牌：</w:t>
      </w:r>
      <w:r>
        <w:rPr>
          <w:sz w:val="21"/>
        </w:rPr>
        <w:t>型号：</w:t>
      </w:r>
    </w:p>
    <w:p>
      <w:pPr>
        <w:pStyle w:val="null3"/>
      </w:pPr>
      <w:r>
        <w:rPr>
          <w:sz w:val="21"/>
        </w:rPr>
        <w:t>（注：关键部件是指财政部会同有关部门发布的政府采购需求标准规定的需要通过国家有关部门指定的测评机构开展的安全可靠测评的软硬件，如</w:t>
      </w:r>
      <w:r>
        <w:rPr>
          <w:sz w:val="21"/>
        </w:rPr>
        <w:t>CPU</w:t>
      </w:r>
      <w:r>
        <w:rPr>
          <w:sz w:val="21"/>
        </w:rPr>
        <w:t>芯片、操作系统、数据库等。）</w:t>
      </w:r>
    </w:p>
    <w:p>
      <w:pPr>
        <w:pStyle w:val="null3"/>
      </w:pPr>
      <w:r>
        <w:rPr>
          <w:sz w:val="21"/>
        </w:rPr>
        <w:t>（</w:t>
      </w:r>
      <w:r>
        <w:rPr>
          <w:sz w:val="21"/>
        </w:rPr>
        <w:t>4</w:t>
      </w:r>
      <w:r>
        <w:rPr>
          <w:sz w:val="21"/>
        </w:rPr>
        <w:t>）政府采购组织形式：</w:t>
      </w:r>
      <w:r>
        <w:rPr>
          <w:sz w:val="21"/>
        </w:rPr>
        <w:t>þ</w:t>
      </w:r>
      <w:r>
        <w:rPr>
          <w:sz w:val="21"/>
        </w:rPr>
        <w:t>政府集中采购</w:t>
      </w:r>
      <w:r>
        <w:rPr>
          <w:sz w:val="20"/>
        </w:rPr>
        <w:t xml:space="preserve">  </w:t>
      </w:r>
      <w:r>
        <w:rPr>
          <w:sz w:val="21"/>
        </w:rPr>
        <w:t>¨</w:t>
      </w:r>
      <w:r>
        <w:rPr>
          <w:sz w:val="21"/>
        </w:rPr>
        <w:t>部门集中采购</w:t>
      </w:r>
      <w:r>
        <w:rPr>
          <w:sz w:val="20"/>
        </w:rPr>
        <w:t xml:space="preserve">  </w:t>
      </w:r>
      <w:r>
        <w:rPr>
          <w:sz w:val="21"/>
        </w:rPr>
        <w:t>¨</w:t>
      </w:r>
      <w:r>
        <w:rPr>
          <w:sz w:val="21"/>
        </w:rPr>
        <w:t>分散采购</w:t>
      </w:r>
    </w:p>
    <w:p>
      <w:pPr>
        <w:pStyle w:val="null3"/>
        <w:ind w:firstLine="420"/>
      </w:pPr>
      <w:r>
        <w:rPr>
          <w:sz w:val="21"/>
        </w:rPr>
        <w:t>（</w:t>
      </w:r>
      <w:r>
        <w:rPr>
          <w:sz w:val="21"/>
        </w:rPr>
        <w:t>5</w:t>
      </w:r>
      <w:r>
        <w:rPr>
          <w:sz w:val="21"/>
        </w:rPr>
        <w:t>）政府采购方式：</w:t>
      </w:r>
      <w:r>
        <w:rPr>
          <w:sz w:val="21"/>
        </w:rPr>
        <w:t>þ</w:t>
      </w:r>
      <w:r>
        <w:rPr>
          <w:sz w:val="21"/>
        </w:rPr>
        <w:t>公开招标</w:t>
      </w:r>
      <w:r>
        <w:rPr>
          <w:sz w:val="21"/>
        </w:rPr>
        <w:t>¨</w:t>
      </w:r>
      <w:r>
        <w:rPr>
          <w:sz w:val="21"/>
        </w:rPr>
        <w:t>邀请招标</w:t>
      </w:r>
      <w:r>
        <w:rPr>
          <w:sz w:val="21"/>
        </w:rPr>
        <w:t>¨</w:t>
      </w:r>
      <w:r>
        <w:rPr>
          <w:sz w:val="21"/>
        </w:rPr>
        <w:t>竞争性谈判</w:t>
      </w:r>
      <w:r>
        <w:rPr>
          <w:sz w:val="21"/>
        </w:rPr>
        <w:t>¨</w:t>
      </w:r>
      <w:r>
        <w:rPr>
          <w:sz w:val="21"/>
        </w:rPr>
        <w:t>竞争性磋商</w:t>
      </w:r>
    </w:p>
    <w:p>
      <w:pPr>
        <w:pStyle w:val="null3"/>
        <w:ind w:firstLine="420"/>
      </w:pPr>
      <w:r>
        <w:rPr>
          <w:sz w:val="21"/>
        </w:rPr>
        <w:t>¨</w:t>
      </w:r>
      <w:r>
        <w:rPr>
          <w:sz w:val="21"/>
        </w:rPr>
        <w:t>询价</w:t>
      </w:r>
      <w:r>
        <w:rPr>
          <w:sz w:val="21"/>
        </w:rPr>
        <w:t>¨</w:t>
      </w:r>
      <w:r>
        <w:rPr>
          <w:sz w:val="21"/>
        </w:rPr>
        <w:t>单一来源</w:t>
      </w:r>
      <w:r>
        <w:rPr>
          <w:sz w:val="21"/>
        </w:rPr>
        <w:t>¨</w:t>
      </w:r>
      <w:r>
        <w:rPr>
          <w:sz w:val="21"/>
        </w:rPr>
        <w:t>框架协议</w:t>
      </w:r>
      <w:r>
        <w:rPr>
          <w:sz w:val="21"/>
        </w:rPr>
        <w:t>¨</w:t>
      </w:r>
      <w:r>
        <w:rPr>
          <w:sz w:val="21"/>
        </w:rPr>
        <w:t>其他：</w:t>
      </w:r>
    </w:p>
    <w:p>
      <w:pPr>
        <w:pStyle w:val="null3"/>
        <w:ind w:firstLine="420"/>
      </w:pPr>
      <w:r>
        <w:rPr>
          <w:sz w:val="21"/>
        </w:rPr>
        <w:t>（注：在框架协议采购的第二阶段，可选择使用该合同文本）</w:t>
      </w:r>
    </w:p>
    <w:p>
      <w:pPr>
        <w:pStyle w:val="null3"/>
        <w:ind w:firstLine="220"/>
      </w:pPr>
      <w:r>
        <w:rPr>
          <w:sz w:val="20"/>
        </w:rPr>
        <w:t xml:space="preserve"> </w:t>
      </w:r>
      <w:r>
        <w:rPr>
          <w:sz w:val="22"/>
        </w:rPr>
        <w:t>（</w:t>
      </w:r>
      <w:r>
        <w:rPr>
          <w:sz w:val="22"/>
        </w:rPr>
        <w:t>6</w:t>
      </w:r>
      <w:r>
        <w:rPr>
          <w:sz w:val="22"/>
        </w:rPr>
        <w:t>）</w:t>
      </w:r>
      <w:r>
        <w:rPr>
          <w:sz w:val="21"/>
        </w:rPr>
        <w:t>中标（成交）采购标的制造商是否为中小企业：</w:t>
      </w:r>
      <w:r>
        <w:rPr>
          <w:sz w:val="21"/>
        </w:rPr>
        <w:t>¨</w:t>
      </w:r>
      <w:r>
        <w:rPr>
          <w:sz w:val="21"/>
        </w:rPr>
        <w:t>是</w:t>
      </w:r>
      <w:r>
        <w:rPr>
          <w:sz w:val="20"/>
        </w:rPr>
        <w:t xml:space="preserve">      </w:t>
      </w:r>
      <w:r>
        <w:rPr>
          <w:sz w:val="21"/>
        </w:rPr>
        <w:t>¨</w:t>
      </w:r>
      <w:r>
        <w:rPr>
          <w:sz w:val="21"/>
        </w:rPr>
        <w:t>否</w:t>
      </w:r>
    </w:p>
    <w:p>
      <w:pPr>
        <w:pStyle w:val="null3"/>
        <w:jc w:val="both"/>
      </w:pPr>
      <w:r>
        <w:rPr>
          <w:sz w:val="20"/>
        </w:rPr>
        <w:t xml:space="preserve">         </w:t>
      </w:r>
      <w:r>
        <w:rPr>
          <w:sz w:val="21"/>
        </w:rPr>
        <w:t>本合同是否为专门面向中小企业的采购合同（中小企业预留合同）：</w:t>
      </w:r>
      <w:r>
        <w:rPr>
          <w:sz w:val="21"/>
        </w:rPr>
        <w:t>¨</w:t>
      </w:r>
      <w:r>
        <w:rPr>
          <w:sz w:val="21"/>
        </w:rPr>
        <w:t>是</w:t>
      </w:r>
      <w:r>
        <w:rPr>
          <w:sz w:val="20"/>
        </w:rPr>
        <w:t xml:space="preserve">   </w:t>
      </w:r>
      <w:r>
        <w:rPr>
          <w:sz w:val="21"/>
        </w:rPr>
        <w:t>þ</w:t>
      </w:r>
      <w:r>
        <w:rPr>
          <w:sz w:val="21"/>
        </w:rPr>
        <w:t>否</w:t>
      </w:r>
    </w:p>
    <w:p>
      <w:pPr>
        <w:pStyle w:val="null3"/>
        <w:jc w:val="both"/>
      </w:pPr>
      <w:r>
        <w:rPr>
          <w:sz w:val="20"/>
        </w:rPr>
        <w:t xml:space="preserve">         </w:t>
      </w:r>
      <w:r>
        <w:rPr>
          <w:sz w:val="21"/>
        </w:rPr>
        <w:t>若本项目不专门面向中小企业采购，是否给予小微企业评审优惠：</w:t>
      </w:r>
      <w:r>
        <w:rPr>
          <w:sz w:val="21"/>
        </w:rPr>
        <w:t>þ</w:t>
      </w:r>
      <w:r>
        <w:rPr>
          <w:sz w:val="21"/>
        </w:rPr>
        <w:t>是</w:t>
      </w:r>
      <w:r>
        <w:rPr>
          <w:sz w:val="20"/>
        </w:rPr>
        <w:t xml:space="preserve">   </w:t>
      </w:r>
      <w:r>
        <w:rPr>
          <w:sz w:val="21"/>
        </w:rPr>
        <w:t>¨</w:t>
      </w:r>
      <w:r>
        <w:rPr>
          <w:sz w:val="21"/>
        </w:rPr>
        <w:t>否</w:t>
      </w:r>
    </w:p>
    <w:p>
      <w:pPr>
        <w:pStyle w:val="null3"/>
        <w:jc w:val="both"/>
      </w:pPr>
      <w:r>
        <w:rPr>
          <w:sz w:val="20"/>
        </w:rPr>
        <w:t xml:space="preserve">         </w:t>
      </w:r>
      <w:r>
        <w:rPr>
          <w:sz w:val="21"/>
        </w:rPr>
        <w:t>中标（成交）采购标的制造商是否为残疾人福利性单位：</w:t>
      </w:r>
      <w:r>
        <w:rPr>
          <w:sz w:val="21"/>
        </w:rPr>
        <w:t>¨</w:t>
      </w:r>
      <w:r>
        <w:rPr>
          <w:sz w:val="21"/>
        </w:rPr>
        <w:t>是</w:t>
      </w:r>
      <w:r>
        <w:rPr>
          <w:sz w:val="20"/>
        </w:rPr>
        <w:t xml:space="preserve">   </w:t>
      </w:r>
      <w:r>
        <w:rPr>
          <w:sz w:val="21"/>
        </w:rPr>
        <w:t>¨</w:t>
      </w:r>
      <w:r>
        <w:rPr>
          <w:sz w:val="21"/>
        </w:rPr>
        <w:t>否</w:t>
      </w:r>
    </w:p>
    <w:p>
      <w:pPr>
        <w:pStyle w:val="null3"/>
        <w:jc w:val="both"/>
      </w:pPr>
      <w:r>
        <w:rPr>
          <w:sz w:val="20"/>
        </w:rPr>
        <w:t xml:space="preserve">         </w:t>
      </w:r>
      <w:r>
        <w:rPr>
          <w:sz w:val="21"/>
        </w:rPr>
        <w:t>中标（成交）采购标的制造商是否为监狱企业：</w:t>
      </w:r>
      <w:r>
        <w:rPr>
          <w:sz w:val="21"/>
        </w:rPr>
        <w:t>¨</w:t>
      </w:r>
      <w:r>
        <w:rPr>
          <w:sz w:val="21"/>
        </w:rPr>
        <w:t>是</w:t>
      </w:r>
      <w:r>
        <w:rPr>
          <w:sz w:val="20"/>
        </w:rPr>
        <w:t xml:space="preserve">       </w:t>
      </w:r>
      <w:r>
        <w:rPr>
          <w:sz w:val="21"/>
        </w:rPr>
        <w:t>¨</w:t>
      </w:r>
      <w:r>
        <w:rPr>
          <w:sz w:val="21"/>
        </w:rPr>
        <w:t>否</w:t>
      </w:r>
    </w:p>
    <w:p>
      <w:pPr>
        <w:pStyle w:val="null3"/>
        <w:ind w:firstLine="420"/>
        <w:jc w:val="both"/>
      </w:pPr>
      <w:r>
        <w:rPr>
          <w:sz w:val="21"/>
        </w:rPr>
        <w:t>（</w:t>
      </w:r>
      <w:r>
        <w:rPr>
          <w:sz w:val="21"/>
        </w:rPr>
        <w:t>7</w:t>
      </w:r>
      <w:r>
        <w:rPr>
          <w:sz w:val="21"/>
        </w:rPr>
        <w:t>）合同是否分包：</w:t>
      </w:r>
      <w:r>
        <w:rPr>
          <w:sz w:val="21"/>
        </w:rPr>
        <w:t>¨</w:t>
      </w:r>
      <w:r>
        <w:rPr>
          <w:sz w:val="21"/>
        </w:rPr>
        <w:t>是</w:t>
      </w:r>
      <w:r>
        <w:rPr>
          <w:sz w:val="20"/>
        </w:rPr>
        <w:t xml:space="preserve">       </w:t>
      </w:r>
      <w:r>
        <w:rPr>
          <w:sz w:val="21"/>
        </w:rPr>
        <w:t>þ</w:t>
      </w:r>
      <w:r>
        <w:rPr>
          <w:sz w:val="21"/>
        </w:rPr>
        <w:t>否</w:t>
      </w:r>
    </w:p>
    <w:p>
      <w:pPr>
        <w:pStyle w:val="null3"/>
        <w:ind w:firstLine="840"/>
        <w:jc w:val="both"/>
      </w:pPr>
      <w:r>
        <w:rPr>
          <w:sz w:val="20"/>
        </w:rPr>
        <w:t xml:space="preserve"> </w:t>
      </w:r>
      <w:r>
        <w:rPr>
          <w:sz w:val="21"/>
        </w:rPr>
        <w:t>分包主要内容：</w:t>
      </w:r>
      <w:r>
        <w:rPr>
          <w:sz w:val="21"/>
          <w:u w:val="single"/>
        </w:rPr>
        <w:t xml:space="preserve">     /                                     </w:t>
      </w:r>
    </w:p>
    <w:p>
      <w:pPr>
        <w:pStyle w:val="null3"/>
        <w:ind w:firstLine="840"/>
        <w:jc w:val="both"/>
      </w:pPr>
      <w:r>
        <w:rPr>
          <w:sz w:val="20"/>
        </w:rPr>
        <w:t xml:space="preserve"> </w:t>
      </w:r>
      <w:r>
        <w:rPr>
          <w:sz w:val="21"/>
        </w:rPr>
        <w:t>分包供应商</w:t>
      </w:r>
      <w:r>
        <w:rPr>
          <w:sz w:val="21"/>
        </w:rPr>
        <w:t>/</w:t>
      </w:r>
      <w:r>
        <w:rPr>
          <w:sz w:val="21"/>
        </w:rPr>
        <w:t>制造商名称（如供应商和制造商不同，请分别填写）：</w:t>
      </w:r>
    </w:p>
    <w:p>
      <w:pPr>
        <w:pStyle w:val="null3"/>
        <w:ind w:firstLine="840"/>
        <w:jc w:val="both"/>
      </w:pPr>
      <w:r>
        <w:rPr>
          <w:sz w:val="21"/>
          <w:u w:val="single"/>
        </w:rPr>
        <w:t xml:space="preserve">       /                                                 </w:t>
      </w:r>
    </w:p>
    <w:p>
      <w:pPr>
        <w:pStyle w:val="null3"/>
        <w:ind w:firstLine="840"/>
        <w:jc w:val="both"/>
      </w:pPr>
      <w:r>
        <w:rPr>
          <w:sz w:val="20"/>
        </w:rPr>
        <w:t xml:space="preserve"> </w:t>
      </w:r>
      <w:r>
        <w:rPr>
          <w:sz w:val="21"/>
        </w:rPr>
        <w:t>分包供应商</w:t>
      </w:r>
      <w:r>
        <w:rPr>
          <w:sz w:val="21"/>
        </w:rPr>
        <w:t>/</w:t>
      </w:r>
      <w:r>
        <w:rPr>
          <w:sz w:val="21"/>
        </w:rPr>
        <w:t>制造商类型（如果供应商和制造商不同，只填写制造商类型）：</w:t>
      </w:r>
    </w:p>
    <w:p>
      <w:pPr>
        <w:pStyle w:val="null3"/>
        <w:ind w:firstLine="840"/>
        <w:jc w:val="both"/>
      </w:pPr>
      <w:r>
        <w:rPr>
          <w:sz w:val="21"/>
        </w:rPr>
        <w:t>¨</w:t>
      </w:r>
      <w:r>
        <w:rPr>
          <w:sz w:val="21"/>
        </w:rPr>
        <w:t>大型企业</w:t>
      </w:r>
      <w:r>
        <w:rPr>
          <w:sz w:val="20"/>
        </w:rPr>
        <w:t xml:space="preserve">  </w:t>
      </w:r>
      <w:r>
        <w:rPr>
          <w:sz w:val="21"/>
        </w:rPr>
        <w:t>¨</w:t>
      </w:r>
      <w:r>
        <w:rPr>
          <w:sz w:val="21"/>
        </w:rPr>
        <w:t>中型企业</w:t>
      </w:r>
      <w:r>
        <w:rPr>
          <w:sz w:val="20"/>
        </w:rPr>
        <w:t xml:space="preserve">  </w:t>
      </w:r>
      <w:r>
        <w:rPr>
          <w:sz w:val="21"/>
        </w:rPr>
        <w:t>¨</w:t>
      </w:r>
      <w:r>
        <w:rPr>
          <w:sz w:val="21"/>
        </w:rPr>
        <w:t>小微型企业</w:t>
      </w:r>
    </w:p>
    <w:p>
      <w:pPr>
        <w:pStyle w:val="null3"/>
        <w:ind w:firstLine="840"/>
        <w:jc w:val="both"/>
      </w:pPr>
      <w:r>
        <w:rPr>
          <w:sz w:val="21"/>
        </w:rPr>
        <w:t>¨</w:t>
      </w:r>
      <w:r>
        <w:rPr>
          <w:sz w:val="21"/>
        </w:rPr>
        <w:t>残疾人福利性单位</w:t>
      </w:r>
      <w:r>
        <w:rPr>
          <w:sz w:val="21"/>
        </w:rPr>
        <w:t>¨</w:t>
      </w:r>
      <w:r>
        <w:rPr>
          <w:sz w:val="21"/>
        </w:rPr>
        <w:t>监狱企业</w:t>
      </w:r>
      <w:r>
        <w:rPr>
          <w:sz w:val="21"/>
        </w:rPr>
        <w:t>¨</w:t>
      </w:r>
      <w:r>
        <w:rPr>
          <w:sz w:val="21"/>
        </w:rPr>
        <w:t>其他</w:t>
      </w:r>
    </w:p>
    <w:p>
      <w:pPr>
        <w:pStyle w:val="null3"/>
        <w:jc w:val="both"/>
      </w:pPr>
      <w:r>
        <w:rPr>
          <w:sz w:val="20"/>
        </w:rPr>
        <w:t xml:space="preserve">    </w:t>
      </w:r>
      <w:r>
        <w:rPr>
          <w:sz w:val="21"/>
        </w:rPr>
        <w:t>（</w:t>
      </w:r>
      <w:r>
        <w:rPr>
          <w:sz w:val="21"/>
        </w:rPr>
        <w:t>8</w:t>
      </w:r>
      <w:r>
        <w:rPr>
          <w:sz w:val="21"/>
        </w:rPr>
        <w:t>）中标（成交）供应商是否为外商投资企业：</w:t>
      </w:r>
      <w:r>
        <w:rPr>
          <w:sz w:val="21"/>
        </w:rPr>
        <w:t>¨</w:t>
      </w:r>
      <w:r>
        <w:rPr>
          <w:sz w:val="21"/>
        </w:rPr>
        <w:t>是</w:t>
      </w:r>
      <w:r>
        <w:rPr>
          <w:sz w:val="20"/>
        </w:rPr>
        <w:t xml:space="preserve">       </w:t>
      </w:r>
      <w:r>
        <w:rPr>
          <w:sz w:val="21"/>
        </w:rPr>
        <w:t>¨</w:t>
      </w:r>
      <w:r>
        <w:rPr>
          <w:sz w:val="21"/>
        </w:rPr>
        <w:t>否</w:t>
      </w:r>
    </w:p>
    <w:p>
      <w:pPr>
        <w:pStyle w:val="null3"/>
        <w:ind w:firstLine="420"/>
      </w:pPr>
      <w:r>
        <w:rPr>
          <w:sz w:val="21"/>
        </w:rPr>
        <w:t>外商投资企业类型：</w:t>
      </w:r>
      <w:r>
        <w:rPr>
          <w:sz w:val="21"/>
        </w:rPr>
        <w:t>¨</w:t>
      </w:r>
      <w:r>
        <w:rPr>
          <w:sz w:val="21"/>
        </w:rPr>
        <w:t>全部由外国投资者投资</w:t>
      </w:r>
      <w:r>
        <w:rPr>
          <w:sz w:val="20"/>
        </w:rPr>
        <w:t xml:space="preserve">  </w:t>
      </w:r>
      <w:r>
        <w:rPr>
          <w:sz w:val="21"/>
        </w:rPr>
        <w:t>¨</w:t>
      </w:r>
      <w:r>
        <w:rPr>
          <w:sz w:val="21"/>
        </w:rPr>
        <w:t>部分由外国投资者投资</w:t>
      </w:r>
    </w:p>
    <w:p>
      <w:pPr>
        <w:pStyle w:val="null3"/>
        <w:ind w:firstLine="420"/>
        <w:jc w:val="both"/>
      </w:pPr>
      <w:r>
        <w:rPr>
          <w:sz w:val="21"/>
        </w:rPr>
        <w:t>（</w:t>
      </w:r>
      <w:r>
        <w:rPr>
          <w:sz w:val="21"/>
        </w:rPr>
        <w:t>9</w:t>
      </w:r>
      <w:r>
        <w:rPr>
          <w:sz w:val="21"/>
        </w:rPr>
        <w:t>）是否涉及进口产品：</w:t>
      </w:r>
    </w:p>
    <w:p>
      <w:pPr>
        <w:pStyle w:val="null3"/>
        <w:ind w:firstLine="840"/>
        <w:jc w:val="both"/>
      </w:pPr>
      <w:r>
        <w:rPr>
          <w:sz w:val="21"/>
        </w:rPr>
        <w:t>¨</w:t>
      </w:r>
      <w:r>
        <w:rPr>
          <w:sz w:val="21"/>
        </w:rPr>
        <w:t>是，《政府采购品目分类目录》底级品目名称：</w:t>
      </w:r>
      <w:r>
        <w:rPr>
          <w:sz w:val="21"/>
        </w:rPr>
        <w:t>金额：</w:t>
      </w:r>
    </w:p>
    <w:p>
      <w:pPr>
        <w:pStyle w:val="null3"/>
        <w:ind w:firstLine="840"/>
        <w:jc w:val="both"/>
      </w:pPr>
      <w:r>
        <w:rPr>
          <w:sz w:val="20"/>
        </w:rPr>
        <w:t xml:space="preserve">        </w:t>
      </w:r>
      <w:r>
        <w:rPr>
          <w:sz w:val="21"/>
        </w:rPr>
        <w:t>国别：</w:t>
      </w:r>
      <w:r>
        <w:rPr>
          <w:sz w:val="21"/>
        </w:rPr>
        <w:t>品牌：</w:t>
      </w:r>
      <w:r>
        <w:rPr>
          <w:sz w:val="21"/>
        </w:rPr>
        <w:t>规格型号：</w:t>
      </w:r>
    </w:p>
    <w:p>
      <w:pPr>
        <w:pStyle w:val="null3"/>
        <w:ind w:firstLine="840"/>
        <w:jc w:val="both"/>
      </w:pPr>
      <w:r>
        <w:rPr>
          <w:sz w:val="21"/>
        </w:rPr>
        <w:t>þ</w:t>
      </w:r>
      <w:r>
        <w:rPr>
          <w:sz w:val="21"/>
        </w:rPr>
        <w:t>否</w:t>
      </w:r>
    </w:p>
    <w:p>
      <w:pPr>
        <w:pStyle w:val="null3"/>
        <w:jc w:val="both"/>
      </w:pPr>
      <w:r>
        <w:rPr>
          <w:sz w:val="20"/>
        </w:rPr>
        <w:t xml:space="preserve">    </w:t>
      </w:r>
      <w:r>
        <w:rPr>
          <w:sz w:val="21"/>
        </w:rPr>
        <w:t>（</w:t>
      </w:r>
      <w:r>
        <w:rPr>
          <w:sz w:val="21"/>
        </w:rPr>
        <w:t>10</w:t>
      </w:r>
      <w:r>
        <w:rPr>
          <w:sz w:val="21"/>
        </w:rPr>
        <w:t>）是否涉及节能产品：</w:t>
      </w:r>
    </w:p>
    <w:p>
      <w:pPr>
        <w:pStyle w:val="null3"/>
        <w:jc w:val="both"/>
      </w:pPr>
      <w:r>
        <w:rPr>
          <w:sz w:val="21"/>
        </w:rPr>
        <w:t>¨</w:t>
      </w:r>
      <w:r>
        <w:rPr>
          <w:sz w:val="21"/>
        </w:rPr>
        <w:t>是，《节能产品政府采购品目清单》的底级品目名称：</w:t>
      </w:r>
    </w:p>
    <w:p>
      <w:pPr>
        <w:pStyle w:val="null3"/>
        <w:jc w:val="both"/>
      </w:pPr>
      <w:r>
        <w:rPr>
          <w:sz w:val="21"/>
        </w:rPr>
        <w:t>¨</w:t>
      </w:r>
      <w:r>
        <w:rPr>
          <w:sz w:val="21"/>
        </w:rPr>
        <w:t>强制采购</w:t>
      </w:r>
      <w:r>
        <w:rPr>
          <w:sz w:val="20"/>
        </w:rPr>
        <w:t xml:space="preserve">       </w:t>
      </w:r>
      <w:r>
        <w:rPr>
          <w:sz w:val="21"/>
        </w:rPr>
        <w:t>¨</w:t>
      </w:r>
      <w:r>
        <w:rPr>
          <w:sz w:val="21"/>
        </w:rPr>
        <w:t>优先采购</w:t>
      </w:r>
      <w:r>
        <w:rPr>
          <w:sz w:val="20"/>
        </w:rPr>
        <w:t xml:space="preserve">  </w:t>
      </w:r>
    </w:p>
    <w:p>
      <w:pPr>
        <w:pStyle w:val="null3"/>
        <w:jc w:val="both"/>
      </w:pPr>
      <w:r>
        <w:rPr>
          <w:sz w:val="21"/>
        </w:rPr>
        <w:t>¨</w:t>
      </w:r>
      <w:r>
        <w:rPr>
          <w:sz w:val="21"/>
        </w:rPr>
        <w:t>否</w:t>
      </w:r>
    </w:p>
    <w:p>
      <w:pPr>
        <w:pStyle w:val="null3"/>
        <w:jc w:val="both"/>
      </w:pPr>
      <w:r>
        <w:rPr>
          <w:sz w:val="20"/>
        </w:rPr>
        <w:t xml:space="preserve">          </w:t>
      </w:r>
      <w:r>
        <w:rPr>
          <w:sz w:val="21"/>
        </w:rPr>
        <w:t>是否涉及环境标志产品：</w:t>
      </w:r>
    </w:p>
    <w:p>
      <w:pPr>
        <w:pStyle w:val="null3"/>
        <w:jc w:val="both"/>
      </w:pPr>
      <w:r>
        <w:rPr>
          <w:sz w:val="21"/>
        </w:rPr>
        <w:t>¨</w:t>
      </w:r>
      <w:r>
        <w:rPr>
          <w:sz w:val="21"/>
        </w:rPr>
        <w:t>是，《环境标志产品政府采购品目清单》的底级品目名称：</w:t>
      </w:r>
    </w:p>
    <w:p>
      <w:pPr>
        <w:pStyle w:val="null3"/>
        <w:jc w:val="both"/>
      </w:pPr>
      <w:r>
        <w:rPr>
          <w:sz w:val="21"/>
        </w:rPr>
        <w:t>¨</w:t>
      </w:r>
      <w:r>
        <w:rPr>
          <w:sz w:val="21"/>
        </w:rPr>
        <w:t>强制采购</w:t>
      </w:r>
      <w:r>
        <w:rPr>
          <w:sz w:val="20"/>
        </w:rPr>
        <w:t xml:space="preserve">       </w:t>
      </w:r>
      <w:r>
        <w:rPr>
          <w:sz w:val="21"/>
        </w:rPr>
        <w:t>¨</w:t>
      </w:r>
      <w:r>
        <w:rPr>
          <w:sz w:val="21"/>
        </w:rPr>
        <w:t>优先采购</w:t>
      </w:r>
      <w:r>
        <w:rPr>
          <w:sz w:val="20"/>
        </w:rPr>
        <w:t xml:space="preserve">  </w:t>
      </w:r>
    </w:p>
    <w:p>
      <w:pPr>
        <w:pStyle w:val="null3"/>
        <w:jc w:val="both"/>
      </w:pPr>
      <w:r>
        <w:rPr>
          <w:sz w:val="21"/>
        </w:rPr>
        <w:t>¨</w:t>
      </w:r>
      <w:r>
        <w:rPr>
          <w:sz w:val="21"/>
        </w:rPr>
        <w:t>否</w:t>
      </w:r>
    </w:p>
    <w:p>
      <w:pPr>
        <w:pStyle w:val="null3"/>
      </w:pPr>
      <w:r>
        <w:rPr>
          <w:sz w:val="21"/>
        </w:rPr>
        <w:t>是否涉及绿色产品：</w:t>
      </w:r>
    </w:p>
    <w:p>
      <w:pPr>
        <w:pStyle w:val="null3"/>
        <w:ind w:firstLine="420"/>
      </w:pPr>
      <w:r>
        <w:rPr>
          <w:sz w:val="21"/>
        </w:rPr>
        <w:t>¨</w:t>
      </w:r>
      <w:r>
        <w:rPr>
          <w:sz w:val="21"/>
        </w:rPr>
        <w:t>是，绿色产品政府采购相关政策确定的底级品目名称：</w:t>
      </w:r>
    </w:p>
    <w:p>
      <w:pPr>
        <w:pStyle w:val="null3"/>
        <w:jc w:val="both"/>
      </w:pPr>
      <w:r>
        <w:rPr>
          <w:sz w:val="21"/>
        </w:rPr>
        <w:t>¨</w:t>
      </w:r>
      <w:r>
        <w:rPr>
          <w:sz w:val="21"/>
        </w:rPr>
        <w:t>强制采购</w:t>
      </w:r>
      <w:r>
        <w:rPr>
          <w:sz w:val="20"/>
        </w:rPr>
        <w:t xml:space="preserve">       </w:t>
      </w:r>
      <w:r>
        <w:rPr>
          <w:sz w:val="21"/>
        </w:rPr>
        <w:t>¨</w:t>
      </w:r>
      <w:r>
        <w:rPr>
          <w:sz w:val="21"/>
        </w:rPr>
        <w:t>优先采购</w:t>
      </w:r>
      <w:r>
        <w:rPr>
          <w:sz w:val="20"/>
        </w:rPr>
        <w:t xml:space="preserve">  </w:t>
      </w:r>
    </w:p>
    <w:p>
      <w:pPr>
        <w:pStyle w:val="null3"/>
        <w:ind w:firstLine="420"/>
      </w:pPr>
      <w:r>
        <w:rPr>
          <w:sz w:val="21"/>
        </w:rPr>
        <w:t>¨</w:t>
      </w:r>
      <w:r>
        <w:rPr>
          <w:sz w:val="21"/>
        </w:rPr>
        <w:t>否</w:t>
      </w:r>
    </w:p>
    <w:p>
      <w:pPr>
        <w:pStyle w:val="null3"/>
        <w:jc w:val="both"/>
      </w:pPr>
      <w:r>
        <w:rPr>
          <w:sz w:val="20"/>
        </w:rPr>
        <w:t xml:space="preserve">    </w:t>
      </w:r>
      <w:r>
        <w:rPr>
          <w:sz w:val="21"/>
        </w:rPr>
        <w:t>（</w:t>
      </w:r>
      <w:r>
        <w:rPr>
          <w:sz w:val="21"/>
        </w:rPr>
        <w:t>11</w:t>
      </w:r>
      <w:r>
        <w:rPr>
          <w:sz w:val="21"/>
        </w:rPr>
        <w:t>）涉及商品包装和快递包装的，是否参考《商品包装政府采购需求标准（试行）》、《快递包装政府采购需求标准（试行）》明确产品及相关快递服务的具体包装要求：</w:t>
      </w:r>
    </w:p>
    <w:p>
      <w:pPr>
        <w:pStyle w:val="null3"/>
        <w:ind w:firstLine="840"/>
        <w:jc w:val="both"/>
      </w:pPr>
      <w:r>
        <w:rPr>
          <w:sz w:val="21"/>
        </w:rPr>
        <w:t>¨</w:t>
      </w:r>
      <w:r>
        <w:rPr>
          <w:sz w:val="21"/>
        </w:rPr>
        <w:t>是</w:t>
      </w:r>
      <w:r>
        <w:rPr>
          <w:sz w:val="20"/>
        </w:rPr>
        <w:t xml:space="preserve">       </w:t>
      </w:r>
      <w:r>
        <w:rPr>
          <w:sz w:val="21"/>
        </w:rPr>
        <w:t>¨</w:t>
      </w:r>
      <w:r>
        <w:rPr>
          <w:sz w:val="21"/>
        </w:rPr>
        <w:t>否</w:t>
      </w:r>
      <w:r>
        <w:rPr>
          <w:sz w:val="20"/>
        </w:rPr>
        <w:t xml:space="preserve">     </w:t>
      </w:r>
      <w:r>
        <w:rPr>
          <w:sz w:val="21"/>
        </w:rPr>
        <w:t>þ</w:t>
      </w:r>
      <w:r>
        <w:rPr>
          <w:sz w:val="21"/>
        </w:rPr>
        <w:t>不涉及</w:t>
      </w:r>
    </w:p>
    <w:p>
      <w:pPr>
        <w:pStyle w:val="null3"/>
        <w:ind w:firstLine="422"/>
        <w:jc w:val="both"/>
      </w:pPr>
      <w:r>
        <w:rPr>
          <w:sz w:val="21"/>
          <w:b/>
        </w:rPr>
        <w:t xml:space="preserve">2. </w:t>
      </w:r>
      <w:r>
        <w:rPr>
          <w:sz w:val="21"/>
          <w:b/>
        </w:rPr>
        <w:t>合同金额</w:t>
      </w:r>
    </w:p>
    <w:p>
      <w:pPr>
        <w:pStyle w:val="null3"/>
        <w:ind w:firstLine="420"/>
        <w:jc w:val="both"/>
      </w:pPr>
      <w:r>
        <w:rPr>
          <w:sz w:val="21"/>
        </w:rPr>
        <w:t>（</w:t>
      </w:r>
      <w:r>
        <w:rPr>
          <w:sz w:val="21"/>
        </w:rPr>
        <w:t>1</w:t>
      </w:r>
      <w:r>
        <w:rPr>
          <w:sz w:val="21"/>
        </w:rPr>
        <w:t>）合同金额小写：</w:t>
      </w:r>
      <w:r>
        <w:rPr>
          <w:sz w:val="20"/>
          <w:u w:val="single"/>
        </w:rPr>
        <w:t xml:space="preserve">                         </w:t>
      </w:r>
      <w:r>
        <w:rPr>
          <w:sz w:val="21"/>
          <w:u w:val="single"/>
        </w:rPr>
        <w:t>（含税）</w:t>
      </w:r>
      <w:r>
        <w:rPr>
          <w:sz w:val="20"/>
          <w:u w:val="single"/>
        </w:rPr>
        <w:t xml:space="preserve"> </w:t>
      </w:r>
    </w:p>
    <w:p>
      <w:pPr>
        <w:pStyle w:val="null3"/>
        <w:jc w:val="both"/>
      </w:pPr>
      <w:r>
        <w:rPr>
          <w:sz w:val="20"/>
        </w:rPr>
        <w:t xml:space="preserve">                 </w:t>
      </w:r>
      <w:r>
        <w:rPr>
          <w:sz w:val="21"/>
        </w:rPr>
        <w:t>大写：</w:t>
      </w:r>
      <w:r>
        <w:rPr>
          <w:sz w:val="20"/>
          <w:u w:val="single"/>
        </w:rPr>
        <w:t xml:space="preserve">                          </w:t>
      </w:r>
      <w:r>
        <w:rPr>
          <w:sz w:val="21"/>
          <w:u w:val="single"/>
        </w:rPr>
        <w:t>（含税）</w:t>
      </w:r>
    </w:p>
    <w:p>
      <w:pPr>
        <w:pStyle w:val="null3"/>
        <w:jc w:val="both"/>
      </w:pPr>
      <w:r>
        <w:rPr>
          <w:sz w:val="20"/>
        </w:rPr>
        <w:t xml:space="preserve">         </w:t>
      </w:r>
      <w:r>
        <w:rPr>
          <w:sz w:val="21"/>
        </w:rPr>
        <w:t>分包金额（如有）小写：</w:t>
      </w:r>
      <w:r>
        <w:rPr>
          <w:sz w:val="21"/>
          <w:u w:val="single"/>
        </w:rPr>
        <w:t xml:space="preserve">  /               </w:t>
      </w:r>
    </w:p>
    <w:p>
      <w:pPr>
        <w:pStyle w:val="null3"/>
        <w:jc w:val="both"/>
      </w:pPr>
      <w:r>
        <w:rPr>
          <w:sz w:val="20"/>
        </w:rPr>
        <w:t xml:space="preserve">                     </w:t>
      </w:r>
      <w:r>
        <w:rPr>
          <w:sz w:val="21"/>
        </w:rPr>
        <w:t>大写：</w:t>
      </w:r>
      <w:r>
        <w:rPr>
          <w:sz w:val="21"/>
          <w:u w:val="single"/>
        </w:rPr>
        <w:t xml:space="preserve">    /                  </w:t>
      </w:r>
    </w:p>
    <w:p>
      <w:pPr>
        <w:pStyle w:val="null3"/>
        <w:jc w:val="both"/>
      </w:pPr>
      <w:r>
        <w:rPr>
          <w:sz w:val="20"/>
        </w:rPr>
        <w:t xml:space="preserve">    </w:t>
      </w:r>
      <w:r>
        <w:rPr>
          <w:sz w:val="21"/>
        </w:rPr>
        <w:t>（注：固定单价合同应填写单价和最高限价）</w:t>
      </w:r>
    </w:p>
    <w:p>
      <w:pPr>
        <w:pStyle w:val="null3"/>
        <w:jc w:val="both"/>
      </w:pPr>
      <w:r>
        <w:rPr>
          <w:sz w:val="20"/>
        </w:rPr>
        <w:t xml:space="preserve">    </w:t>
      </w:r>
      <w:r>
        <w:rPr>
          <w:sz w:val="21"/>
        </w:rPr>
        <w:t>（</w:t>
      </w:r>
      <w:r>
        <w:rPr>
          <w:sz w:val="21"/>
        </w:rPr>
        <w:t>2</w:t>
      </w:r>
      <w:r>
        <w:rPr>
          <w:sz w:val="21"/>
        </w:rPr>
        <w:t>）合同定价方式（采用组合定价方式的，可以勾选多项）：</w:t>
      </w:r>
    </w:p>
    <w:p>
      <w:pPr>
        <w:pStyle w:val="null3"/>
        <w:ind w:firstLine="420"/>
        <w:jc w:val="both"/>
      </w:pPr>
      <w:r>
        <w:rPr>
          <w:sz w:val="21"/>
        </w:rPr>
        <w:t>þ</w:t>
      </w:r>
      <w:r>
        <w:rPr>
          <w:sz w:val="21"/>
        </w:rPr>
        <w:t>固定总价</w:t>
      </w:r>
      <w:r>
        <w:rPr>
          <w:sz w:val="21"/>
        </w:rPr>
        <w:t>¨</w:t>
      </w:r>
      <w:r>
        <w:rPr>
          <w:sz w:val="21"/>
        </w:rPr>
        <w:t>固定单价</w:t>
      </w:r>
      <w:r>
        <w:rPr>
          <w:sz w:val="21"/>
        </w:rPr>
        <w:t>¨</w:t>
      </w:r>
      <w:r>
        <w:rPr>
          <w:sz w:val="21"/>
        </w:rPr>
        <w:t>固定费率</w:t>
      </w:r>
      <w:r>
        <w:rPr>
          <w:sz w:val="21"/>
        </w:rPr>
        <w:t>¨</w:t>
      </w:r>
      <w:r>
        <w:rPr>
          <w:sz w:val="21"/>
        </w:rPr>
        <w:t>成本补偿</w:t>
      </w:r>
      <w:r>
        <w:rPr>
          <w:sz w:val="21"/>
        </w:rPr>
        <w:t>¨</w:t>
      </w:r>
      <w:r>
        <w:rPr>
          <w:sz w:val="21"/>
        </w:rPr>
        <w:t>绩效激励</w:t>
      </w:r>
      <w:r>
        <w:rPr>
          <w:sz w:val="21"/>
        </w:rPr>
        <w:t>¨</w:t>
      </w:r>
      <w:r>
        <w:rPr>
          <w:sz w:val="21"/>
        </w:rPr>
        <w:t>其他</w:t>
      </w:r>
    </w:p>
    <w:p>
      <w:pPr>
        <w:pStyle w:val="null3"/>
      </w:pPr>
      <w:r>
        <w:rPr>
          <w:sz w:val="20"/>
        </w:rPr>
        <w:t>（</w:t>
      </w:r>
      <w:r>
        <w:rPr>
          <w:sz w:val="20"/>
        </w:rPr>
        <w:t>3</w:t>
      </w:r>
      <w:r>
        <w:rPr>
          <w:sz w:val="20"/>
        </w:rPr>
        <w:t>）付款方式（按项目实际勾选填写）：</w:t>
      </w:r>
    </w:p>
    <w:p>
      <w:pPr>
        <w:pStyle w:val="null3"/>
        <w:ind w:firstLine="630"/>
        <w:jc w:val="both"/>
      </w:pPr>
      <w:r>
        <w:rPr>
          <w:sz w:val="21"/>
        </w:rPr>
        <w:t>¨</w:t>
      </w:r>
      <w:r>
        <w:rPr>
          <w:sz w:val="21"/>
        </w:rPr>
        <w:t>全额付款：</w:t>
      </w:r>
      <w:r>
        <w:rPr>
          <w:sz w:val="20"/>
          <w:u w:val="single"/>
        </w:rPr>
        <w:t xml:space="preserve">     </w:t>
      </w:r>
      <w:r>
        <w:rPr>
          <w:sz w:val="21"/>
          <w:u w:val="single"/>
        </w:rPr>
        <w:t>（应明确一次性支付合同款项的条件）</w:t>
      </w:r>
      <w:r>
        <w:rPr>
          <w:sz w:val="20"/>
          <w:u w:val="single"/>
        </w:rPr>
        <w:t xml:space="preserve">                  </w:t>
      </w:r>
    </w:p>
    <w:p>
      <w:pPr>
        <w:pStyle w:val="null3"/>
        <w:ind w:firstLine="630"/>
        <w:jc w:val="both"/>
      </w:pPr>
      <w:r>
        <w:rPr>
          <w:sz w:val="21"/>
        </w:rPr>
        <w:t>þ</w:t>
      </w:r>
      <w:r>
        <w:rPr>
          <w:sz w:val="21"/>
        </w:rPr>
        <w:t>分期付款：</w:t>
      </w:r>
      <w:r>
        <w:rPr>
          <w:sz w:val="21"/>
          <w:u w:val="single"/>
        </w:rPr>
        <w:t xml:space="preserve">  1</w:t>
      </w:r>
      <w:r>
        <w:rPr>
          <w:sz w:val="21"/>
          <w:u w:val="single"/>
        </w:rPr>
        <w:t>期：支付比例</w:t>
      </w:r>
      <w:r>
        <w:rPr>
          <w:sz w:val="21"/>
          <w:u w:val="single"/>
        </w:rPr>
        <w:t>50%,</w:t>
      </w:r>
      <w:r>
        <w:rPr>
          <w:sz w:val="21"/>
          <w:u w:val="single"/>
        </w:rPr>
        <w:t>本项目签订合同生效后，甲方在收到乙方提供本项目招标文件要求的所有原厂盖章证明材料和税务部门认可的相应金额有效增值税普通发票之日起</w:t>
      </w:r>
      <w:r>
        <w:rPr>
          <w:sz w:val="21"/>
          <w:u w:val="single"/>
        </w:rPr>
        <w:t>10</w:t>
      </w:r>
      <w:r>
        <w:rPr>
          <w:sz w:val="21"/>
          <w:u w:val="single"/>
        </w:rPr>
        <w:t>个工作日内，向乙方支付中标价款总额的</w:t>
      </w:r>
      <w:r>
        <w:rPr>
          <w:sz w:val="21"/>
          <w:u w:val="single"/>
        </w:rPr>
        <w:t>50%</w:t>
      </w:r>
      <w:r>
        <w:rPr>
          <w:sz w:val="21"/>
          <w:u w:val="single"/>
        </w:rPr>
        <w:t>；</w:t>
      </w:r>
      <w:r>
        <w:rPr>
          <w:sz w:val="21"/>
          <w:u w:val="single"/>
        </w:rPr>
        <w:t>2</w:t>
      </w:r>
      <w:r>
        <w:rPr>
          <w:sz w:val="21"/>
          <w:u w:val="single"/>
        </w:rPr>
        <w:t>期：支付比例</w:t>
      </w:r>
      <w:r>
        <w:rPr>
          <w:sz w:val="21"/>
          <w:u w:val="single"/>
        </w:rPr>
        <w:t>50%,</w:t>
      </w:r>
      <w:r>
        <w:rPr>
          <w:sz w:val="21"/>
          <w:u w:val="single"/>
        </w:rPr>
        <w:t>本项目通过验收后，甲方在收到乙方提供的税务部门认可的</w:t>
      </w:r>
      <w:r>
        <w:rPr>
          <w:sz w:val="21"/>
          <w:u w:val="single"/>
        </w:rPr>
        <w:t>相应金额</w:t>
      </w:r>
      <w:r>
        <w:rPr>
          <w:sz w:val="21"/>
          <w:u w:val="single"/>
        </w:rPr>
        <w:t>有效增值税普通发票之日起</w:t>
      </w:r>
      <w:r>
        <w:rPr>
          <w:sz w:val="21"/>
          <w:u w:val="single"/>
        </w:rPr>
        <w:t>10</w:t>
      </w:r>
      <w:r>
        <w:rPr>
          <w:sz w:val="21"/>
          <w:u w:val="single"/>
        </w:rPr>
        <w:t>个工作日内向乙方支付中标价款总额的</w:t>
      </w:r>
      <w:r>
        <w:rPr>
          <w:sz w:val="21"/>
          <w:u w:val="single"/>
        </w:rPr>
        <w:t>50%</w:t>
      </w:r>
      <w:r>
        <w:rPr>
          <w:sz w:val="21"/>
          <w:u w:val="single"/>
        </w:rPr>
        <w:t>。</w:t>
      </w:r>
      <w:r>
        <w:rPr>
          <w:sz w:val="21"/>
        </w:rPr>
        <w:t>其中涉及预付款的：</w:t>
      </w:r>
      <w:r>
        <w:rPr>
          <w:sz w:val="21"/>
          <w:u w:val="single"/>
        </w:rPr>
        <w:t xml:space="preserve"> 1</w:t>
      </w:r>
      <w:r>
        <w:rPr>
          <w:sz w:val="21"/>
          <w:u w:val="single"/>
        </w:rPr>
        <w:t>期支付比例</w:t>
      </w:r>
      <w:r>
        <w:rPr>
          <w:sz w:val="21"/>
          <w:u w:val="single"/>
        </w:rPr>
        <w:t>50%,</w:t>
      </w:r>
      <w:r>
        <w:rPr>
          <w:sz w:val="21"/>
          <w:u w:val="single"/>
        </w:rPr>
        <w:t>本项目签订合同生效后，甲方在收到乙方提供本项目招标文件要求的所有原厂盖章证明材料和税务部门认可的</w:t>
      </w:r>
      <w:r>
        <w:rPr>
          <w:sz w:val="21"/>
          <w:u w:val="single"/>
        </w:rPr>
        <w:t>相应金额</w:t>
      </w:r>
      <w:r>
        <w:rPr>
          <w:sz w:val="21"/>
          <w:u w:val="single"/>
        </w:rPr>
        <w:t>有效增值税普通发票之日起</w:t>
      </w:r>
      <w:r>
        <w:rPr>
          <w:sz w:val="21"/>
          <w:u w:val="single"/>
        </w:rPr>
        <w:t>10</w:t>
      </w:r>
      <w:r>
        <w:rPr>
          <w:sz w:val="21"/>
          <w:u w:val="single"/>
        </w:rPr>
        <w:t>个工作日内，向乙方支付中标价款总额的</w:t>
      </w:r>
      <w:r>
        <w:rPr>
          <w:sz w:val="21"/>
          <w:u w:val="single"/>
        </w:rPr>
        <w:t>50%</w:t>
      </w:r>
      <w:r>
        <w:rPr>
          <w:sz w:val="21"/>
          <w:u w:val="single"/>
        </w:rPr>
        <w:t>；</w:t>
      </w:r>
    </w:p>
    <w:p>
      <w:pPr>
        <w:pStyle w:val="null3"/>
        <w:ind w:firstLine="630"/>
        <w:jc w:val="both"/>
      </w:pPr>
      <w:r>
        <w:rPr>
          <w:sz w:val="21"/>
        </w:rPr>
        <w:t>¨</w:t>
      </w:r>
      <w:r>
        <w:rPr>
          <w:sz w:val="21"/>
        </w:rPr>
        <w:t>成本补偿：</w:t>
      </w:r>
      <w:r>
        <w:rPr>
          <w:sz w:val="20"/>
          <w:u w:val="single"/>
        </w:rPr>
        <w:t xml:space="preserve">      </w:t>
      </w:r>
      <w:r>
        <w:rPr>
          <w:sz w:val="21"/>
          <w:u w:val="single"/>
        </w:rPr>
        <w:t>（应明确按照成本补偿方式的支付方式和支付条件）</w:t>
      </w:r>
      <w:r>
        <w:rPr>
          <w:sz w:val="20"/>
          <w:u w:val="single"/>
        </w:rPr>
        <w:t xml:space="preserve"> </w:t>
      </w:r>
    </w:p>
    <w:p>
      <w:pPr>
        <w:pStyle w:val="null3"/>
        <w:ind w:firstLine="630"/>
        <w:jc w:val="both"/>
      </w:pPr>
      <w:r>
        <w:rPr>
          <w:sz w:val="21"/>
        </w:rPr>
        <w:t>¨</w:t>
      </w:r>
      <w:r>
        <w:rPr>
          <w:sz w:val="21"/>
        </w:rPr>
        <w:t>绩效激励：</w:t>
      </w:r>
      <w:r>
        <w:rPr>
          <w:sz w:val="20"/>
          <w:u w:val="single"/>
        </w:rPr>
        <w:t xml:space="preserve">      </w:t>
      </w:r>
      <w:r>
        <w:rPr>
          <w:sz w:val="21"/>
          <w:u w:val="single"/>
        </w:rPr>
        <w:t>（应明确按照绩效激励方式的支付方式和支付条件）</w:t>
      </w:r>
      <w:r>
        <w:rPr>
          <w:sz w:val="20"/>
          <w:u w:val="single"/>
        </w:rPr>
        <w:t xml:space="preserve"> </w:t>
      </w:r>
    </w:p>
    <w:p>
      <w:pPr>
        <w:pStyle w:val="null3"/>
        <w:ind w:firstLine="422"/>
        <w:jc w:val="both"/>
      </w:pPr>
      <w:r>
        <w:rPr>
          <w:sz w:val="21"/>
          <w:b/>
        </w:rPr>
        <w:t xml:space="preserve">3. </w:t>
      </w:r>
      <w:r>
        <w:rPr>
          <w:sz w:val="21"/>
          <w:b/>
        </w:rPr>
        <w:t>合同履行</w:t>
      </w:r>
    </w:p>
    <w:p>
      <w:pPr>
        <w:pStyle w:val="null3"/>
        <w:ind w:firstLine="420"/>
        <w:jc w:val="both"/>
      </w:pPr>
      <w:r>
        <w:rPr>
          <w:sz w:val="21"/>
        </w:rPr>
        <w:t>（</w:t>
      </w:r>
      <w:r>
        <w:rPr>
          <w:sz w:val="21"/>
        </w:rPr>
        <w:t>1</w:t>
      </w:r>
      <w:r>
        <w:rPr>
          <w:sz w:val="21"/>
        </w:rPr>
        <w:t>）起始日期：年月日，完成日期：年月日。</w:t>
      </w:r>
    </w:p>
    <w:p>
      <w:pPr>
        <w:pStyle w:val="null3"/>
        <w:ind w:firstLine="420"/>
        <w:jc w:val="both"/>
      </w:pPr>
      <w:r>
        <w:rPr>
          <w:sz w:val="21"/>
        </w:rPr>
        <w:t>（</w:t>
      </w:r>
      <w:r>
        <w:rPr>
          <w:sz w:val="21"/>
        </w:rPr>
        <w:t>2</w:t>
      </w:r>
      <w:r>
        <w:rPr>
          <w:sz w:val="21"/>
        </w:rPr>
        <w:t>）履约地点：</w:t>
      </w:r>
      <w:r>
        <w:rPr>
          <w:sz w:val="21"/>
          <w:u w:val="single"/>
        </w:rPr>
        <w:t>广东省广州市越秀区环市东路</w:t>
      </w:r>
      <w:r>
        <w:rPr>
          <w:sz w:val="21"/>
          <w:u w:val="single"/>
        </w:rPr>
        <w:t>468</w:t>
      </w:r>
      <w:r>
        <w:rPr>
          <w:sz w:val="21"/>
          <w:u w:val="single"/>
        </w:rPr>
        <w:t>号</w:t>
      </w:r>
      <w:r>
        <w:rPr>
          <w:sz w:val="21"/>
          <w:u w:val="single"/>
        </w:rPr>
        <w:t>1</w:t>
      </w:r>
      <w:r>
        <w:rPr>
          <w:sz w:val="21"/>
          <w:u w:val="single"/>
        </w:rPr>
        <w:t>号办公楼</w:t>
      </w:r>
    </w:p>
    <w:p>
      <w:pPr>
        <w:pStyle w:val="null3"/>
        <w:ind w:firstLine="420"/>
        <w:jc w:val="both"/>
      </w:pPr>
      <w:r>
        <w:rPr>
          <w:sz w:val="21"/>
        </w:rPr>
        <w:t>（</w:t>
      </w:r>
      <w:r>
        <w:rPr>
          <w:sz w:val="21"/>
        </w:rPr>
        <w:t>3</w:t>
      </w:r>
      <w:r>
        <w:rPr>
          <w:sz w:val="21"/>
        </w:rPr>
        <w:t>）履约担保：是否收取履约保证金：</w:t>
      </w:r>
      <w:r>
        <w:rPr>
          <w:sz w:val="21"/>
        </w:rPr>
        <w:t>¨</w:t>
      </w:r>
      <w:r>
        <w:rPr>
          <w:sz w:val="21"/>
        </w:rPr>
        <w:t>是</w:t>
      </w:r>
      <w:r>
        <w:rPr>
          <w:sz w:val="20"/>
        </w:rPr>
        <w:t xml:space="preserve">    </w:t>
      </w:r>
      <w:r>
        <w:rPr>
          <w:sz w:val="21"/>
        </w:rPr>
        <w:t>þ</w:t>
      </w:r>
      <w:r>
        <w:rPr>
          <w:sz w:val="21"/>
        </w:rPr>
        <w:t>否</w:t>
      </w:r>
    </w:p>
    <w:p>
      <w:pPr>
        <w:pStyle w:val="null3"/>
        <w:ind w:firstLine="440"/>
      </w:pPr>
      <w:r>
        <w:rPr>
          <w:sz w:val="21"/>
        </w:rPr>
        <w:t>收取履约保证金形式：</w:t>
      </w:r>
      <w:r>
        <w:rPr>
          <w:sz w:val="21"/>
          <w:u w:val="single"/>
        </w:rPr>
        <w:t xml:space="preserve">    /                      </w:t>
      </w:r>
    </w:p>
    <w:p>
      <w:pPr>
        <w:pStyle w:val="null3"/>
        <w:ind w:firstLine="420"/>
      </w:pPr>
      <w:r>
        <w:rPr>
          <w:sz w:val="21"/>
        </w:rPr>
        <w:t>收取履约保证金金额：</w:t>
      </w:r>
      <w:r>
        <w:rPr>
          <w:sz w:val="21"/>
          <w:u w:val="single"/>
        </w:rPr>
        <w:t xml:space="preserve">    /                      </w:t>
      </w:r>
    </w:p>
    <w:p>
      <w:pPr>
        <w:pStyle w:val="null3"/>
        <w:ind w:firstLine="420"/>
        <w:jc w:val="both"/>
      </w:pPr>
      <w:r>
        <w:rPr>
          <w:sz w:val="20"/>
        </w:rPr>
        <w:t xml:space="preserve">    </w:t>
      </w:r>
      <w:r>
        <w:rPr>
          <w:sz w:val="21"/>
        </w:rPr>
        <w:t>履约担保期限：</w:t>
      </w:r>
      <w:r>
        <w:rPr>
          <w:sz w:val="21"/>
          <w:u w:val="single"/>
        </w:rPr>
        <w:t xml:space="preserve">         /                       </w:t>
      </w:r>
    </w:p>
    <w:p>
      <w:pPr>
        <w:pStyle w:val="null3"/>
        <w:ind w:firstLine="420"/>
        <w:jc w:val="both"/>
      </w:pPr>
      <w:r>
        <w:rPr>
          <w:sz w:val="21"/>
        </w:rPr>
        <w:t>（</w:t>
      </w:r>
      <w:r>
        <w:rPr>
          <w:sz w:val="21"/>
        </w:rPr>
        <w:t>4</w:t>
      </w:r>
      <w:r>
        <w:rPr>
          <w:sz w:val="21"/>
        </w:rPr>
        <w:t>）分期履行要求：</w:t>
      </w:r>
      <w:r>
        <w:rPr>
          <w:sz w:val="21"/>
          <w:u w:val="single"/>
        </w:rPr>
        <w:t xml:space="preserve">       /                                           </w:t>
      </w:r>
    </w:p>
    <w:p>
      <w:pPr>
        <w:pStyle w:val="null3"/>
        <w:ind w:firstLine="420"/>
        <w:jc w:val="both"/>
      </w:pPr>
      <w:r>
        <w:rPr>
          <w:sz w:val="21"/>
        </w:rPr>
        <w:t>（</w:t>
      </w:r>
      <w:r>
        <w:rPr>
          <w:sz w:val="21"/>
        </w:rPr>
        <w:t>5</w:t>
      </w:r>
      <w:r>
        <w:rPr>
          <w:sz w:val="21"/>
        </w:rPr>
        <w:t>）风险处置措施和替代方案：</w:t>
      </w:r>
      <w:r>
        <w:rPr>
          <w:sz w:val="21"/>
          <w:u w:val="single"/>
        </w:rPr>
        <w:t>乙方逾期交货的，从逾期之日起每日按本合同总金额的</w:t>
      </w:r>
      <w:r>
        <w:rPr>
          <w:sz w:val="21"/>
          <w:u w:val="single"/>
        </w:rPr>
        <w:t>3</w:t>
      </w:r>
      <w:r>
        <w:rPr>
          <w:sz w:val="21"/>
          <w:u w:val="single"/>
        </w:rPr>
        <w:t>‰向甲方偿付违约金；逾期交货超过</w:t>
      </w:r>
      <w:r>
        <w:rPr>
          <w:sz w:val="21"/>
          <w:u w:val="single"/>
        </w:rPr>
        <w:t>10</w:t>
      </w:r>
      <w:r>
        <w:rPr>
          <w:sz w:val="21"/>
          <w:u w:val="single"/>
        </w:rPr>
        <w:t>天的，甲方有权终止合同，乙方在逾期交货</w:t>
      </w:r>
      <w:r>
        <w:rPr>
          <w:sz w:val="21"/>
          <w:u w:val="single"/>
        </w:rPr>
        <w:t>10</w:t>
      </w:r>
      <w:r>
        <w:rPr>
          <w:sz w:val="21"/>
          <w:u w:val="single"/>
        </w:rPr>
        <w:t>天之日起</w:t>
      </w:r>
      <w:r>
        <w:rPr>
          <w:sz w:val="21"/>
          <w:u w:val="single"/>
        </w:rPr>
        <w:t>5</w:t>
      </w:r>
      <w:r>
        <w:rPr>
          <w:sz w:val="21"/>
          <w:u w:val="single"/>
        </w:rPr>
        <w:t>天内将甲方已支付的第</w:t>
      </w:r>
      <w:r>
        <w:rPr>
          <w:sz w:val="21"/>
          <w:u w:val="single"/>
        </w:rPr>
        <w:t>1</w:t>
      </w:r>
      <w:r>
        <w:rPr>
          <w:sz w:val="21"/>
          <w:u w:val="single"/>
        </w:rPr>
        <w:t>期款项全部退回给甲方，并按照合同总金额的</w:t>
      </w:r>
      <w:r>
        <w:rPr>
          <w:sz w:val="21"/>
          <w:u w:val="single"/>
        </w:rPr>
        <w:t>20%</w:t>
      </w:r>
      <w:r>
        <w:rPr>
          <w:sz w:val="21"/>
          <w:u w:val="single"/>
        </w:rPr>
        <w:t>偿付违约金给甲方。乙方不按合同要求的时间内供货造成甲方不能在财政部门要求的本年度财政资金支付时限内支付本项目合同尾款而导致相应的年度财政资金被财政部门收回的，甲方不承担相应支付义务，相应的责任和后果由乙方承担。</w:t>
      </w:r>
    </w:p>
    <w:p>
      <w:pPr>
        <w:pStyle w:val="null3"/>
        <w:ind w:firstLine="422"/>
        <w:jc w:val="both"/>
      </w:pPr>
      <w:r>
        <w:rPr>
          <w:sz w:val="21"/>
          <w:b/>
        </w:rPr>
        <w:t xml:space="preserve">4. </w:t>
      </w:r>
      <w:r>
        <w:rPr>
          <w:sz w:val="21"/>
          <w:b/>
        </w:rPr>
        <w:t>合同验收</w:t>
      </w:r>
    </w:p>
    <w:p>
      <w:pPr>
        <w:pStyle w:val="null3"/>
        <w:ind w:firstLine="420"/>
        <w:jc w:val="both"/>
      </w:pPr>
      <w:r>
        <w:rPr>
          <w:sz w:val="21"/>
        </w:rPr>
        <w:t>（</w:t>
      </w:r>
      <w:r>
        <w:rPr>
          <w:sz w:val="21"/>
        </w:rPr>
        <w:t>1</w:t>
      </w:r>
      <w:r>
        <w:rPr>
          <w:sz w:val="21"/>
        </w:rPr>
        <w:t>）验收组织方式：</w:t>
      </w:r>
      <w:r>
        <w:rPr>
          <w:sz w:val="21"/>
        </w:rPr>
        <w:t>þ</w:t>
      </w:r>
      <w:r>
        <w:rPr>
          <w:sz w:val="21"/>
        </w:rPr>
        <w:t>自行组织</w:t>
      </w:r>
      <w:r>
        <w:rPr>
          <w:sz w:val="21"/>
        </w:rPr>
        <w:t>¨</w:t>
      </w:r>
      <w:r>
        <w:rPr>
          <w:sz w:val="21"/>
        </w:rPr>
        <w:t>委托第三方组织</w:t>
      </w:r>
    </w:p>
    <w:p>
      <w:pPr>
        <w:pStyle w:val="null3"/>
        <w:jc w:val="both"/>
      </w:pPr>
      <w:r>
        <w:rPr>
          <w:sz w:val="20"/>
        </w:rPr>
        <w:t xml:space="preserve">         </w:t>
      </w:r>
      <w:r>
        <w:rPr>
          <w:sz w:val="21"/>
        </w:rPr>
        <w:t>验收主体：</w:t>
      </w:r>
      <w:r>
        <w:rPr>
          <w:sz w:val="20"/>
          <w:u w:val="single"/>
        </w:rPr>
        <w:t xml:space="preserve">       </w:t>
      </w:r>
      <w:r>
        <w:rPr>
          <w:sz w:val="21"/>
          <w:u w:val="single"/>
        </w:rPr>
        <w:t>广东省地图院</w:t>
      </w:r>
      <w:r>
        <w:rPr>
          <w:sz w:val="20"/>
          <w:u w:val="single"/>
        </w:rPr>
        <w:t xml:space="preserve">     </w:t>
      </w:r>
    </w:p>
    <w:p>
      <w:pPr>
        <w:pStyle w:val="null3"/>
        <w:jc w:val="both"/>
      </w:pPr>
      <w:r>
        <w:rPr>
          <w:sz w:val="20"/>
        </w:rPr>
        <w:t xml:space="preserve">        </w:t>
      </w:r>
      <w:r>
        <w:rPr>
          <w:sz w:val="21"/>
        </w:rPr>
        <w:t>是否邀请本项目的其他供应商参加验收：</w:t>
      </w:r>
      <w:r>
        <w:rPr>
          <w:sz w:val="21"/>
        </w:rPr>
        <w:t>¨</w:t>
      </w:r>
      <w:r>
        <w:rPr>
          <w:sz w:val="21"/>
        </w:rPr>
        <w:t>是</w:t>
      </w:r>
      <w:r>
        <w:rPr>
          <w:sz w:val="20"/>
        </w:rPr>
        <w:t xml:space="preserve">  </w:t>
      </w:r>
      <w:r>
        <w:rPr>
          <w:sz w:val="21"/>
        </w:rPr>
        <w:t>þ</w:t>
      </w:r>
      <w:r>
        <w:rPr>
          <w:sz w:val="21"/>
        </w:rPr>
        <w:t>否</w:t>
      </w:r>
    </w:p>
    <w:p>
      <w:pPr>
        <w:pStyle w:val="null3"/>
        <w:ind w:firstLine="840"/>
        <w:jc w:val="both"/>
      </w:pPr>
      <w:r>
        <w:rPr>
          <w:sz w:val="21"/>
        </w:rPr>
        <w:t>是否邀请专家参加验收：</w:t>
      </w:r>
      <w:r>
        <w:rPr>
          <w:sz w:val="21"/>
        </w:rPr>
        <w:t>¨</w:t>
      </w:r>
      <w:r>
        <w:rPr>
          <w:sz w:val="21"/>
        </w:rPr>
        <w:t>是</w:t>
      </w:r>
      <w:r>
        <w:rPr>
          <w:sz w:val="20"/>
        </w:rPr>
        <w:t xml:space="preserve">  </w:t>
      </w:r>
      <w:r>
        <w:rPr>
          <w:sz w:val="21"/>
        </w:rPr>
        <w:t>þ</w:t>
      </w:r>
      <w:r>
        <w:rPr>
          <w:sz w:val="21"/>
        </w:rPr>
        <w:t>否</w:t>
      </w:r>
    </w:p>
    <w:p>
      <w:pPr>
        <w:pStyle w:val="null3"/>
        <w:ind w:firstLine="840"/>
        <w:jc w:val="both"/>
      </w:pPr>
      <w:r>
        <w:rPr>
          <w:sz w:val="21"/>
        </w:rPr>
        <w:t>是否邀请服务对象参加验收：</w:t>
      </w:r>
      <w:r>
        <w:rPr>
          <w:sz w:val="21"/>
        </w:rPr>
        <w:t>¨</w:t>
      </w:r>
      <w:r>
        <w:rPr>
          <w:sz w:val="21"/>
        </w:rPr>
        <w:t>是</w:t>
      </w:r>
      <w:r>
        <w:rPr>
          <w:sz w:val="20"/>
        </w:rPr>
        <w:t xml:space="preserve">  </w:t>
      </w:r>
      <w:r>
        <w:rPr>
          <w:sz w:val="21"/>
        </w:rPr>
        <w:t>þ</w:t>
      </w:r>
      <w:r>
        <w:rPr>
          <w:sz w:val="21"/>
        </w:rPr>
        <w:t>否</w:t>
      </w:r>
    </w:p>
    <w:p>
      <w:pPr>
        <w:pStyle w:val="null3"/>
        <w:ind w:firstLine="840"/>
        <w:jc w:val="both"/>
      </w:pPr>
      <w:r>
        <w:rPr>
          <w:sz w:val="21"/>
        </w:rPr>
        <w:t>是否邀请第三方检测机构参加验收：</w:t>
      </w:r>
      <w:r>
        <w:rPr>
          <w:sz w:val="21"/>
        </w:rPr>
        <w:t>¨</w:t>
      </w:r>
      <w:r>
        <w:rPr>
          <w:sz w:val="21"/>
        </w:rPr>
        <w:t>是</w:t>
      </w:r>
      <w:r>
        <w:rPr>
          <w:sz w:val="20"/>
        </w:rPr>
        <w:t xml:space="preserve">  </w:t>
      </w:r>
      <w:r>
        <w:rPr>
          <w:sz w:val="21"/>
        </w:rPr>
        <w:t>þ</w:t>
      </w:r>
      <w:r>
        <w:rPr>
          <w:sz w:val="21"/>
        </w:rPr>
        <w:t>否</w:t>
      </w:r>
    </w:p>
    <w:p>
      <w:pPr>
        <w:pStyle w:val="null3"/>
        <w:ind w:firstLine="840"/>
        <w:jc w:val="both"/>
      </w:pPr>
      <w:r>
        <w:rPr>
          <w:sz w:val="21"/>
        </w:rPr>
        <w:t>是否进行抽查检测：</w:t>
      </w:r>
      <w:r>
        <w:rPr>
          <w:sz w:val="21"/>
        </w:rPr>
        <w:t>¨</w:t>
      </w:r>
      <w:r>
        <w:rPr>
          <w:sz w:val="21"/>
        </w:rPr>
        <w:t>是，抽查比例：</w:t>
      </w:r>
      <w:r>
        <w:rPr>
          <w:sz w:val="21"/>
        </w:rPr>
        <w:t>þ</w:t>
      </w:r>
      <w:r>
        <w:rPr>
          <w:sz w:val="21"/>
        </w:rPr>
        <w:t>否</w:t>
      </w:r>
    </w:p>
    <w:p>
      <w:pPr>
        <w:pStyle w:val="null3"/>
        <w:ind w:firstLine="840"/>
        <w:jc w:val="both"/>
      </w:pPr>
      <w:r>
        <w:rPr>
          <w:sz w:val="21"/>
        </w:rPr>
        <w:t>是否存在破坏性检测：</w:t>
      </w:r>
      <w:r>
        <w:rPr>
          <w:sz w:val="21"/>
        </w:rPr>
        <w:t>¨</w:t>
      </w:r>
      <w:r>
        <w:rPr>
          <w:sz w:val="21"/>
        </w:rPr>
        <w:t>是，</w:t>
      </w:r>
      <w:r>
        <w:rPr>
          <w:sz w:val="21"/>
          <w:u w:val="single"/>
        </w:rPr>
        <w:t>（应明确对被破坏的检测产品的处理方式）</w:t>
      </w:r>
    </w:p>
    <w:p>
      <w:pPr>
        <w:pStyle w:val="null3"/>
        <w:ind w:firstLine="840"/>
        <w:jc w:val="both"/>
      </w:pPr>
      <w:r>
        <w:rPr>
          <w:sz w:val="21"/>
        </w:rPr>
        <w:t>þ</w:t>
      </w:r>
      <w:r>
        <w:rPr>
          <w:sz w:val="21"/>
        </w:rPr>
        <w:t>否</w:t>
      </w:r>
    </w:p>
    <w:p>
      <w:pPr>
        <w:pStyle w:val="null3"/>
        <w:ind w:firstLine="840"/>
        <w:jc w:val="both"/>
      </w:pPr>
      <w:r>
        <w:rPr>
          <w:sz w:val="21"/>
        </w:rPr>
        <w:t>验收组织的其他事项：</w:t>
      </w:r>
      <w:r>
        <w:rPr>
          <w:sz w:val="21"/>
          <w:u w:val="single"/>
        </w:rPr>
        <w:t>必要时，甲方可邀请第三方机构进行验收，由此产生的费用由乙方承担</w:t>
      </w:r>
    </w:p>
    <w:p>
      <w:pPr>
        <w:pStyle w:val="null3"/>
        <w:ind w:firstLine="420"/>
        <w:jc w:val="both"/>
      </w:pPr>
      <w:r>
        <w:rPr>
          <w:sz w:val="21"/>
        </w:rPr>
        <w:t>（</w:t>
      </w:r>
      <w:r>
        <w:rPr>
          <w:sz w:val="21"/>
        </w:rPr>
        <w:t>2</w:t>
      </w:r>
      <w:r>
        <w:rPr>
          <w:sz w:val="21"/>
        </w:rPr>
        <w:t>）履约验收时间：</w:t>
      </w:r>
      <w:r>
        <w:rPr>
          <w:sz w:val="21"/>
          <w:u w:val="single"/>
        </w:rPr>
        <w:t>甲方在收齐所有本项目约定产品后</w:t>
      </w:r>
      <w:r>
        <w:rPr>
          <w:sz w:val="21"/>
          <w:u w:val="single"/>
        </w:rPr>
        <w:t>3</w:t>
      </w:r>
      <w:r>
        <w:rPr>
          <w:sz w:val="21"/>
          <w:u w:val="single"/>
        </w:rPr>
        <w:t>个工作日内组织验收。</w:t>
      </w:r>
    </w:p>
    <w:p>
      <w:pPr>
        <w:pStyle w:val="null3"/>
        <w:ind w:firstLine="420"/>
        <w:jc w:val="both"/>
      </w:pPr>
      <w:r>
        <w:rPr>
          <w:sz w:val="21"/>
        </w:rPr>
        <w:t>（</w:t>
      </w:r>
      <w:r>
        <w:rPr>
          <w:sz w:val="21"/>
        </w:rPr>
        <w:t>3</w:t>
      </w:r>
      <w:r>
        <w:rPr>
          <w:sz w:val="21"/>
        </w:rPr>
        <w:t>）履约验收方式：</w:t>
      </w:r>
      <w:r>
        <w:rPr>
          <w:sz w:val="21"/>
        </w:rPr>
        <w:t>þ</w:t>
      </w:r>
      <w:r>
        <w:rPr>
          <w:sz w:val="21"/>
        </w:rPr>
        <w:t>一次性验收</w:t>
      </w:r>
      <w:r>
        <w:rPr>
          <w:sz w:val="20"/>
        </w:rPr>
        <w:t xml:space="preserve">       </w:t>
      </w:r>
    </w:p>
    <w:p>
      <w:pPr>
        <w:pStyle w:val="null3"/>
        <w:jc w:val="both"/>
      </w:pPr>
      <w:r>
        <w:rPr>
          <w:sz w:val="21"/>
        </w:rPr>
        <w:t>¨</w:t>
      </w:r>
      <w:r>
        <w:rPr>
          <w:sz w:val="21"/>
        </w:rPr>
        <w:t>分期</w:t>
      </w:r>
      <w:r>
        <w:rPr>
          <w:sz w:val="21"/>
        </w:rPr>
        <w:t>/</w:t>
      </w:r>
      <w:r>
        <w:rPr>
          <w:sz w:val="21"/>
        </w:rPr>
        <w:t>分项验收：</w:t>
      </w:r>
      <w:r>
        <w:rPr>
          <w:sz w:val="21"/>
          <w:u w:val="single"/>
        </w:rPr>
        <w:t>（应明确分期</w:t>
      </w:r>
      <w:r>
        <w:rPr>
          <w:sz w:val="21"/>
          <w:u w:val="single"/>
        </w:rPr>
        <w:t>/</w:t>
      </w:r>
      <w:r>
        <w:rPr>
          <w:sz w:val="21"/>
          <w:u w:val="single"/>
        </w:rPr>
        <w:t>分项验收的工作安排）</w:t>
      </w:r>
    </w:p>
    <w:p>
      <w:pPr>
        <w:pStyle w:val="null3"/>
        <w:ind w:firstLine="420"/>
        <w:jc w:val="both"/>
      </w:pPr>
      <w:r>
        <w:rPr>
          <w:sz w:val="21"/>
        </w:rPr>
        <w:t>（</w:t>
      </w:r>
      <w:r>
        <w:rPr>
          <w:sz w:val="21"/>
        </w:rPr>
        <w:t>4</w:t>
      </w:r>
      <w:r>
        <w:rPr>
          <w:sz w:val="21"/>
        </w:rPr>
        <w:t>）履约验收程序：</w:t>
      </w:r>
      <w:r>
        <w:rPr>
          <w:sz w:val="21"/>
          <w:u w:val="single"/>
        </w:rPr>
        <w:t>甲方在收齐所有本项目约定产品后</w:t>
      </w:r>
      <w:r>
        <w:rPr>
          <w:sz w:val="21"/>
          <w:u w:val="single"/>
        </w:rPr>
        <w:t>3</w:t>
      </w:r>
      <w:r>
        <w:rPr>
          <w:sz w:val="21"/>
          <w:u w:val="single"/>
        </w:rPr>
        <w:t>个工作日内组织验收，乙方派代表参加验收。</w:t>
      </w:r>
    </w:p>
    <w:p>
      <w:pPr>
        <w:pStyle w:val="null3"/>
        <w:ind w:firstLine="420"/>
        <w:jc w:val="both"/>
      </w:pPr>
      <w:r>
        <w:rPr>
          <w:sz w:val="21"/>
        </w:rPr>
        <w:t>（</w:t>
      </w:r>
      <w:r>
        <w:rPr>
          <w:sz w:val="21"/>
        </w:rPr>
        <w:t>5</w:t>
      </w:r>
      <w:r>
        <w:rPr>
          <w:sz w:val="21"/>
        </w:rPr>
        <w:t>）履约验收的内容：</w:t>
      </w:r>
      <w:r>
        <w:rPr>
          <w:sz w:val="21"/>
          <w:u w:val="single"/>
        </w:rPr>
        <w:t>1.</w:t>
      </w:r>
      <w:r>
        <w:rPr>
          <w:sz w:val="21"/>
          <w:u w:val="single"/>
        </w:rPr>
        <w:t>乙方所提供产品配置是否符合乙方投标文件承诺的配置，是否满足本合同要求且正常运行；</w:t>
      </w:r>
      <w:r>
        <w:rPr>
          <w:sz w:val="21"/>
          <w:u w:val="single"/>
        </w:rPr>
        <w:t xml:space="preserve"> 2.</w:t>
      </w:r>
      <w:r>
        <w:rPr>
          <w:sz w:val="21"/>
          <w:u w:val="single"/>
        </w:rPr>
        <w:t>乙方是否提供了甲方招标文件约定的且乙方投标文件承诺的在本签订合同后</w:t>
      </w:r>
      <w:r>
        <w:rPr>
          <w:sz w:val="21"/>
          <w:u w:val="single"/>
        </w:rPr>
        <w:t>2</w:t>
      </w:r>
      <w:r>
        <w:rPr>
          <w:sz w:val="21"/>
          <w:u w:val="single"/>
        </w:rPr>
        <w:t>个工作日内提供的证明材料。</w:t>
      </w:r>
    </w:p>
    <w:p>
      <w:pPr>
        <w:pStyle w:val="null3"/>
        <w:ind w:firstLine="420"/>
        <w:jc w:val="both"/>
      </w:pPr>
      <w:r>
        <w:rPr>
          <w:sz w:val="21"/>
        </w:rPr>
        <w:t>（</w:t>
      </w:r>
      <w:r>
        <w:rPr>
          <w:sz w:val="21"/>
        </w:rPr>
        <w:t>6</w:t>
      </w:r>
      <w:r>
        <w:rPr>
          <w:sz w:val="21"/>
        </w:rPr>
        <w:t>）履约验收标准：</w:t>
      </w:r>
      <w:r>
        <w:rPr>
          <w:sz w:val="21"/>
          <w:u w:val="single"/>
        </w:rPr>
        <w:t>1.</w:t>
      </w:r>
      <w:r>
        <w:rPr>
          <w:sz w:val="21"/>
          <w:u w:val="single"/>
        </w:rPr>
        <w:t>货物为全新、未使用过的原装合格正品，无污染，表面无划损，无任何缺陷隐患、质量瑕疵，完全符合生产厂家且不低于国家规定的质量、规格和性能的要求；</w:t>
      </w:r>
      <w:r>
        <w:rPr>
          <w:sz w:val="21"/>
          <w:u w:val="single"/>
        </w:rPr>
        <w:t xml:space="preserve"> 2.</w:t>
      </w:r>
      <w:r>
        <w:rPr>
          <w:sz w:val="21"/>
          <w:u w:val="single"/>
        </w:rPr>
        <w:t>装箱单附有包括但不限于质量合格证书、保修证书、产品使用说明书及其他应随产品一同装箱的配件、技术资料等；</w:t>
      </w:r>
      <w:r>
        <w:rPr>
          <w:sz w:val="21"/>
          <w:u w:val="single"/>
        </w:rPr>
        <w:t xml:space="preserve"> 3.</w:t>
      </w:r>
      <w:r>
        <w:rPr>
          <w:sz w:val="21"/>
          <w:u w:val="single"/>
        </w:rPr>
        <w:t>标示于货物、产品质量检验合格证、装箱单及包装之上的批号、序列号、证号、装箱号等编号应当一致，或者能够相互关联印证，并与制造商确定的编码规则和存档记录一致，可供溯源；</w:t>
      </w:r>
      <w:r>
        <w:rPr>
          <w:sz w:val="21"/>
          <w:u w:val="single"/>
        </w:rPr>
        <w:t xml:space="preserve"> 4.</w:t>
      </w:r>
      <w:r>
        <w:rPr>
          <w:sz w:val="21"/>
          <w:u w:val="single"/>
        </w:rPr>
        <w:t>验收应在甲乙双方共同参加下进行，验收按国家有关的规定、规范、项目采购文件及乙方投标文件承诺的相关技术要求进行；</w:t>
      </w:r>
      <w:r>
        <w:rPr>
          <w:sz w:val="21"/>
          <w:u w:val="single"/>
        </w:rPr>
        <w:t xml:space="preserve"> 5.</w:t>
      </w:r>
      <w:r>
        <w:rPr>
          <w:sz w:val="21"/>
          <w:u w:val="single"/>
        </w:rPr>
        <w:t>乙方保证合同项下提供的货物（或者设备）不侵犯任何第三方的知识产权，否则，乙方需承担对第三方的侵权责任并承担因此而发生的所有费用；</w:t>
      </w:r>
      <w:r>
        <w:rPr>
          <w:sz w:val="21"/>
          <w:u w:val="single"/>
        </w:rPr>
        <w:t xml:space="preserve"> 6.</w:t>
      </w:r>
      <w:r>
        <w:rPr>
          <w:sz w:val="21"/>
          <w:u w:val="single"/>
        </w:rPr>
        <w:t>所有设备需通过试运行且运行正常；</w:t>
      </w:r>
      <w:r>
        <w:rPr>
          <w:sz w:val="21"/>
          <w:u w:val="single"/>
        </w:rPr>
        <w:t xml:space="preserve"> 7.</w:t>
      </w:r>
      <w:r>
        <w:rPr>
          <w:sz w:val="21"/>
          <w:u w:val="single"/>
        </w:rPr>
        <w:t>项目实施过程中约定的其他相关技术要求。</w:t>
      </w:r>
    </w:p>
    <w:p>
      <w:pPr>
        <w:pStyle w:val="null3"/>
        <w:ind w:firstLine="420"/>
      </w:pPr>
      <w:r>
        <w:rPr>
          <w:sz w:val="21"/>
        </w:rPr>
        <w:t>（</w:t>
      </w:r>
      <w:r>
        <w:rPr>
          <w:sz w:val="21"/>
        </w:rPr>
        <w:t>7</w:t>
      </w:r>
      <w:r>
        <w:rPr>
          <w:sz w:val="21"/>
        </w:rPr>
        <w:t>）是否以采购活动中供应商提供的样品作为参考：</w:t>
      </w:r>
      <w:r>
        <w:rPr>
          <w:sz w:val="21"/>
        </w:rPr>
        <w:t>¨</w:t>
      </w:r>
      <w:r>
        <w:rPr>
          <w:sz w:val="21"/>
        </w:rPr>
        <w:t>是</w:t>
      </w:r>
      <w:r>
        <w:rPr>
          <w:sz w:val="21"/>
        </w:rPr>
        <w:t>þ</w:t>
      </w:r>
      <w:r>
        <w:rPr>
          <w:sz w:val="21"/>
        </w:rPr>
        <w:t>否</w:t>
      </w:r>
    </w:p>
    <w:p>
      <w:pPr>
        <w:pStyle w:val="null3"/>
        <w:ind w:firstLine="420"/>
        <w:jc w:val="both"/>
      </w:pPr>
      <w:r>
        <w:rPr>
          <w:sz w:val="21"/>
        </w:rPr>
        <w:t>（</w:t>
      </w:r>
      <w:r>
        <w:rPr>
          <w:sz w:val="21"/>
        </w:rPr>
        <w:t>8</w:t>
      </w:r>
      <w:r>
        <w:rPr>
          <w:sz w:val="21"/>
        </w:rPr>
        <w:t>）履约验收其他事项：</w:t>
      </w:r>
      <w:r>
        <w:rPr>
          <w:sz w:val="20"/>
          <w:u w:val="single"/>
        </w:rPr>
        <w:t xml:space="preserve">      </w:t>
      </w:r>
      <w:r>
        <w:rPr>
          <w:sz w:val="21"/>
          <w:u w:val="single"/>
        </w:rPr>
        <w:t>无</w:t>
      </w:r>
      <w:r>
        <w:rPr>
          <w:sz w:val="20"/>
          <w:u w:val="single"/>
        </w:rPr>
        <w:t xml:space="preserve">        </w:t>
      </w:r>
    </w:p>
    <w:p>
      <w:pPr>
        <w:pStyle w:val="null3"/>
        <w:ind w:firstLine="422"/>
        <w:jc w:val="both"/>
      </w:pPr>
      <w:r>
        <w:rPr>
          <w:sz w:val="21"/>
          <w:b/>
        </w:rPr>
        <w:t xml:space="preserve">5. </w:t>
      </w:r>
      <w:r>
        <w:rPr>
          <w:sz w:val="21"/>
          <w:b/>
        </w:rPr>
        <w:t>组成合同的文件</w:t>
      </w:r>
    </w:p>
    <w:p>
      <w:pPr>
        <w:pStyle w:val="null3"/>
        <w:ind w:firstLine="420"/>
        <w:jc w:val="both"/>
      </w:pPr>
      <w:r>
        <w:rPr>
          <w:sz w:val="21"/>
        </w:rPr>
        <w:t>本协议书与下列文件一起构成合同文件，如下述文件之间有任何抵触、矛盾或歧义，应按以下顺序解释：</w:t>
      </w:r>
    </w:p>
    <w:p>
      <w:pPr>
        <w:pStyle w:val="null3"/>
        <w:ind w:firstLine="420"/>
        <w:jc w:val="both"/>
      </w:pPr>
      <w:r>
        <w:rPr>
          <w:sz w:val="21"/>
        </w:rPr>
        <w:t>（</w:t>
      </w:r>
      <w:r>
        <w:rPr>
          <w:sz w:val="21"/>
        </w:rPr>
        <w:t>1</w:t>
      </w:r>
      <w:r>
        <w:rPr>
          <w:sz w:val="21"/>
        </w:rPr>
        <w:t>）政府采购合同协议书及其变更、补充协议</w:t>
      </w:r>
    </w:p>
    <w:p>
      <w:pPr>
        <w:pStyle w:val="null3"/>
        <w:ind w:firstLine="420"/>
        <w:jc w:val="both"/>
      </w:pPr>
      <w:r>
        <w:rPr>
          <w:sz w:val="21"/>
        </w:rPr>
        <w:t>（</w:t>
      </w:r>
      <w:r>
        <w:rPr>
          <w:sz w:val="21"/>
        </w:rPr>
        <w:t>2</w:t>
      </w:r>
      <w:r>
        <w:rPr>
          <w:sz w:val="21"/>
        </w:rPr>
        <w:t>）政府采购合同专用条款</w:t>
      </w:r>
    </w:p>
    <w:p>
      <w:pPr>
        <w:pStyle w:val="null3"/>
        <w:ind w:firstLine="420"/>
        <w:jc w:val="both"/>
      </w:pPr>
      <w:r>
        <w:rPr>
          <w:sz w:val="21"/>
        </w:rPr>
        <w:t>（</w:t>
      </w:r>
      <w:r>
        <w:rPr>
          <w:sz w:val="21"/>
        </w:rPr>
        <w:t>3</w:t>
      </w:r>
      <w:r>
        <w:rPr>
          <w:sz w:val="21"/>
        </w:rPr>
        <w:t>）政府采购合同通用条款</w:t>
      </w:r>
    </w:p>
    <w:p>
      <w:pPr>
        <w:pStyle w:val="null3"/>
        <w:ind w:firstLine="420"/>
        <w:jc w:val="both"/>
      </w:pPr>
      <w:r>
        <w:rPr>
          <w:sz w:val="21"/>
        </w:rPr>
        <w:t>（</w:t>
      </w:r>
      <w:r>
        <w:rPr>
          <w:sz w:val="21"/>
        </w:rPr>
        <w:t>4</w:t>
      </w:r>
      <w:r>
        <w:rPr>
          <w:sz w:val="21"/>
        </w:rPr>
        <w:t>）中标（成交）通知书</w:t>
      </w:r>
    </w:p>
    <w:p>
      <w:pPr>
        <w:pStyle w:val="null3"/>
        <w:ind w:firstLine="420"/>
        <w:jc w:val="both"/>
      </w:pPr>
      <w:r>
        <w:rPr>
          <w:sz w:val="21"/>
        </w:rPr>
        <w:t>（</w:t>
      </w:r>
      <w:r>
        <w:rPr>
          <w:sz w:val="21"/>
        </w:rPr>
        <w:t>5</w:t>
      </w:r>
      <w:r>
        <w:rPr>
          <w:sz w:val="21"/>
        </w:rPr>
        <w:t>）投标（响应）文件</w:t>
      </w:r>
    </w:p>
    <w:p>
      <w:pPr>
        <w:pStyle w:val="null3"/>
        <w:ind w:firstLine="420"/>
        <w:jc w:val="both"/>
      </w:pPr>
      <w:r>
        <w:rPr>
          <w:sz w:val="21"/>
        </w:rPr>
        <w:t>（</w:t>
      </w:r>
      <w:r>
        <w:rPr>
          <w:sz w:val="21"/>
        </w:rPr>
        <w:t>6</w:t>
      </w:r>
      <w:r>
        <w:rPr>
          <w:sz w:val="21"/>
        </w:rPr>
        <w:t>）采购文件</w:t>
      </w:r>
    </w:p>
    <w:p>
      <w:pPr>
        <w:pStyle w:val="null3"/>
        <w:ind w:firstLine="420"/>
        <w:jc w:val="both"/>
      </w:pPr>
      <w:r>
        <w:rPr>
          <w:sz w:val="21"/>
        </w:rPr>
        <w:t>（</w:t>
      </w:r>
      <w:r>
        <w:rPr>
          <w:sz w:val="21"/>
        </w:rPr>
        <w:t>7</w:t>
      </w:r>
      <w:r>
        <w:rPr>
          <w:sz w:val="21"/>
        </w:rPr>
        <w:t>）有关技术文件，图纸</w:t>
      </w:r>
    </w:p>
    <w:p>
      <w:pPr>
        <w:pStyle w:val="null3"/>
        <w:ind w:firstLine="420"/>
      </w:pPr>
      <w:r>
        <w:rPr>
          <w:sz w:val="21"/>
        </w:rPr>
        <w:t>（</w:t>
      </w:r>
      <w:r>
        <w:rPr>
          <w:sz w:val="21"/>
        </w:rPr>
        <w:t>8</w:t>
      </w:r>
      <w:r>
        <w:rPr>
          <w:sz w:val="21"/>
        </w:rPr>
        <w:t>）国家法律、行政法规和规章制度规定或合同约定的作为合同组成部分的其他文件</w:t>
      </w:r>
    </w:p>
    <w:p>
      <w:pPr>
        <w:pStyle w:val="null3"/>
        <w:ind w:firstLine="422"/>
        <w:jc w:val="both"/>
      </w:pPr>
      <w:r>
        <w:rPr>
          <w:sz w:val="21"/>
          <w:b/>
        </w:rPr>
        <w:t xml:space="preserve">6. </w:t>
      </w:r>
      <w:r>
        <w:rPr>
          <w:sz w:val="21"/>
          <w:b/>
        </w:rPr>
        <w:t>合同生效</w:t>
      </w:r>
    </w:p>
    <w:p>
      <w:pPr>
        <w:pStyle w:val="null3"/>
        <w:ind w:firstLine="420"/>
        <w:jc w:val="both"/>
      </w:pPr>
      <w:r>
        <w:rPr>
          <w:sz w:val="21"/>
        </w:rPr>
        <w:t>本合同自</w:t>
      </w:r>
      <w:r>
        <w:rPr>
          <w:sz w:val="21"/>
          <w:u w:val="single"/>
        </w:rPr>
        <w:t>甲乙双方签字盖章之日起</w:t>
      </w:r>
      <w:r>
        <w:rPr>
          <w:sz w:val="21"/>
        </w:rPr>
        <w:t>生效。</w:t>
      </w:r>
    </w:p>
    <w:p>
      <w:pPr>
        <w:pStyle w:val="null3"/>
        <w:ind w:firstLine="422"/>
        <w:jc w:val="both"/>
      </w:pPr>
      <w:r>
        <w:rPr>
          <w:sz w:val="21"/>
          <w:b/>
        </w:rPr>
        <w:t xml:space="preserve">7. </w:t>
      </w:r>
      <w:r>
        <w:rPr>
          <w:sz w:val="21"/>
          <w:b/>
        </w:rPr>
        <w:t>合同份数</w:t>
      </w:r>
    </w:p>
    <w:p>
      <w:pPr>
        <w:pStyle w:val="null3"/>
        <w:ind w:firstLine="420"/>
        <w:jc w:val="both"/>
      </w:pPr>
      <w:r>
        <w:rPr>
          <w:sz w:val="21"/>
        </w:rPr>
        <w:t>本合同一式</w:t>
      </w:r>
      <w:r>
        <w:rPr>
          <w:sz w:val="21"/>
          <w:u w:val="single"/>
        </w:rPr>
        <w:t>陆</w:t>
      </w:r>
      <w:r>
        <w:rPr>
          <w:sz w:val="21"/>
        </w:rPr>
        <w:t>份，甲方执</w:t>
      </w:r>
      <w:r>
        <w:rPr>
          <w:sz w:val="21"/>
          <w:u w:val="single"/>
        </w:rPr>
        <w:t>叁</w:t>
      </w:r>
      <w:r>
        <w:rPr>
          <w:sz w:val="21"/>
        </w:rPr>
        <w:t>份，乙方执</w:t>
      </w:r>
      <w:r>
        <w:rPr>
          <w:sz w:val="21"/>
          <w:u w:val="single"/>
        </w:rPr>
        <w:t>叁</w:t>
      </w:r>
      <w:r>
        <w:rPr>
          <w:sz w:val="21"/>
        </w:rPr>
        <w:t>份，均具有同等法律效力。</w:t>
      </w:r>
    </w:p>
    <w:p>
      <w:pPr>
        <w:pStyle w:val="null3"/>
        <w:ind w:firstLine="420"/>
        <w:jc w:val="both"/>
      </w:pPr>
      <w:r>
        <w:rPr>
          <w:sz w:val="21"/>
        </w:rPr>
        <w:t>合同订立时间：年月日</w:t>
      </w:r>
    </w:p>
    <w:p>
      <w:pPr>
        <w:pStyle w:val="null3"/>
        <w:ind w:firstLine="420"/>
        <w:jc w:val="both"/>
      </w:pPr>
      <w:r>
        <w:rPr>
          <w:sz w:val="21"/>
        </w:rPr>
        <w:t>合同订立地点：</w:t>
      </w:r>
      <w:r>
        <w:rPr>
          <w:sz w:val="21"/>
          <w:u w:val="single"/>
        </w:rPr>
        <w:t>广州市越秀区</w:t>
      </w:r>
    </w:p>
    <w:p>
      <w:pPr>
        <w:pStyle w:val="null3"/>
        <w:ind w:firstLine="420"/>
        <w:jc w:val="both"/>
      </w:pPr>
      <w:r>
        <w:rPr>
          <w:sz w:val="21"/>
        </w:rPr>
        <w:t>附件：具体标的及其技术要求和商务要求。</w:t>
      </w:r>
    </w:p>
    <w:tbl>
      <w:tblPr>
        <w:tblW w:w="0" w:type="auto"/>
        <w:tblBorders>
          <w:top w:val="none" w:color="000000" w:sz="4"/>
          <w:left w:val="none" w:color="000000" w:sz="4"/>
          <w:bottom w:val="none" w:color="000000" w:sz="4"/>
          <w:right w:val="none" w:color="000000" w:sz="4"/>
          <w:insideH w:val="none"/>
          <w:insideV w:val="none"/>
        </w:tblBorders>
      </w:tblPr>
      <w:tblGrid>
        <w:gridCol w:w="1865"/>
        <w:gridCol w:w="2373"/>
        <w:gridCol w:w="1949"/>
        <w:gridCol w:w="2119"/>
      </w:tblGrid>
      <w:tr>
        <w:tc>
          <w:tcPr>
            <w:tcW w:type="dxa" w:w="423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甲方（采购人）</w:t>
            </w:r>
          </w:p>
        </w:tc>
        <w:tc>
          <w:tcPr>
            <w:tcW w:type="dxa" w:w="406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乙方（供应商）</w:t>
            </w:r>
          </w:p>
        </w:tc>
      </w:tr>
      <w:tr>
        <w:tc>
          <w:tcPr>
            <w:tcW w:type="dxa" w:w="1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单位名称（公章或合同章）</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广东省地图院</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单位名称（公章或合同章）</w:t>
            </w: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法定代表人</w:t>
            </w:r>
          </w:p>
          <w:p>
            <w:pPr>
              <w:pStyle w:val="null3"/>
              <w:ind w:firstLine="101"/>
              <w:jc w:val="center"/>
            </w:pPr>
            <w:r>
              <w:rPr>
                <w:sz w:val="21"/>
              </w:rPr>
              <w:t>或其委托代理人（签章）</w:t>
            </w:r>
          </w:p>
        </w:tc>
        <w:tc>
          <w:tcPr>
            <w:tcW w:type="dxa" w:w="23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法定代表人</w:t>
            </w:r>
          </w:p>
          <w:p>
            <w:pPr>
              <w:pStyle w:val="null3"/>
              <w:jc w:val="center"/>
            </w:pPr>
            <w:r>
              <w:rPr>
                <w:sz w:val="21"/>
              </w:rPr>
              <w:t>或其委托代理人（签章）</w:t>
            </w: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5"/>
            <w:vMerge/>
            <w:tcBorders>
              <w:top w:val="none" w:color="000000" w:sz="4"/>
              <w:left w:val="single" w:color="000000" w:sz="4"/>
              <w:bottom w:val="single" w:color="000000" w:sz="4"/>
              <w:right w:val="single" w:color="000000" w:sz="4"/>
            </w:tcBorders>
          </w:tcPr>
          <w:p/>
        </w:tc>
        <w:tc>
          <w:tcPr>
            <w:tcW w:type="dxa" w:w="2373"/>
            <w:vMerge/>
            <w:tcBorders>
              <w:top w:val="none" w:color="000000" w:sz="4"/>
              <w:left w:val="none" w:color="000000" w:sz="4"/>
              <w:bottom w:val="single" w:color="000000" w:sz="4"/>
              <w:right w:val="single" w:color="000000" w:sz="4"/>
            </w:tcBorders>
          </w:tcP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拥有者性别</w:t>
            </w: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住</w:t>
            </w:r>
            <w:r>
              <w:rPr>
                <w:sz w:val="20"/>
              </w:rPr>
              <w:t xml:space="preserve">  </w:t>
            </w:r>
            <w:r>
              <w:rPr>
                <w:sz w:val="21"/>
              </w:rPr>
              <w:t>所</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广州市环市东路</w:t>
            </w:r>
            <w:r>
              <w:rPr>
                <w:sz w:val="21"/>
              </w:rPr>
              <w:t>468</w:t>
            </w:r>
            <w:r>
              <w:rPr>
                <w:sz w:val="21"/>
              </w:rPr>
              <w:t>号</w:t>
            </w:r>
            <w:r>
              <w:rPr>
                <w:sz w:val="21"/>
              </w:rPr>
              <w:t>1</w:t>
            </w:r>
            <w:r>
              <w:rPr>
                <w:sz w:val="21"/>
              </w:rPr>
              <w:t>号办公楼</w:t>
            </w:r>
            <w:r>
              <w:rPr>
                <w:sz w:val="21"/>
              </w:rPr>
              <w:t>1-3</w:t>
            </w:r>
            <w:r>
              <w:rPr>
                <w:sz w:val="21"/>
              </w:rPr>
              <w:t>层</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住</w:t>
            </w:r>
            <w:r>
              <w:rPr>
                <w:sz w:val="20"/>
              </w:rPr>
              <w:t xml:space="preserve">  </w:t>
            </w:r>
            <w:r>
              <w:rPr>
                <w:sz w:val="21"/>
              </w:rPr>
              <w:t>所</w:t>
            </w: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联系人</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谢先生</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联系人</w:t>
            </w: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联系电话</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020-37628337</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联系电话</w:t>
            </w: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通信地址</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广州市环市东路</w:t>
            </w:r>
            <w:r>
              <w:rPr>
                <w:sz w:val="21"/>
              </w:rPr>
              <w:t>468</w:t>
            </w:r>
            <w:r>
              <w:rPr>
                <w:sz w:val="21"/>
              </w:rPr>
              <w:t>号</w:t>
            </w:r>
            <w:r>
              <w:rPr>
                <w:sz w:val="21"/>
              </w:rPr>
              <w:t>1</w:t>
            </w:r>
            <w:r>
              <w:rPr>
                <w:sz w:val="21"/>
              </w:rPr>
              <w:t>号办公楼</w:t>
            </w:r>
            <w:r>
              <w:rPr>
                <w:sz w:val="21"/>
              </w:rPr>
              <w:t>313</w:t>
            </w:r>
            <w:r>
              <w:rPr>
                <w:sz w:val="21"/>
              </w:rPr>
              <w:t>室</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通信地址</w:t>
            </w: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邮政编码</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510075</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邮政编码</w:t>
            </w: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电子邮箱</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gdsdty_zjk@gd.gov.cn</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电子邮箱</w:t>
            </w: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统一社会信用代码</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12440000455859778Y</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统一社会信用代码</w:t>
            </w: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开户名称</w:t>
            </w: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开户银行</w:t>
            </w: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银行账号</w:t>
            </w: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0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注：涉及联合体或其他合同主体的信息应按上表格式加列。</w:t>
            </w:r>
          </w:p>
        </w:tc>
      </w:tr>
    </w:tbl>
    <w:p>
      <w:pPr>
        <w:pStyle w:val="null3"/>
      </w:pPr>
      <w:r>
        <w:rPr>
          <w:sz w:val="32"/>
          <w:b/>
        </w:rPr>
        <w:t>附件</w:t>
      </w:r>
    </w:p>
    <w:p>
      <w:pPr>
        <w:pStyle w:val="null3"/>
        <w:jc w:val="center"/>
      </w:pPr>
      <w:r>
        <w:rPr>
          <w:sz w:val="30"/>
          <w:b/>
        </w:rPr>
        <w:t>具体标的及其技术要求和商务要求</w:t>
      </w:r>
    </w:p>
    <w:p>
      <w:pPr>
        <w:pStyle w:val="null3"/>
        <w:ind w:firstLine="422"/>
        <w:jc w:val="both"/>
      </w:pPr>
      <w:r>
        <w:rPr>
          <w:sz w:val="21"/>
          <w:b/>
        </w:rPr>
        <w:t>1.</w:t>
      </w:r>
      <w:r>
        <w:rPr>
          <w:sz w:val="21"/>
          <w:b/>
        </w:rPr>
        <w:t>技术要求</w:t>
      </w:r>
      <w:r>
        <w:rPr>
          <w:sz w:val="21"/>
          <w:i/>
        </w:rPr>
        <w:t>（签订合同时根据中标供应商的响应情况进行修改）</w:t>
      </w:r>
    </w:p>
    <w:p>
      <w:pPr>
        <w:pStyle w:val="null3"/>
        <w:ind w:firstLine="420"/>
        <w:jc w:val="both"/>
      </w:pPr>
      <w:r>
        <w:rPr>
          <w:sz w:val="21"/>
        </w:rPr>
        <w:t>（</w:t>
      </w:r>
      <w:r>
        <w:rPr>
          <w:sz w:val="21"/>
        </w:rPr>
        <w:t>1</w:t>
      </w:r>
      <w:r>
        <w:rPr>
          <w:sz w:val="21"/>
        </w:rPr>
        <w:t>）图形工作站</w:t>
      </w:r>
    </w:p>
    <w:tbl>
      <w:tblPr>
        <w:tblW w:w="0" w:type="auto"/>
        <w:tblBorders>
          <w:top w:val="none" w:color="000000" w:sz="4"/>
          <w:left w:val="none" w:color="000000" w:sz="4"/>
          <w:bottom w:val="none" w:color="000000" w:sz="4"/>
          <w:right w:val="none" w:color="000000" w:sz="4"/>
          <w:insideH w:val="none"/>
          <w:insideV w:val="none"/>
        </w:tblBorders>
      </w:tblPr>
      <w:tblGrid>
        <w:gridCol w:w="503"/>
        <w:gridCol w:w="671"/>
        <w:gridCol w:w="671"/>
        <w:gridCol w:w="1342"/>
        <w:gridCol w:w="5118"/>
      </w:tblGrid>
      <w:tr>
        <w:tc>
          <w:tcPr>
            <w:tcW w:type="dxa" w:w="5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6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指标分类</w:t>
            </w:r>
          </w:p>
        </w:tc>
        <w:tc>
          <w:tcPr>
            <w:tcW w:type="dxa" w:w="6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一级指标</w:t>
            </w:r>
          </w:p>
        </w:tc>
        <w:tc>
          <w:tcPr>
            <w:tcW w:type="dxa" w:w="13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二级指标</w:t>
            </w:r>
          </w:p>
        </w:tc>
        <w:tc>
          <w:tcPr>
            <w:tcW w:type="dxa" w:w="51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需求指标要求</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w:t>
            </w:r>
            <w:r>
              <w:rPr>
                <w:sz w:val="21"/>
              </w:rPr>
              <w:t>规格</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CPU</w:t>
            </w:r>
            <w:r>
              <w:rPr>
                <w:sz w:val="21"/>
              </w:rPr>
              <w:t>信息</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处理器架构：兼容</w:t>
            </w:r>
            <w:r>
              <w:rPr>
                <w:sz w:val="21"/>
              </w:rPr>
              <w:t>X86</w:t>
            </w:r>
          </w:p>
          <w:p>
            <w:pPr>
              <w:pStyle w:val="null3"/>
            </w:pPr>
            <w:r>
              <w:rPr>
                <w:sz w:val="21"/>
              </w:rPr>
              <w:t>物理核心数：≥</w:t>
            </w:r>
            <w:r>
              <w:rPr>
                <w:sz w:val="21"/>
              </w:rPr>
              <w:t>8</w:t>
            </w:r>
            <w:r>
              <w:rPr>
                <w:sz w:val="21"/>
              </w:rPr>
              <w:t>核</w:t>
            </w:r>
          </w:p>
          <w:p>
            <w:pPr>
              <w:pStyle w:val="null3"/>
            </w:pPr>
            <w:r>
              <w:rPr>
                <w:sz w:val="21"/>
              </w:rPr>
              <w:t>主频：≥</w:t>
            </w:r>
            <w:r>
              <w:rPr>
                <w:sz w:val="21"/>
              </w:rPr>
              <w:t>3.0GHz</w:t>
            </w:r>
          </w:p>
          <w:p>
            <w:pPr>
              <w:pStyle w:val="null3"/>
            </w:pPr>
            <w:r>
              <w:rPr>
                <w:sz w:val="21"/>
              </w:rPr>
              <w:t>末级缓存容量：≥</w:t>
            </w:r>
            <w:r>
              <w:rPr>
                <w:sz w:val="21"/>
              </w:rPr>
              <w:t>16MB</w:t>
            </w:r>
            <w:r>
              <w:rPr>
                <w:sz w:val="21"/>
              </w:rPr>
              <w:t>三级缓存</w:t>
            </w:r>
          </w:p>
          <w:p>
            <w:pPr>
              <w:pStyle w:val="null3"/>
            </w:pPr>
            <w:r>
              <w:rPr>
                <w:sz w:val="21"/>
              </w:rPr>
              <w:t>线程数：≥</w:t>
            </w:r>
            <w:r>
              <w:rPr>
                <w:sz w:val="21"/>
              </w:rPr>
              <w:t>16</w:t>
            </w:r>
            <w:r>
              <w:rPr>
                <w:sz w:val="21"/>
              </w:rPr>
              <w:t>线程</w:t>
            </w:r>
          </w:p>
          <w:p>
            <w:pPr>
              <w:pStyle w:val="null3"/>
            </w:pPr>
            <w:r>
              <w:rPr>
                <w:sz w:val="21"/>
              </w:rPr>
              <w:t>内存最高频率：</w:t>
            </w:r>
            <w:r>
              <w:rPr>
                <w:sz w:val="21"/>
              </w:rPr>
              <w:t>2933MT/s</w:t>
            </w:r>
          </w:p>
          <w:p>
            <w:pPr>
              <w:pStyle w:val="null3"/>
            </w:pPr>
            <w:r>
              <w:rPr>
                <w:sz w:val="21"/>
              </w:rPr>
              <w:t>通道数：≥</w:t>
            </w:r>
            <w:r>
              <w:rPr>
                <w:sz w:val="21"/>
              </w:rPr>
              <w:t>2</w:t>
            </w:r>
            <w:r>
              <w:rPr>
                <w:sz w:val="21"/>
              </w:rPr>
              <w:t>个内存通道</w:t>
            </w:r>
          </w:p>
          <w:p>
            <w:pPr>
              <w:pStyle w:val="null3"/>
            </w:pPr>
            <w:r>
              <w:rPr>
                <w:sz w:val="21"/>
              </w:rPr>
              <w:t>位宽：支持单条</w:t>
            </w:r>
            <w:r>
              <w:rPr>
                <w:sz w:val="21"/>
              </w:rPr>
              <w:t>x64</w:t>
            </w:r>
            <w:r>
              <w:rPr>
                <w:sz w:val="21"/>
              </w:rPr>
              <w:t>位宽内存</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内存规格</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内存配置容量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64GB</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内存类型</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w:t>
            </w:r>
            <w:r>
              <w:rPr>
                <w:sz w:val="21"/>
              </w:rPr>
              <w:t>DDR4</w:t>
            </w:r>
            <w:r>
              <w:rPr>
                <w:sz w:val="21"/>
              </w:rPr>
              <w:t>或以上内存类型</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内存条配置数量</w:t>
            </w:r>
            <w:r>
              <w:rPr>
                <w:sz w:val="21"/>
              </w:rPr>
              <w:t>(</w:t>
            </w:r>
            <w:r>
              <w:rPr>
                <w:sz w:val="21"/>
              </w:rPr>
              <w:t>板载内存不涉及</w:t>
            </w:r>
            <w:r>
              <w:rPr>
                <w:sz w:val="21"/>
              </w:rPr>
              <w:t>)</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4</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主板规格</w:t>
            </w:r>
          </w:p>
          <w:p>
            <w:pPr>
              <w:pStyle w:val="null3"/>
              <w:jc w:val="both"/>
            </w:p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主板集成模块</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集成资源扩展模块、计算处理模块、音频扩展模块等，主板的互联拓扑可通过处理器或交换电路实现</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主板支持的</w:t>
            </w:r>
            <w:r>
              <w:rPr>
                <w:sz w:val="21"/>
              </w:rPr>
              <w:t xml:space="preserve"> CPU</w:t>
            </w:r>
            <w:r>
              <w:rPr>
                <w:sz w:val="21"/>
              </w:rPr>
              <w:t>和内存情况</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兼容</w:t>
            </w:r>
            <w:r>
              <w:rPr>
                <w:sz w:val="21"/>
              </w:rPr>
              <w:t>X86</w:t>
            </w:r>
            <w:r>
              <w:rPr>
                <w:sz w:val="21"/>
              </w:rPr>
              <w:t>架构的</w:t>
            </w:r>
            <w:r>
              <w:rPr>
                <w:sz w:val="21"/>
              </w:rPr>
              <w:t>CPU,</w:t>
            </w:r>
            <w:r>
              <w:rPr>
                <w:sz w:val="21"/>
              </w:rPr>
              <w:t>数量：</w:t>
            </w:r>
            <w:r>
              <w:rPr>
                <w:sz w:val="21"/>
              </w:rPr>
              <w:t>1</w:t>
            </w:r>
          </w:p>
          <w:p>
            <w:pPr>
              <w:pStyle w:val="null3"/>
            </w:pPr>
            <w:r>
              <w:rPr>
                <w:sz w:val="21"/>
              </w:rPr>
              <w:t>内存：具体型号和数量根据实际配置确定，总容量最高支持到</w:t>
            </w:r>
            <w:r>
              <w:rPr>
                <w:sz w:val="21"/>
              </w:rPr>
              <w:t>256GB</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主板其他内置接口</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4</w:t>
            </w:r>
            <w:r>
              <w:rPr>
                <w:sz w:val="21"/>
              </w:rPr>
              <w:t>个</w:t>
            </w:r>
            <w:r>
              <w:rPr>
                <w:sz w:val="21"/>
              </w:rPr>
              <w:t>SATA 3.0</w:t>
            </w:r>
            <w:r>
              <w:rPr>
                <w:sz w:val="21"/>
              </w:rPr>
              <w:t>接口</w:t>
            </w:r>
          </w:p>
          <w:p>
            <w:pPr>
              <w:pStyle w:val="null3"/>
            </w:pPr>
            <w:r>
              <w:rPr>
                <w:sz w:val="21"/>
              </w:rPr>
              <w:t>≥</w:t>
            </w:r>
            <w:r>
              <w:rPr>
                <w:sz w:val="21"/>
              </w:rPr>
              <w:t>2</w:t>
            </w:r>
            <w:r>
              <w:rPr>
                <w:sz w:val="21"/>
              </w:rPr>
              <w:t>个</w:t>
            </w:r>
            <w:r>
              <w:rPr>
                <w:sz w:val="21"/>
              </w:rPr>
              <w:t>M.2</w:t>
            </w:r>
            <w:r>
              <w:rPr>
                <w:sz w:val="21"/>
              </w:rPr>
              <w:t>接口（</w:t>
            </w:r>
            <w:r>
              <w:rPr>
                <w:sz w:val="21"/>
              </w:rPr>
              <w:t>1</w:t>
            </w:r>
            <w:r>
              <w:rPr>
                <w:sz w:val="21"/>
              </w:rPr>
              <w:t>个</w:t>
            </w:r>
            <w:r>
              <w:rPr>
                <w:sz w:val="21"/>
              </w:rPr>
              <w:t>M.2 WIFI</w:t>
            </w:r>
            <w:r>
              <w:rPr>
                <w:sz w:val="21"/>
              </w:rPr>
              <w:t>，</w:t>
            </w:r>
            <w:r>
              <w:rPr>
                <w:sz w:val="21"/>
              </w:rPr>
              <w:t>1</w:t>
            </w:r>
            <w:r>
              <w:rPr>
                <w:sz w:val="21"/>
              </w:rPr>
              <w:t>个</w:t>
            </w:r>
            <w:r>
              <w:rPr>
                <w:sz w:val="21"/>
              </w:rPr>
              <w:t>M.2 SSD</w:t>
            </w:r>
            <w:r>
              <w:rPr>
                <w:sz w:val="21"/>
              </w:rPr>
              <w:t>）</w:t>
            </w:r>
          </w:p>
          <w:p>
            <w:pPr>
              <w:pStyle w:val="null3"/>
            </w:pPr>
            <w:r>
              <w:rPr>
                <w:sz w:val="21"/>
              </w:rPr>
              <w:t>≥</w:t>
            </w:r>
            <w:r>
              <w:rPr>
                <w:sz w:val="21"/>
              </w:rPr>
              <w:t>10</w:t>
            </w:r>
            <w:r>
              <w:rPr>
                <w:sz w:val="21"/>
              </w:rPr>
              <w:t>个</w:t>
            </w:r>
            <w:r>
              <w:rPr>
                <w:sz w:val="21"/>
              </w:rPr>
              <w:t>USB</w:t>
            </w:r>
            <w:r>
              <w:rPr>
                <w:sz w:val="21"/>
              </w:rPr>
              <w:t>接口</w:t>
            </w:r>
          </w:p>
          <w:p>
            <w:pPr>
              <w:pStyle w:val="null3"/>
            </w:pPr>
            <w:r>
              <w:rPr>
                <w:sz w:val="21"/>
              </w:rPr>
              <w:t>占用情况根据实际配置确定</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单内存插槽最大可支持容量</w:t>
            </w:r>
            <w:r>
              <w:rPr>
                <w:sz w:val="21"/>
              </w:rPr>
              <w:t>(</w:t>
            </w:r>
            <w:r>
              <w:rPr>
                <w:sz w:val="21"/>
              </w:rPr>
              <w:t>板载内存不涉及</w:t>
            </w:r>
            <w:r>
              <w:rPr>
                <w:sz w:val="21"/>
              </w:rPr>
              <w:t>)</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32GB</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内存插槽满配时提供的最高内存总容量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128GB</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主板内置</w:t>
            </w:r>
            <w:r>
              <w:rPr>
                <w:sz w:val="21"/>
              </w:rPr>
              <w:t xml:space="preserve">PCIe </w:t>
            </w:r>
            <w:r>
              <w:rPr>
                <w:sz w:val="21"/>
              </w:rPr>
              <w:t>插槽数量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支持数量≥</w:t>
            </w:r>
            <w:r>
              <w:rPr>
                <w:sz w:val="21"/>
              </w:rPr>
              <w:t>3</w:t>
            </w:r>
          </w:p>
          <w:p>
            <w:pPr>
              <w:pStyle w:val="null3"/>
            </w:pPr>
            <w:r>
              <w:rPr>
                <w:sz w:val="21"/>
              </w:rPr>
              <w:t>其中至少包括一个</w:t>
            </w:r>
            <w:r>
              <w:rPr>
                <w:sz w:val="21"/>
              </w:rPr>
              <w:t>PCIex16</w:t>
            </w:r>
            <w:r>
              <w:rPr>
                <w:sz w:val="21"/>
              </w:rPr>
              <w:t>和一个</w:t>
            </w:r>
            <w:r>
              <w:rPr>
                <w:sz w:val="21"/>
              </w:rPr>
              <w:t>PCIex8</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固态盘数量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2</w:t>
            </w:r>
            <w:r>
              <w:rPr>
                <w:sz w:val="21"/>
              </w:rPr>
              <w:t>个</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固态存储容量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768GB</w:t>
            </w:r>
            <w:r>
              <w:rPr>
                <w:sz w:val="21"/>
              </w:rPr>
              <w:t>，其中</w:t>
            </w:r>
            <w:r>
              <w:rPr>
                <w:sz w:val="21"/>
              </w:rPr>
              <w:t>M.2 SSD</w:t>
            </w:r>
            <w:r>
              <w:rPr>
                <w:sz w:val="21"/>
              </w:rPr>
              <w:t>固态盘容量≥</w:t>
            </w:r>
            <w:r>
              <w:rPr>
                <w:sz w:val="21"/>
              </w:rPr>
              <w:t>512GB</w:t>
            </w:r>
            <w:r>
              <w:rPr>
                <w:sz w:val="21"/>
              </w:rPr>
              <w:t>，</w:t>
            </w:r>
            <w:r>
              <w:rPr>
                <w:sz w:val="21"/>
              </w:rPr>
              <w:t>SATA SSD</w:t>
            </w:r>
            <w:r>
              <w:rPr>
                <w:sz w:val="21"/>
              </w:rPr>
              <w:t>固态盘容量≥</w:t>
            </w:r>
            <w:r>
              <w:rPr>
                <w:sz w:val="21"/>
              </w:rPr>
              <w:t>256GB</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机械硬盘数量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2</w:t>
            </w:r>
            <w:r>
              <w:rPr>
                <w:sz w:val="21"/>
              </w:rPr>
              <w:t>个</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机械硬盘总容量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12TB</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机械硬盘转速</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7200rpm</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固态存储形态</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采用插卡或板载等形态，插卡形态宜符合</w:t>
            </w:r>
            <w:r>
              <w:rPr>
                <w:sz w:val="21"/>
              </w:rPr>
              <w:t xml:space="preserve">M.2 </w:t>
            </w:r>
            <w:r>
              <w:rPr>
                <w:sz w:val="21"/>
              </w:rPr>
              <w:t>或</w:t>
            </w:r>
            <w:r>
              <w:rPr>
                <w:sz w:val="21"/>
              </w:rPr>
              <w:t xml:space="preserve">mSATA </w:t>
            </w:r>
            <w:r>
              <w:rPr>
                <w:sz w:val="21"/>
              </w:rPr>
              <w:t>等标准尺寸和接口定义</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存储设备其他参数要求</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a</w:t>
            </w:r>
            <w:r>
              <w:rPr>
                <w:sz w:val="21"/>
              </w:rPr>
              <w:t>）固态盘应符合</w:t>
            </w:r>
            <w:r>
              <w:rPr>
                <w:sz w:val="21"/>
              </w:rPr>
              <w:t xml:space="preserve">SJ/T 11654 </w:t>
            </w:r>
            <w:r>
              <w:rPr>
                <w:sz w:val="21"/>
              </w:rPr>
              <w:t>相关规定；</w:t>
            </w:r>
          </w:p>
          <w:p>
            <w:pPr>
              <w:pStyle w:val="null3"/>
            </w:pPr>
            <w:r>
              <w:rPr>
                <w:sz w:val="21"/>
              </w:rPr>
              <w:t>b</w:t>
            </w:r>
            <w:r>
              <w:rPr>
                <w:sz w:val="21"/>
              </w:rPr>
              <w:t>）机械硬盘准备时间应不大于</w:t>
            </w:r>
            <w:r>
              <w:rPr>
                <w:sz w:val="21"/>
              </w:rPr>
              <w:t>30s</w:t>
            </w:r>
            <w:r>
              <w:rPr>
                <w:sz w:val="21"/>
              </w:rPr>
              <w:t>；侧面固定螺丝孔数量可为</w:t>
            </w:r>
            <w:r>
              <w:rPr>
                <w:sz w:val="21"/>
              </w:rPr>
              <w:t>4</w:t>
            </w:r>
            <w:r>
              <w:rPr>
                <w:sz w:val="21"/>
              </w:rPr>
              <w:t>孔或</w:t>
            </w:r>
            <w:r>
              <w:rPr>
                <w:sz w:val="21"/>
              </w:rPr>
              <w:t>6</w:t>
            </w:r>
            <w:r>
              <w:rPr>
                <w:sz w:val="21"/>
              </w:rPr>
              <w:t>孔；工作状态环境温度应满足</w:t>
            </w:r>
            <w:r>
              <w:rPr>
                <w:sz w:val="21"/>
              </w:rPr>
              <w:t>5</w:t>
            </w:r>
            <w:r>
              <w:rPr>
                <w:sz w:val="21"/>
              </w:rPr>
              <w:t>℃～</w:t>
            </w:r>
            <w:r>
              <w:rPr>
                <w:sz w:val="21"/>
              </w:rPr>
              <w:t>55</w:t>
            </w:r>
            <w:r>
              <w:rPr>
                <w:sz w:val="21"/>
              </w:rPr>
              <w:t>℃；其它参数应符合</w:t>
            </w:r>
            <w:r>
              <w:rPr>
                <w:sz w:val="21"/>
              </w:rPr>
              <w:t xml:space="preserve">GB/T12628 </w:t>
            </w:r>
            <w:r>
              <w:rPr>
                <w:sz w:val="21"/>
              </w:rPr>
              <w:t>的相关规定</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显卡规格</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显卡类型</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独立显卡</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独立显卡显存类型</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带纠错码</w:t>
            </w:r>
            <w:r>
              <w:rPr>
                <w:sz w:val="21"/>
              </w:rPr>
              <w:t>(ECC)</w:t>
            </w:r>
            <w:r>
              <w:rPr>
                <w:sz w:val="21"/>
              </w:rPr>
              <w:t>的</w:t>
            </w:r>
            <w:r>
              <w:rPr>
                <w:sz w:val="21"/>
              </w:rPr>
              <w:t>GDDR6X</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独立显卡显存位宽</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显存位宽≥</w:t>
            </w:r>
            <w:r>
              <w:rPr>
                <w:sz w:val="21"/>
              </w:rPr>
              <w:t>128bit</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独立显卡显存容量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显存容量≥</w:t>
            </w:r>
            <w:r>
              <w:rPr>
                <w:sz w:val="21"/>
              </w:rPr>
              <w:t>8GB</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独立显卡接口协议</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产品支持</w:t>
            </w:r>
            <w:r>
              <w:rPr>
                <w:sz w:val="21"/>
              </w:rPr>
              <w:t>PCIe</w:t>
            </w:r>
            <w:r>
              <w:rPr>
                <w:sz w:val="21"/>
              </w:rPr>
              <w:t>协议版本大于等于</w:t>
            </w:r>
            <w:r>
              <w:rPr>
                <w:sz w:val="21"/>
              </w:rPr>
              <w:t>4.0</w:t>
            </w:r>
            <w:r>
              <w:rPr>
                <w:sz w:val="21"/>
              </w:rPr>
              <w:t>的独立显卡接口协议</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显示设备规格</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显示接口</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DP</w:t>
            </w:r>
            <w:r>
              <w:rPr>
                <w:sz w:val="21"/>
              </w:rPr>
              <w:t>；≥</w:t>
            </w:r>
            <w:r>
              <w:rPr>
                <w:sz w:val="21"/>
              </w:rPr>
              <w:t xml:space="preserve">HDMI*2 </w:t>
            </w:r>
            <w:r>
              <w:rPr>
                <w:sz w:val="21"/>
              </w:rPr>
              <w:t>；自带</w:t>
            </w:r>
            <w:r>
              <w:rPr>
                <w:sz w:val="21"/>
              </w:rPr>
              <w:t>DP</w:t>
            </w:r>
            <w:r>
              <w:rPr>
                <w:sz w:val="21"/>
              </w:rPr>
              <w:t>线缆</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显示设备数量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w:t>
            </w:r>
            <w:r>
              <w:rPr>
                <w:sz w:val="21"/>
              </w:rPr>
              <w:t>个</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显示屏屏占比</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80%</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显示屏分辨率</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3840</w:t>
            </w:r>
            <w:r>
              <w:rPr>
                <w:sz w:val="21"/>
              </w:rPr>
              <w:t>×</w:t>
            </w:r>
            <w:r>
              <w:rPr>
                <w:sz w:val="21"/>
              </w:rPr>
              <w:t>2160</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显示屏可视角度</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水平≥</w:t>
            </w:r>
            <w:r>
              <w:rPr>
                <w:sz w:val="21"/>
              </w:rPr>
              <w:t>178</w:t>
            </w:r>
            <w:r>
              <w:rPr>
                <w:sz w:val="21"/>
              </w:rPr>
              <w:t>°</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显示屏尺寸</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 xml:space="preserve">27 </w:t>
            </w:r>
            <w:r>
              <w:rPr>
                <w:sz w:val="21"/>
              </w:rPr>
              <w:t>英寸</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显示屏屏幕比例</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16</w:t>
            </w:r>
            <w:r>
              <w:rPr>
                <w:sz w:val="21"/>
              </w:rPr>
              <w:t>：</w:t>
            </w:r>
            <w:r>
              <w:rPr>
                <w:sz w:val="21"/>
              </w:rPr>
              <w:t>9</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显示器外观颜色</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黑色</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显示屏防蓝光</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支持防蓝光模式，蓝光加权辐射亮度比应≤</w:t>
            </w:r>
            <w:r>
              <w:rPr>
                <w:sz w:val="21"/>
              </w:rPr>
              <w:t>0.0012W/(</w:t>
            </w:r>
            <w:r>
              <w:rPr>
                <w:sz w:val="21"/>
              </w:rPr>
              <w:t>·</w:t>
            </w:r>
            <w:r>
              <w:rPr>
                <w:sz w:val="21"/>
              </w:rPr>
              <w:t>cd</w:t>
            </w:r>
            <w:r>
              <w:rPr>
                <w:sz w:val="21"/>
              </w:rPr>
              <w:t>·</w:t>
            </w:r>
            <w:r>
              <w:rPr>
                <w:sz w:val="21"/>
              </w:rPr>
              <w:t>sr) (</w:t>
            </w:r>
            <w:r>
              <w:rPr>
                <w:sz w:val="21"/>
              </w:rPr>
              <w:t>瓦每坎特拉每球面度</w:t>
            </w:r>
            <w:r>
              <w:rPr>
                <w:sz w:val="21"/>
              </w:rPr>
              <w:t>)</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显示屏低频闪</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显示屏应支持低频闪≤</w:t>
            </w:r>
            <w:r>
              <w:rPr>
                <w:sz w:val="21"/>
              </w:rPr>
              <w:t>-35dB</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显示屏防炫目</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显示屏镜面反射率≤</w:t>
            </w:r>
            <w:r>
              <w:rPr>
                <w:sz w:val="21"/>
              </w:rPr>
              <w:t>10%</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外设规格</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鼠标数量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w:t>
            </w:r>
            <w:r>
              <w:rPr>
                <w:sz w:val="21"/>
              </w:rPr>
              <w:t>个</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键盘数量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w:t>
            </w:r>
            <w:r>
              <w:rPr>
                <w:sz w:val="21"/>
              </w:rPr>
              <w:t>个</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摄像头数量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本次采购不作要求</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键盘按键数目</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104</w:t>
            </w:r>
            <w:r>
              <w:rPr>
                <w:sz w:val="21"/>
              </w:rPr>
              <w:t>键</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摄像头像素</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本次采购不作要求</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摄像头分辨率</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本次采购不作要求</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扬声器功率</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本次采购不作要求</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扬声器频率范围</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本次采购不作要求</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键盘连接方式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有线</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键盘键程</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2.3mm</w:t>
            </w:r>
            <w:r>
              <w:rPr>
                <w:sz w:val="21"/>
              </w:rPr>
              <w:t>～</w:t>
            </w:r>
            <w:r>
              <w:rPr>
                <w:sz w:val="21"/>
              </w:rPr>
              <w:t>4.0mm</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键盘按键压力</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按键压力应在</w:t>
            </w:r>
            <w:r>
              <w:rPr>
                <w:sz w:val="21"/>
              </w:rPr>
              <w:t>0.54 N</w:t>
            </w:r>
            <w:r>
              <w:rPr>
                <w:sz w:val="21"/>
              </w:rPr>
              <w:t>±</w:t>
            </w:r>
            <w:r>
              <w:rPr>
                <w:sz w:val="21"/>
              </w:rPr>
              <w:t>0.14N</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有线键盘连接线</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1.5</w:t>
            </w:r>
            <w:r>
              <w:rPr>
                <w:sz w:val="21"/>
              </w:rPr>
              <w:t>米</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键盘颜色</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黑色</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键盘其他要求</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键盘外观结构、连接方式、主要功能、安全、电磁兼容性、可靠性应符合</w:t>
            </w:r>
            <w:r>
              <w:rPr>
                <w:sz w:val="21"/>
              </w:rPr>
              <w:t xml:space="preserve"> GB/T14081 </w:t>
            </w:r>
            <w:r>
              <w:rPr>
                <w:sz w:val="21"/>
              </w:rPr>
              <w:t>的相关规定</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鼠标连接方式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标配</w:t>
            </w:r>
            <w:r>
              <w:rPr>
                <w:sz w:val="21"/>
              </w:rPr>
              <w:t>USB</w:t>
            </w:r>
            <w:r>
              <w:rPr>
                <w:sz w:val="21"/>
              </w:rPr>
              <w:t>接口有线鼠标</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有线鼠标连接线</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1.5</w:t>
            </w:r>
            <w:r>
              <w:rPr>
                <w:sz w:val="21"/>
              </w:rPr>
              <w:t>米</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鼠标</w:t>
            </w:r>
            <w:r>
              <w:rPr>
                <w:sz w:val="21"/>
              </w:rPr>
              <w:t xml:space="preserve">DPI </w:t>
            </w:r>
            <w:r>
              <w:rPr>
                <w:sz w:val="21"/>
              </w:rPr>
              <w:t>分辨率</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800</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鼠标其他要求</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其它参数应符合</w:t>
            </w:r>
            <w:r>
              <w:rPr>
                <w:sz w:val="21"/>
              </w:rPr>
              <w:t xml:space="preserve"> GB/T 26245</w:t>
            </w:r>
            <w:r>
              <w:rPr>
                <w:sz w:val="21"/>
              </w:rPr>
              <w:t>的相关规定</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pPr>
            <w:r>
              <w:rPr>
                <w:sz w:val="21"/>
              </w:rPr>
              <w:t>网络设备规格</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有线网卡数量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2</w:t>
            </w:r>
            <w:r>
              <w:rPr>
                <w:sz w:val="21"/>
              </w:rPr>
              <w:t>，其中</w:t>
            </w:r>
            <w:r>
              <w:rPr>
                <w:sz w:val="21"/>
              </w:rPr>
              <w:t>1</w:t>
            </w:r>
            <w:r>
              <w:rPr>
                <w:sz w:val="21"/>
              </w:rPr>
              <w:t>张支持</w:t>
            </w:r>
            <w:r>
              <w:rPr>
                <w:sz w:val="21"/>
              </w:rPr>
              <w:t>SFP+</w:t>
            </w:r>
            <w:r>
              <w:rPr>
                <w:sz w:val="21"/>
              </w:rPr>
              <w:t>独立网卡，独立网卡网口均为光口（含光模块），网口数量≥</w:t>
            </w:r>
            <w:r>
              <w:rPr>
                <w:sz w:val="21"/>
              </w:rPr>
              <w:t>2</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产品规格</w:t>
            </w:r>
          </w:p>
        </w:tc>
        <w:tc>
          <w:tcPr>
            <w:tcW w:type="dxa" w:w="67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外部接口规格</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USB</w:t>
            </w:r>
            <w:r>
              <w:rPr>
                <w:sz w:val="21"/>
              </w:rPr>
              <w:t>接口数量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10</w:t>
            </w:r>
            <w:r>
              <w:rPr>
                <w:sz w:val="21"/>
              </w:rPr>
              <w:t>个</w:t>
            </w:r>
            <w:r>
              <w:rPr>
                <w:sz w:val="21"/>
              </w:rPr>
              <w:t>USB</w:t>
            </w:r>
            <w:r>
              <w:rPr>
                <w:sz w:val="21"/>
              </w:rPr>
              <w:t>，其中≥</w:t>
            </w:r>
            <w:r>
              <w:rPr>
                <w:sz w:val="21"/>
              </w:rPr>
              <w:t>6</w:t>
            </w:r>
            <w:r>
              <w:rPr>
                <w:sz w:val="21"/>
              </w:rPr>
              <w:t>个</w:t>
            </w:r>
            <w:r>
              <w:rPr>
                <w:sz w:val="21"/>
              </w:rPr>
              <w:t>USB3.0</w:t>
            </w:r>
            <w:r>
              <w:rPr>
                <w:sz w:val="21"/>
              </w:rPr>
              <w:t>（整机自带非</w:t>
            </w:r>
            <w:r>
              <w:rPr>
                <w:sz w:val="21"/>
              </w:rPr>
              <w:t>USB hub</w:t>
            </w:r>
            <w:r>
              <w:rPr>
                <w:sz w:val="21"/>
              </w:rPr>
              <w:t>扩展）</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产品规格</w:t>
            </w:r>
          </w:p>
        </w:tc>
        <w:tc>
          <w:tcPr>
            <w:tcW w:type="dxa" w:w="671"/>
            <w:vMerge/>
            <w:tcBorders>
              <w:top w:val="singl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视频接口数量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4</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singl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音频接口数量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前置：</w:t>
            </w:r>
            <w:r>
              <w:rPr>
                <w:sz w:val="21"/>
              </w:rPr>
              <w:t>1</w:t>
            </w:r>
            <w:r>
              <w:rPr>
                <w:sz w:val="21"/>
              </w:rPr>
              <w:t>个音频输出，</w:t>
            </w:r>
            <w:r>
              <w:rPr>
                <w:sz w:val="21"/>
              </w:rPr>
              <w:t>1</w:t>
            </w:r>
            <w:r>
              <w:rPr>
                <w:sz w:val="21"/>
              </w:rPr>
              <w:t>个麦克风</w:t>
            </w:r>
          </w:p>
          <w:p>
            <w:pPr>
              <w:pStyle w:val="null3"/>
            </w:pPr>
            <w:r>
              <w:rPr>
                <w:sz w:val="21"/>
              </w:rPr>
              <w:t>后置：</w:t>
            </w:r>
            <w:r>
              <w:rPr>
                <w:sz w:val="21"/>
              </w:rPr>
              <w:t>1</w:t>
            </w:r>
            <w:r>
              <w:rPr>
                <w:sz w:val="21"/>
              </w:rPr>
              <w:t>组音频输入</w:t>
            </w:r>
            <w:r>
              <w:rPr>
                <w:sz w:val="21"/>
              </w:rPr>
              <w:t>/</w:t>
            </w:r>
            <w:r>
              <w:rPr>
                <w:sz w:val="21"/>
              </w:rPr>
              <w:t>输出，</w:t>
            </w:r>
            <w:r>
              <w:rPr>
                <w:sz w:val="21"/>
              </w:rPr>
              <w:t>1</w:t>
            </w:r>
            <w:r>
              <w:rPr>
                <w:sz w:val="21"/>
              </w:rPr>
              <w:t>个麦克风</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singl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故障诊断模块</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内置</w:t>
            </w:r>
            <w:r>
              <w:rPr>
                <w:sz w:val="20"/>
              </w:rPr>
              <w:t>PORT80</w:t>
            </w:r>
            <w:r>
              <w:rPr>
                <w:sz w:val="21"/>
              </w:rPr>
              <w:t>诊断灯（须承诺中标后与本项目采购人签订合同后</w:t>
            </w:r>
            <w:r>
              <w:rPr>
                <w:sz w:val="21"/>
              </w:rPr>
              <w:t>2</w:t>
            </w:r>
            <w:r>
              <w:rPr>
                <w:sz w:val="21"/>
              </w:rPr>
              <w:t>个工作日内提供原厂盖章证明材料）</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整机基础规格</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整机外观</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a) </w:t>
            </w:r>
            <w:r>
              <w:rPr>
                <w:sz w:val="21"/>
              </w:rPr>
              <w:t>产品表面不应有凹痕、划伤、裂缝、变形和污染等。表面涂层均匀，</w:t>
            </w:r>
            <w:r>
              <w:rPr>
                <w:sz w:val="21"/>
              </w:rPr>
              <w:t>不应起泡、龟裂、脱落和磨损，</w:t>
            </w:r>
            <w:r>
              <w:rPr>
                <w:sz w:val="21"/>
              </w:rPr>
              <w:t>金属零部件无锈蚀及其它机械损伤；</w:t>
            </w:r>
          </w:p>
          <w:p>
            <w:pPr>
              <w:pStyle w:val="null3"/>
            </w:pPr>
            <w:r>
              <w:rPr>
                <w:sz w:val="21"/>
              </w:rPr>
              <w:t xml:space="preserve">b) </w:t>
            </w:r>
            <w:r>
              <w:rPr>
                <w:sz w:val="21"/>
              </w:rPr>
              <w:t>产品表面说明功能的文字、符号、标志，</w:t>
            </w:r>
            <w:r>
              <w:rPr>
                <w:sz w:val="21"/>
              </w:rPr>
              <w:t>应清晰、端正、牢固；</w:t>
            </w:r>
          </w:p>
          <w:p>
            <w:pPr>
              <w:pStyle w:val="null3"/>
            </w:pPr>
            <w:r>
              <w:rPr>
                <w:sz w:val="21"/>
              </w:rPr>
              <w:t xml:space="preserve">c) </w:t>
            </w:r>
            <w:r>
              <w:rPr>
                <w:sz w:val="21"/>
              </w:rPr>
              <w:t>宜在产品显著位置提供运行状态指示功能，并由生产厂商提供详细参数</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整机结构</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a) </w:t>
            </w:r>
            <w:r>
              <w:rPr>
                <w:sz w:val="21"/>
              </w:rPr>
              <w:t>机箱应符合</w:t>
            </w:r>
            <w:r>
              <w:rPr>
                <w:sz w:val="21"/>
              </w:rPr>
              <w:t xml:space="preserve"> GB/T 4208</w:t>
            </w:r>
            <w:r>
              <w:rPr>
                <w:sz w:val="21"/>
              </w:rPr>
              <w:t>、</w:t>
            </w:r>
            <w:r>
              <w:rPr>
                <w:sz w:val="21"/>
              </w:rPr>
              <w:t>GB/T 26246</w:t>
            </w:r>
            <w:r>
              <w:rPr>
                <w:sz w:val="21"/>
              </w:rPr>
              <w:t>的相关规定；</w:t>
            </w:r>
          </w:p>
          <w:p>
            <w:pPr>
              <w:pStyle w:val="null3"/>
            </w:pPr>
            <w:r>
              <w:rPr>
                <w:sz w:val="21"/>
              </w:rPr>
              <w:t xml:space="preserve">b) </w:t>
            </w:r>
            <w:r>
              <w:rPr>
                <w:sz w:val="21"/>
              </w:rPr>
              <w:t>产品内部结构应符合通用部件的安装需要；</w:t>
            </w:r>
          </w:p>
          <w:p>
            <w:pPr>
              <w:pStyle w:val="null3"/>
            </w:pPr>
            <w:r>
              <w:rPr>
                <w:sz w:val="21"/>
              </w:rPr>
              <w:t xml:space="preserve">c) </w:t>
            </w:r>
            <w:r>
              <w:rPr>
                <w:sz w:val="21"/>
              </w:rPr>
              <w:t>所有输入输出接口应符合相关国家或行业标准；</w:t>
            </w:r>
          </w:p>
          <w:p>
            <w:pPr>
              <w:pStyle w:val="null3"/>
            </w:pPr>
            <w:r>
              <w:rPr>
                <w:sz w:val="21"/>
              </w:rPr>
              <w:t xml:space="preserve">d) </w:t>
            </w:r>
            <w:r>
              <w:rPr>
                <w:sz w:val="21"/>
              </w:rPr>
              <w:t>产品零部件应紧固无松动，</w:t>
            </w:r>
            <w:r>
              <w:rPr>
                <w:sz w:val="21"/>
              </w:rPr>
              <w:t>可插拔部件应可靠连接，</w:t>
            </w:r>
            <w:r>
              <w:rPr>
                <w:sz w:val="21"/>
              </w:rPr>
              <w:t>开关、按钮和其它控制部件应灵活可靠，</w:t>
            </w:r>
            <w:r>
              <w:rPr>
                <w:sz w:val="21"/>
              </w:rPr>
              <w:t>布局应方便使用；</w:t>
            </w:r>
          </w:p>
          <w:p>
            <w:pPr>
              <w:pStyle w:val="null3"/>
            </w:pPr>
            <w:r>
              <w:rPr>
                <w:sz w:val="21"/>
              </w:rPr>
              <w:t xml:space="preserve">e) </w:t>
            </w:r>
            <w:r>
              <w:rPr>
                <w:sz w:val="21"/>
              </w:rPr>
              <w:t>所有</w:t>
            </w:r>
            <w:r>
              <w:rPr>
                <w:sz w:val="21"/>
              </w:rPr>
              <w:t>I/O</w:t>
            </w:r>
            <w:r>
              <w:rPr>
                <w:sz w:val="21"/>
              </w:rPr>
              <w:t>连接器及需插接线缆的部位应预留用户操作空间，方便插拔解锁与插拔线缆；</w:t>
            </w:r>
          </w:p>
          <w:p>
            <w:pPr>
              <w:pStyle w:val="null3"/>
            </w:pPr>
            <w:r>
              <w:rPr>
                <w:sz w:val="21"/>
              </w:rPr>
              <w:t xml:space="preserve">f) </w:t>
            </w:r>
            <w:r>
              <w:rPr>
                <w:sz w:val="21"/>
              </w:rPr>
              <w:t>可插拔板卡插槽部位应预留安装、拆卸或更换板卡空间；</w:t>
            </w:r>
          </w:p>
          <w:p>
            <w:pPr>
              <w:pStyle w:val="null3"/>
            </w:pPr>
            <w:r>
              <w:rPr>
                <w:sz w:val="21"/>
              </w:rPr>
              <w:t xml:space="preserve">g) </w:t>
            </w:r>
            <w:r>
              <w:rPr>
                <w:sz w:val="21"/>
              </w:rPr>
              <w:t>拆装可能接触到的金属剪口或金属尖角部位应做防划伤处理，以保证安全</w:t>
            </w:r>
            <w:r>
              <w:rPr>
                <w:sz w:val="21"/>
              </w:rPr>
              <w:t>;</w:t>
            </w:r>
          </w:p>
          <w:p>
            <w:pPr>
              <w:pStyle w:val="null3"/>
            </w:pPr>
            <w:r>
              <w:rPr>
                <w:sz w:val="21"/>
              </w:rPr>
              <w:t xml:space="preserve">h) </w:t>
            </w:r>
            <w:r>
              <w:rPr>
                <w:sz w:val="21"/>
              </w:rPr>
              <w:t>整机内部走线应规整，固线结构和位置要合理可靠并做防割线处理，需便于理线和插拔操作，走线应不影响系统各主要部件组装和拆卸；</w:t>
            </w:r>
          </w:p>
          <w:p>
            <w:pPr>
              <w:pStyle w:val="null3"/>
            </w:pPr>
            <w:r>
              <w:rPr>
                <w:sz w:val="21"/>
              </w:rPr>
              <w:t xml:space="preserve">i) </w:t>
            </w:r>
            <w:r>
              <w:rPr>
                <w:sz w:val="21"/>
              </w:rPr>
              <w:t>如需通过孔走线，</w:t>
            </w:r>
            <w:r>
              <w:rPr>
                <w:sz w:val="21"/>
              </w:rPr>
              <w:t>过线孔应做防割线处理；</w:t>
            </w:r>
          </w:p>
          <w:p>
            <w:pPr>
              <w:pStyle w:val="null3"/>
            </w:pPr>
            <w:r>
              <w:rPr>
                <w:sz w:val="21"/>
              </w:rPr>
              <w:t xml:space="preserve">j) </w:t>
            </w:r>
            <w:r>
              <w:rPr>
                <w:sz w:val="21"/>
              </w:rPr>
              <w:t>各插头位置和插拔方向应合理，</w:t>
            </w:r>
            <w:r>
              <w:rPr>
                <w:sz w:val="21"/>
              </w:rPr>
              <w:t>应做到插拔无障碍设计，</w:t>
            </w:r>
            <w:r>
              <w:rPr>
                <w:sz w:val="21"/>
              </w:rPr>
              <w:t>具备防呆设计，有效避免误操作；</w:t>
            </w:r>
          </w:p>
          <w:p>
            <w:pPr>
              <w:pStyle w:val="null3"/>
            </w:pPr>
            <w:r>
              <w:rPr>
                <w:sz w:val="21"/>
              </w:rPr>
              <w:t xml:space="preserve">k) </w:t>
            </w:r>
            <w:r>
              <w:rPr>
                <w:sz w:val="21"/>
              </w:rPr>
              <w:t>各主要部件拆装无障碍，</w:t>
            </w:r>
            <w:r>
              <w:rPr>
                <w:sz w:val="21"/>
              </w:rPr>
              <w:t>使用常规工具拆装，</w:t>
            </w:r>
            <w:r>
              <w:rPr>
                <w:sz w:val="21"/>
              </w:rPr>
              <w:t>无特殊拆装工具需求；</w:t>
            </w:r>
          </w:p>
          <w:p>
            <w:pPr>
              <w:pStyle w:val="null3"/>
            </w:pPr>
            <w:r>
              <w:rPr>
                <w:sz w:val="21"/>
              </w:rPr>
              <w:t xml:space="preserve">I) </w:t>
            </w:r>
            <w:r>
              <w:rPr>
                <w:sz w:val="21"/>
              </w:rPr>
              <w:t>各主要部件拆装步骤要少，</w:t>
            </w:r>
            <w:r>
              <w:rPr>
                <w:sz w:val="21"/>
              </w:rPr>
              <w:t>各自拆装需避免相互干扰；</w:t>
            </w:r>
          </w:p>
          <w:p>
            <w:pPr>
              <w:pStyle w:val="null3"/>
            </w:pPr>
            <w:r>
              <w:rPr>
                <w:sz w:val="21"/>
              </w:rPr>
              <w:t xml:space="preserve">m) </w:t>
            </w:r>
            <w:r>
              <w:rPr>
                <w:sz w:val="21"/>
              </w:rPr>
              <w:t>对于整机或零部件外表面为高亮面的，应粘贴保护膜，保护膜需粘贴牢固，运输、组装等过程不易脱落，撕下无残留；</w:t>
            </w:r>
          </w:p>
          <w:p>
            <w:pPr>
              <w:pStyle w:val="null3"/>
            </w:pPr>
            <w:r>
              <w:rPr>
                <w:sz w:val="21"/>
              </w:rPr>
              <w:t xml:space="preserve">n) </w:t>
            </w:r>
            <w:r>
              <w:rPr>
                <w:sz w:val="21"/>
              </w:rPr>
              <w:t>其它要求应符合</w:t>
            </w:r>
            <w:r>
              <w:rPr>
                <w:sz w:val="21"/>
              </w:rPr>
              <w:t xml:space="preserve"> GB/T 9813.1 </w:t>
            </w:r>
            <w:r>
              <w:rPr>
                <w:sz w:val="21"/>
              </w:rPr>
              <w:t>的相关规定</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机箱防护要求</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机箱应符合</w:t>
            </w:r>
            <w:r>
              <w:rPr>
                <w:sz w:val="21"/>
              </w:rPr>
              <w:t xml:space="preserve"> GB/T 4208 </w:t>
            </w:r>
            <w:r>
              <w:rPr>
                <w:sz w:val="21"/>
              </w:rPr>
              <w:t>中</w:t>
            </w:r>
            <w:r>
              <w:rPr>
                <w:sz w:val="21"/>
              </w:rPr>
              <w:t xml:space="preserve"> IP20 </w:t>
            </w:r>
            <w:r>
              <w:rPr>
                <w:sz w:val="21"/>
              </w:rPr>
              <w:t>防护要求</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整机噪音</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产品工作在空闲状态下，产品的声功率级应不超过</w:t>
            </w:r>
            <w:r>
              <w:rPr>
                <w:sz w:val="21"/>
              </w:rPr>
              <w:t>4.5 Bel</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整机散热</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在环境温度</w:t>
            </w:r>
            <w:r>
              <w:rPr>
                <w:sz w:val="21"/>
              </w:rPr>
              <w:t>25</w:t>
            </w:r>
            <w:r>
              <w:rPr>
                <w:sz w:val="21"/>
              </w:rPr>
              <w:t>℃及处理器满载情况下，产品表面温度应符合下列要求：</w:t>
            </w:r>
          </w:p>
          <w:p>
            <w:pPr>
              <w:pStyle w:val="null3"/>
            </w:pPr>
            <w:r>
              <w:rPr>
                <w:sz w:val="21"/>
              </w:rPr>
              <w:t xml:space="preserve">a) </w:t>
            </w:r>
            <w:r>
              <w:rPr>
                <w:sz w:val="21"/>
              </w:rPr>
              <w:t>出风口在机箱后面板情况下，</w:t>
            </w:r>
            <w:r>
              <w:rPr>
                <w:sz w:val="21"/>
              </w:rPr>
              <w:t>出风口温度不高于</w:t>
            </w:r>
            <w:r>
              <w:rPr>
                <w:sz w:val="21"/>
              </w:rPr>
              <w:t>55</w:t>
            </w:r>
            <w:r>
              <w:rPr>
                <w:sz w:val="21"/>
              </w:rPr>
              <w:t>℃；</w:t>
            </w:r>
          </w:p>
          <w:p>
            <w:pPr>
              <w:pStyle w:val="null3"/>
            </w:pPr>
            <w:r>
              <w:rPr>
                <w:sz w:val="21"/>
              </w:rPr>
              <w:t xml:space="preserve">b) </w:t>
            </w:r>
            <w:r>
              <w:rPr>
                <w:sz w:val="21"/>
              </w:rPr>
              <w:t>可触及面温度小于</w:t>
            </w:r>
            <w:r>
              <w:rPr>
                <w:sz w:val="21"/>
              </w:rPr>
              <w:t>45</w:t>
            </w:r>
            <w:r>
              <w:rPr>
                <w:sz w:val="21"/>
              </w:rPr>
              <w:t>℃；</w:t>
            </w:r>
          </w:p>
          <w:p>
            <w:pPr>
              <w:pStyle w:val="null3"/>
            </w:pPr>
            <w:r>
              <w:rPr>
                <w:sz w:val="21"/>
              </w:rPr>
              <w:t xml:space="preserve">c) </w:t>
            </w:r>
            <w:r>
              <w:rPr>
                <w:sz w:val="21"/>
              </w:rPr>
              <w:t>显示器表面温度：</w:t>
            </w:r>
            <w:r>
              <w:rPr>
                <w:sz w:val="21"/>
              </w:rPr>
              <w:t>显示屏温度不高于</w:t>
            </w:r>
            <w:r>
              <w:rPr>
                <w:sz w:val="21"/>
              </w:rPr>
              <w:t xml:space="preserve"> 38</w:t>
            </w:r>
            <w:r>
              <w:rPr>
                <w:sz w:val="21"/>
              </w:rPr>
              <w:t>℃，显示屏上下灯带位置温度</w:t>
            </w:r>
            <w:r>
              <w:rPr>
                <w:sz w:val="21"/>
              </w:rPr>
              <w:t>(</w:t>
            </w:r>
            <w:r>
              <w:rPr>
                <w:sz w:val="21"/>
              </w:rPr>
              <w:t>如涉及</w:t>
            </w:r>
            <w:r>
              <w:rPr>
                <w:sz w:val="21"/>
              </w:rPr>
              <w:t xml:space="preserve">) </w:t>
            </w:r>
            <w:r>
              <w:rPr>
                <w:sz w:val="21"/>
              </w:rPr>
              <w:t>不高于</w:t>
            </w:r>
            <w:r>
              <w:rPr>
                <w:sz w:val="21"/>
              </w:rPr>
              <w:t>40</w:t>
            </w:r>
            <w:r>
              <w:rPr>
                <w:sz w:val="21"/>
              </w:rPr>
              <w:t>℃，</w:t>
            </w:r>
            <w:r>
              <w:rPr>
                <w:sz w:val="21"/>
              </w:rPr>
              <w:t>出风口温度不高于</w:t>
            </w:r>
            <w:r>
              <w:rPr>
                <w:sz w:val="21"/>
              </w:rPr>
              <w:t xml:space="preserve"> 45</w:t>
            </w:r>
            <w:r>
              <w:rPr>
                <w:sz w:val="21"/>
              </w:rPr>
              <w:t>℃</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整机能效限定值</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产品能效限定值应达到</w:t>
            </w:r>
            <w:r>
              <w:rPr>
                <w:sz w:val="21"/>
              </w:rPr>
              <w:t xml:space="preserve"> GB 28380-2012</w:t>
            </w:r>
            <w:r>
              <w:rPr>
                <w:sz w:val="21"/>
              </w:rPr>
              <w:t>标准中能效等级</w:t>
            </w:r>
            <w:r>
              <w:rPr>
                <w:sz w:val="21"/>
              </w:rPr>
              <w:t xml:space="preserve"> 2 </w:t>
            </w:r>
            <w:r>
              <w:rPr>
                <w:sz w:val="21"/>
              </w:rPr>
              <w:t>级及以上</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机身颜色</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黑色商务色系</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机箱尺寸容量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25L</w:t>
            </w:r>
            <w:r>
              <w:rPr>
                <w:sz w:val="21"/>
              </w:rPr>
              <w:t>≤机箱体积≤</w:t>
            </w:r>
            <w:r>
              <w:rPr>
                <w:sz w:val="21"/>
              </w:rPr>
              <w:t>30L</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w:t>
            </w:r>
            <w:r>
              <w:rPr>
                <w:sz w:val="21"/>
              </w:rPr>
              <w:t>性能</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CPU</w:t>
            </w:r>
            <w:r>
              <w:rPr>
                <w:sz w:val="21"/>
              </w:rPr>
              <w:t>物理核数</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8</w:t>
            </w:r>
            <w:r>
              <w:rPr>
                <w:sz w:val="21"/>
              </w:rPr>
              <w:t>核，≥</w:t>
            </w:r>
            <w:r>
              <w:rPr>
                <w:sz w:val="21"/>
              </w:rPr>
              <w:t>16</w:t>
            </w:r>
            <w:r>
              <w:rPr>
                <w:sz w:val="21"/>
              </w:rPr>
              <w:t>线程</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CPU</w:t>
            </w:r>
            <w:r>
              <w:rPr>
                <w:sz w:val="21"/>
              </w:rPr>
              <w:t>主频</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3.0GHz</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CPU </w:t>
            </w:r>
            <w:r>
              <w:rPr>
                <w:sz w:val="21"/>
              </w:rPr>
              <w:t>末级缓存容量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16MB</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CPU </w:t>
            </w:r>
            <w:r>
              <w:rPr>
                <w:sz w:val="21"/>
              </w:rPr>
              <w:t>支持的内存最高速率</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2933MT/s</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内存性能</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内存读写速率</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2933MT/s</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性能要求</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显卡性能</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显示分辨率</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4096</w:t>
            </w:r>
            <w:r>
              <w:rPr>
                <w:sz w:val="21"/>
              </w:rPr>
              <w:t>×</w:t>
            </w:r>
            <w:r>
              <w:rPr>
                <w:sz w:val="21"/>
              </w:rPr>
              <w:t>2160</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性能要求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显卡显示芯片核心频率</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1920MHz</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性能要求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显存等效频率</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16000MT/s</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性能要求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显卡可支持多屏同时显示数量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w:t>
            </w:r>
            <w:r>
              <w:rPr>
                <w:sz w:val="21"/>
              </w:rPr>
              <w:t>2</w:t>
            </w:r>
            <w:r>
              <w:rPr>
                <w:sz w:val="21"/>
              </w:rPr>
              <w:t>块屏幕同时显示，分辨率应不低于</w:t>
            </w:r>
            <w:r>
              <w:rPr>
                <w:sz w:val="21"/>
              </w:rPr>
              <w:t>3840</w:t>
            </w:r>
            <w:r>
              <w:rPr>
                <w:sz w:val="21"/>
              </w:rPr>
              <w:t>×</w:t>
            </w:r>
            <w:r>
              <w:rPr>
                <w:sz w:val="21"/>
              </w:rPr>
              <w:t>2160</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性能要求</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显示设备性能</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显示屏刷新率</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60Hz</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性能要求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显示屏位深</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8</w:t>
            </w:r>
            <w:r>
              <w:rPr>
                <w:sz w:val="21"/>
              </w:rPr>
              <w:t>位</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性能要求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显示屏色域</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99% sRGB</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性能要求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显示屏色准</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 xml:space="preserve">E </w:t>
            </w:r>
            <w:r>
              <w:rPr>
                <w:sz w:val="21"/>
              </w:rPr>
              <w:t>≤</w:t>
            </w:r>
            <w:r>
              <w:rPr>
                <w:sz w:val="21"/>
              </w:rPr>
              <w:t>3</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性能要求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显示屏响应时间</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6ms</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性能要求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显示屏亮度</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 xml:space="preserve">350 </w:t>
            </w:r>
            <w:r>
              <w:rPr>
                <w:sz w:val="21"/>
              </w:rPr>
              <w:t>尼特</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性能要求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显示屏亮度一致性</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70%</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性能要求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显示屏对比度</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1000</w:t>
            </w:r>
            <w:r>
              <w:rPr>
                <w:sz w:val="21"/>
              </w:rPr>
              <w:t>：</w:t>
            </w:r>
            <w:r>
              <w:rPr>
                <w:sz w:val="21"/>
              </w:rPr>
              <w:t xml:space="preserve"> 1</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显示屏其他参数</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其它参数应符合</w:t>
            </w:r>
            <w:r>
              <w:rPr>
                <w:sz w:val="21"/>
              </w:rPr>
              <w:t xml:space="preserve"> SJ/T 11292 </w:t>
            </w:r>
            <w:r>
              <w:rPr>
                <w:sz w:val="21"/>
              </w:rPr>
              <w:t>的相关规定</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67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网络设备性能</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有线网卡速率</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最高速率应不低于</w:t>
            </w:r>
            <w:r>
              <w:rPr>
                <w:sz w:val="21"/>
              </w:rPr>
              <w:t xml:space="preserve"> 1000Mbps, </w:t>
            </w:r>
            <w:r>
              <w:rPr>
                <w:sz w:val="21"/>
              </w:rPr>
              <w:t>应支持</w:t>
            </w:r>
            <w:r>
              <w:rPr>
                <w:sz w:val="21"/>
              </w:rPr>
              <w:t>10Mbps</w:t>
            </w:r>
            <w:r>
              <w:rPr>
                <w:sz w:val="21"/>
              </w:rPr>
              <w:t>、</w:t>
            </w:r>
            <w:r>
              <w:rPr>
                <w:sz w:val="21"/>
              </w:rPr>
              <w:t>100Mbps</w:t>
            </w:r>
            <w:r>
              <w:rPr>
                <w:sz w:val="21"/>
              </w:rPr>
              <w:t>、</w:t>
            </w:r>
            <w:r>
              <w:rPr>
                <w:sz w:val="21"/>
              </w:rPr>
              <w:t xml:space="preserve">1000Mbps </w:t>
            </w:r>
            <w:r>
              <w:rPr>
                <w:sz w:val="21"/>
              </w:rPr>
              <w:t>速率自适应</w:t>
            </w:r>
          </w:p>
          <w:p>
            <w:pPr>
              <w:pStyle w:val="null3"/>
            </w:pPr>
            <w:r>
              <w:rPr>
                <w:sz w:val="21"/>
              </w:rPr>
              <w:t>支持</w:t>
            </w:r>
            <w:r>
              <w:rPr>
                <w:sz w:val="21"/>
              </w:rPr>
              <w:t>SFP+</w:t>
            </w:r>
            <w:r>
              <w:rPr>
                <w:sz w:val="21"/>
              </w:rPr>
              <w:t>的独立网卡网口速率均不少于</w:t>
            </w:r>
            <w:r>
              <w:rPr>
                <w:sz w:val="21"/>
              </w:rPr>
              <w:t>10GE</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主板功能</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内存扩展接口</w:t>
            </w:r>
            <w:r>
              <w:rPr>
                <w:sz w:val="21"/>
              </w:rPr>
              <w:t>(</w:t>
            </w:r>
            <w:r>
              <w:rPr>
                <w:sz w:val="21"/>
              </w:rPr>
              <w:t>板载内存不涉及</w:t>
            </w:r>
            <w:r>
              <w:rPr>
                <w:sz w:val="21"/>
              </w:rPr>
              <w:t>)</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4</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singl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主板</w:t>
            </w:r>
            <w:r>
              <w:rPr>
                <w:sz w:val="21"/>
              </w:rPr>
              <w:t>USB</w:t>
            </w:r>
            <w:r>
              <w:rPr>
                <w:sz w:val="21"/>
              </w:rPr>
              <w:t>瞬间过流保护</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支持瞬间过流保护功能</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singl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主板防静电保护</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支持防静电保护功能</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singl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I/O</w:t>
            </w:r>
            <w:r>
              <w:rPr>
                <w:sz w:val="21"/>
              </w:rPr>
              <w:t>接口功能</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提供基于标准</w:t>
            </w:r>
            <w:r>
              <w:rPr>
                <w:sz w:val="21"/>
              </w:rPr>
              <w:t>USB</w:t>
            </w:r>
            <w:r>
              <w:rPr>
                <w:sz w:val="21"/>
              </w:rPr>
              <w:t>接口外设连接功能、基于音频输入输出接口的音频扩展功能、基于</w:t>
            </w:r>
            <w:r>
              <w:rPr>
                <w:sz w:val="21"/>
              </w:rPr>
              <w:t>PCIe</w:t>
            </w:r>
            <w:r>
              <w:rPr>
                <w:sz w:val="21"/>
              </w:rPr>
              <w:t>接口板卡扩展功能、基于</w:t>
            </w:r>
            <w:r>
              <w:rPr>
                <w:sz w:val="21"/>
              </w:rPr>
              <w:t>HDMI/VGA/Type-C/DVI/DP</w:t>
            </w:r>
            <w:r>
              <w:rPr>
                <w:sz w:val="21"/>
              </w:rPr>
              <w:t>等接口外接显示器扩展功能、基于存储接口对产品进行增容功能等。工作站</w:t>
            </w:r>
            <w:r>
              <w:rPr>
                <w:sz w:val="21"/>
              </w:rPr>
              <w:t>I/O</w:t>
            </w:r>
            <w:r>
              <w:rPr>
                <w:sz w:val="21"/>
              </w:rPr>
              <w:t>接口应具备外接标准</w:t>
            </w:r>
            <w:r>
              <w:rPr>
                <w:sz w:val="21"/>
              </w:rPr>
              <w:t>USB</w:t>
            </w:r>
            <w:r>
              <w:rPr>
                <w:sz w:val="21"/>
              </w:rPr>
              <w:t>设备、显示器、音频设备等内外部设备能力</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显卡功能</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显卡外接显示接口</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显卡支持</w:t>
            </w:r>
            <w:r>
              <w:rPr>
                <w:sz w:val="21"/>
              </w:rPr>
              <w:t>DP</w:t>
            </w:r>
            <w:r>
              <w:rPr>
                <w:sz w:val="21"/>
              </w:rPr>
              <w:t>显示接口</w:t>
            </w:r>
            <w:r>
              <w:rPr>
                <w:sz w:val="21"/>
              </w:rPr>
              <w:t xml:space="preserve">, </w:t>
            </w:r>
            <w:r>
              <w:rPr>
                <w:sz w:val="21"/>
              </w:rPr>
              <w:t>并与显示器接口相匹配</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显示设备功能</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显示器接口</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显示器应与显卡外接显示接口匹配</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显示器支架</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显示器应提供显示器支架，宜支持屏幕旋转、支架可升降等</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显示器参数调节</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a) </w:t>
            </w:r>
            <w:r>
              <w:rPr>
                <w:sz w:val="21"/>
              </w:rPr>
              <w:t>提供</w:t>
            </w:r>
            <w:r>
              <w:rPr>
                <w:sz w:val="21"/>
              </w:rPr>
              <w:t xml:space="preserve">OSD </w:t>
            </w:r>
            <w:r>
              <w:rPr>
                <w:sz w:val="21"/>
              </w:rPr>
              <w:t>选单按钮用于调节色彩、模式等；</w:t>
            </w:r>
          </w:p>
          <w:p>
            <w:pPr>
              <w:pStyle w:val="null3"/>
            </w:pPr>
            <w:r>
              <w:rPr>
                <w:sz w:val="21"/>
              </w:rPr>
              <w:t xml:space="preserve">b) </w:t>
            </w:r>
            <w:r>
              <w:rPr>
                <w:sz w:val="21"/>
              </w:rPr>
              <w:t>支持色温、亮度、对比度调节</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存储功能</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存储功能</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可选配</w:t>
            </w:r>
            <w:r>
              <w:rPr>
                <w:sz w:val="21"/>
              </w:rPr>
              <w:t>SATA</w:t>
            </w:r>
            <w:r>
              <w:rPr>
                <w:sz w:val="21"/>
              </w:rPr>
              <w:t>固态存储</w:t>
            </w:r>
            <w:r>
              <w:rPr>
                <w:sz w:val="21"/>
              </w:rPr>
              <w:t>/SATA</w:t>
            </w:r>
            <w:r>
              <w:rPr>
                <w:sz w:val="21"/>
              </w:rPr>
              <w:t>硬磁盘等存储部件提供存储功能</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网络设备功能</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网络功能</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a)</w:t>
            </w:r>
            <w:r>
              <w:rPr>
                <w:sz w:val="21"/>
              </w:rPr>
              <w:t>支持网络连接、网络开启</w:t>
            </w:r>
            <w:r>
              <w:rPr>
                <w:sz w:val="21"/>
              </w:rPr>
              <w:t>/</w:t>
            </w:r>
            <w:r>
              <w:rPr>
                <w:sz w:val="21"/>
              </w:rPr>
              <w:t>关闭功能；</w:t>
            </w:r>
          </w:p>
          <w:p>
            <w:pPr>
              <w:pStyle w:val="null3"/>
            </w:pPr>
            <w:r>
              <w:rPr>
                <w:sz w:val="21"/>
              </w:rPr>
              <w:t>b)</w:t>
            </w:r>
            <w:r>
              <w:rPr>
                <w:sz w:val="21"/>
              </w:rPr>
              <w:t>支持访问网络和数据交换功能</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singl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数据传输</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支持数据传输能力，并提供数据流量和异常日志记录功能</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singl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有线网卡接口类型</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w:t>
            </w:r>
            <w:r>
              <w:rPr>
                <w:sz w:val="21"/>
              </w:rPr>
              <w:t xml:space="preserve">RJ45 </w:t>
            </w:r>
            <w:r>
              <w:rPr>
                <w:sz w:val="21"/>
              </w:rPr>
              <w:t>接口</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singl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网络设备拆装</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若配备的网络设备应支持物理拆装，包括无线网卡和蓝牙模块等</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外部接口功能</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音频接口类型</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w:t>
            </w:r>
            <w:r>
              <w:rPr>
                <w:sz w:val="21"/>
              </w:rPr>
              <w:t>3.5mm</w:t>
            </w:r>
            <w:r>
              <w:rPr>
                <w:sz w:val="21"/>
              </w:rPr>
              <w:t>孔径</w:t>
            </w:r>
            <w:r>
              <w:rPr>
                <w:sz w:val="21"/>
              </w:rPr>
              <w:t>3</w:t>
            </w:r>
            <w:r>
              <w:rPr>
                <w:sz w:val="21"/>
              </w:rPr>
              <w:t>段式或</w:t>
            </w:r>
            <w:r>
              <w:rPr>
                <w:sz w:val="21"/>
              </w:rPr>
              <w:t>4</w:t>
            </w:r>
            <w:r>
              <w:rPr>
                <w:sz w:val="21"/>
              </w:rPr>
              <w:t>段式接口</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singl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视频接口类型</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至少支持</w:t>
            </w:r>
            <w:r>
              <w:rPr>
                <w:sz w:val="21"/>
              </w:rPr>
              <w:t>VGA</w:t>
            </w:r>
            <w:r>
              <w:rPr>
                <w:sz w:val="21"/>
              </w:rPr>
              <w:t>、</w:t>
            </w:r>
            <w:r>
              <w:rPr>
                <w:sz w:val="21"/>
              </w:rPr>
              <w:t>HDMI</w:t>
            </w:r>
            <w:r>
              <w:rPr>
                <w:sz w:val="21"/>
              </w:rPr>
              <w:t>、</w:t>
            </w:r>
            <w:r>
              <w:rPr>
                <w:sz w:val="21"/>
              </w:rPr>
              <w:t>DVI</w:t>
            </w:r>
            <w:r>
              <w:rPr>
                <w:sz w:val="21"/>
              </w:rPr>
              <w:t>、</w:t>
            </w:r>
            <w:r>
              <w:rPr>
                <w:sz w:val="21"/>
              </w:rPr>
              <w:t>DP</w:t>
            </w:r>
            <w:r>
              <w:rPr>
                <w:sz w:val="21"/>
              </w:rPr>
              <w:t>、</w:t>
            </w:r>
            <w:r>
              <w:rPr>
                <w:sz w:val="21"/>
              </w:rPr>
              <w:t>Type-C</w:t>
            </w:r>
            <w:r>
              <w:rPr>
                <w:sz w:val="21"/>
              </w:rPr>
              <w:t>中</w:t>
            </w:r>
            <w:r>
              <w:rPr>
                <w:sz w:val="21"/>
              </w:rPr>
              <w:t>1</w:t>
            </w:r>
            <w:r>
              <w:rPr>
                <w:sz w:val="21"/>
              </w:rPr>
              <w:t>种显示接口</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singl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HDMI</w:t>
            </w:r>
            <w:r>
              <w:rPr>
                <w:sz w:val="21"/>
              </w:rPr>
              <w:t>、</w:t>
            </w:r>
            <w:r>
              <w:rPr>
                <w:sz w:val="21"/>
              </w:rPr>
              <w:t>DP</w:t>
            </w:r>
            <w:r>
              <w:rPr>
                <w:sz w:val="21"/>
              </w:rPr>
              <w:t>、</w:t>
            </w:r>
            <w:r>
              <w:rPr>
                <w:sz w:val="21"/>
              </w:rPr>
              <w:t>Type-C</w:t>
            </w:r>
            <w:r>
              <w:rPr>
                <w:sz w:val="21"/>
              </w:rPr>
              <w:t>显示接口要求</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提供</w:t>
            </w:r>
            <w:r>
              <w:rPr>
                <w:sz w:val="21"/>
              </w:rPr>
              <w:t>HDMI</w:t>
            </w:r>
            <w:r>
              <w:rPr>
                <w:sz w:val="21"/>
              </w:rPr>
              <w:t>或</w:t>
            </w:r>
            <w:r>
              <w:rPr>
                <w:sz w:val="21"/>
              </w:rPr>
              <w:t xml:space="preserve">DP </w:t>
            </w:r>
            <w:r>
              <w:rPr>
                <w:sz w:val="21"/>
              </w:rPr>
              <w:t>或</w:t>
            </w:r>
            <w:r>
              <w:rPr>
                <w:sz w:val="21"/>
              </w:rPr>
              <w:t>Type-C</w:t>
            </w:r>
            <w:r>
              <w:rPr>
                <w:sz w:val="21"/>
              </w:rPr>
              <w:t>作为显示接口，</w:t>
            </w:r>
            <w:r>
              <w:rPr>
                <w:sz w:val="21"/>
              </w:rPr>
              <w:t>应支持音频和视频同步输出</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电源功能</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电源线适配能力</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电源适配器电线组件应符合</w:t>
            </w:r>
            <w:r>
              <w:rPr>
                <w:sz w:val="21"/>
              </w:rPr>
              <w:t>GB/T15934</w:t>
            </w:r>
            <w:r>
              <w:rPr>
                <w:sz w:val="21"/>
              </w:rPr>
              <w:t>的要求，</w:t>
            </w:r>
            <w:r>
              <w:rPr>
                <w:sz w:val="21"/>
              </w:rPr>
              <w:t>可拆线的插头和连接器可以不做要求</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操作系统及软件功能</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中文信息处理要求</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符合</w:t>
            </w:r>
            <w:r>
              <w:rPr>
                <w:sz w:val="21"/>
              </w:rPr>
              <w:t>GB 18030</w:t>
            </w:r>
            <w:r>
              <w:rPr>
                <w:sz w:val="21"/>
              </w:rPr>
              <w:t>的相关规定</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操作系统备份及还原功能</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支持操作系统备份及还原功能</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固件备份还原能力</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支持备份及还原固件的功能</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操作系统及驱动升级</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支持通过网络、闪存盘等方式对操作系统、驱动进行升级</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BIOS </w:t>
            </w:r>
            <w:r>
              <w:rPr>
                <w:sz w:val="21"/>
              </w:rPr>
              <w:t>支持关闭通讯接口</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w:t>
            </w:r>
            <w:r>
              <w:rPr>
                <w:sz w:val="21"/>
              </w:rPr>
              <w:t xml:space="preserve">BIOS </w:t>
            </w:r>
            <w:r>
              <w:rPr>
                <w:sz w:val="21"/>
              </w:rPr>
              <w:t>关闭以太网及</w:t>
            </w:r>
            <w:r>
              <w:rPr>
                <w:sz w:val="21"/>
              </w:rPr>
              <w:t xml:space="preserve">USB </w:t>
            </w:r>
            <w:r>
              <w:rPr>
                <w:sz w:val="21"/>
              </w:rPr>
              <w:t>接口功能</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固件查看信息</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支持查看固件版本、内存信息、主板信息、处理器信息和系统时间信息等功能</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固件设置启动顺序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支持设置启动顺序功能，并按照设置的启动顺序启动</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固件设置口令</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支持设置口令、修改口令、验证口令功能</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固件设置网络引导</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支持网络引导启动和关闭功能</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可靠性要求</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存储设备可靠性</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固态存储寿命</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TBW</w:t>
            </w:r>
            <w:r>
              <w:rPr>
                <w:sz w:val="21"/>
              </w:rPr>
              <w:t>≥</w:t>
            </w:r>
            <w:r>
              <w:rPr>
                <w:sz w:val="21"/>
              </w:rPr>
              <w:t>80TB</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可靠性要求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机械硬盘寿命</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通电时间≥</w:t>
            </w:r>
            <w:r>
              <w:rPr>
                <w:sz w:val="21"/>
              </w:rPr>
              <w:t>5</w:t>
            </w:r>
            <w:r>
              <w:rPr>
                <w:sz w:val="21"/>
              </w:rPr>
              <w:t>万小时</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可靠性要求</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显示设备可靠性</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显示屏屏幕失效点</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符合</w:t>
            </w:r>
            <w:r>
              <w:rPr>
                <w:sz w:val="21"/>
              </w:rPr>
              <w:t xml:space="preserve">GB/T 9813.2 </w:t>
            </w:r>
            <w:r>
              <w:rPr>
                <w:sz w:val="21"/>
              </w:rPr>
              <w:t>的要求</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可靠性要求</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外设可靠性</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键盘按键寿命</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1000</w:t>
            </w:r>
            <w:r>
              <w:rPr>
                <w:sz w:val="21"/>
              </w:rPr>
              <w:t>万次</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可靠性要求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鼠标按键寿命</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500</w:t>
            </w:r>
            <w:r>
              <w:rPr>
                <w:sz w:val="21"/>
              </w:rPr>
              <w:t>万次</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可靠性要求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键盘鼠标线材寿命</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键盘鼠标所用线材经±</w:t>
            </w:r>
            <w:r>
              <w:rPr>
                <w:sz w:val="21"/>
              </w:rPr>
              <w:t>60</w:t>
            </w:r>
            <w:r>
              <w:rPr>
                <w:sz w:val="21"/>
              </w:rPr>
              <w:t>°弯折不低于</w:t>
            </w:r>
            <w:r>
              <w:rPr>
                <w:sz w:val="21"/>
              </w:rPr>
              <w:t xml:space="preserve"> 3000</w:t>
            </w:r>
            <w:r>
              <w:rPr>
                <w:sz w:val="21"/>
              </w:rPr>
              <w:t>次，功能、外观完好</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可靠性要求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风扇寿命</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4</w:t>
            </w:r>
            <w:r>
              <w:rPr>
                <w:sz w:val="21"/>
              </w:rPr>
              <w:t>万小时</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可靠性要求</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整机可靠</w:t>
            </w:r>
          </w:p>
          <w:p>
            <w:pPr>
              <w:pStyle w:val="null3"/>
              <w:jc w:val="center"/>
            </w:pPr>
            <w:r>
              <w:rPr>
                <w:sz w:val="21"/>
              </w:rPr>
              <w:t>性要求</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电磁兼容性要求的抗扰度</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符合</w:t>
            </w:r>
            <w:r>
              <w:rPr>
                <w:sz w:val="21"/>
              </w:rPr>
              <w:t xml:space="preserve"> GB/T 9254.2 </w:t>
            </w:r>
            <w:r>
              <w:rPr>
                <w:sz w:val="21"/>
              </w:rPr>
              <w:t>的规定</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可靠性要求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环境条件要求的气候环境适应性</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符合</w:t>
            </w:r>
            <w:r>
              <w:rPr>
                <w:sz w:val="21"/>
              </w:rPr>
              <w:t xml:space="preserve"> GB/T 9813.1 </w:t>
            </w:r>
            <w:r>
              <w:rPr>
                <w:sz w:val="21"/>
              </w:rPr>
              <w:t>中规定</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可靠性要求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环境条件要求的振动适应性</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符合</w:t>
            </w:r>
            <w:r>
              <w:rPr>
                <w:sz w:val="21"/>
              </w:rPr>
              <w:t xml:space="preserve"> GB/T 9813.1 </w:t>
            </w:r>
            <w:r>
              <w:rPr>
                <w:sz w:val="21"/>
              </w:rPr>
              <w:t>中规定</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可靠性要求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环境条件要求的冲击适应性</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符合</w:t>
            </w:r>
            <w:r>
              <w:rPr>
                <w:sz w:val="21"/>
              </w:rPr>
              <w:t xml:space="preserve"> GB/T 9813.1 </w:t>
            </w:r>
            <w:r>
              <w:rPr>
                <w:sz w:val="21"/>
              </w:rPr>
              <w:t>中规定</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可靠性要求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环境条件要求的碰撞适应性</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符合</w:t>
            </w:r>
            <w:r>
              <w:rPr>
                <w:sz w:val="21"/>
              </w:rPr>
              <w:t xml:space="preserve"> GB/T 9813.1 </w:t>
            </w:r>
            <w:r>
              <w:rPr>
                <w:sz w:val="21"/>
              </w:rPr>
              <w:t>中规定</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可靠性要求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环境条件要求的运输包装件跌落适应性</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符合</w:t>
            </w:r>
            <w:r>
              <w:rPr>
                <w:sz w:val="21"/>
              </w:rPr>
              <w:t xml:space="preserve"> GB/T 9813.1 </w:t>
            </w:r>
            <w:r>
              <w:rPr>
                <w:sz w:val="21"/>
              </w:rPr>
              <w:t>中规定</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可靠性要求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MTBF </w:t>
            </w:r>
            <w:r>
              <w:rPr>
                <w:sz w:val="21"/>
              </w:rPr>
              <w:t>测试</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MTBF(m1)</w:t>
            </w:r>
            <w:r>
              <w:rPr>
                <w:sz w:val="21"/>
              </w:rPr>
              <w:t>≥</w:t>
            </w:r>
            <w:r>
              <w:rPr>
                <w:sz w:val="21"/>
              </w:rPr>
              <w:t>20</w:t>
            </w:r>
            <w:r>
              <w:rPr>
                <w:sz w:val="21"/>
              </w:rPr>
              <w:t>万小时</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兼容要求</w:t>
            </w:r>
          </w:p>
        </w:tc>
        <w:tc>
          <w:tcPr>
            <w:tcW w:type="dxa" w:w="671"/>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兼容要求</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常用软件兼容</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应支持流式软件、版式软件、浏览器、邮件客户端、解压软件、多媒体、图形图像处理等常用软件</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兼容要求</w:t>
            </w:r>
          </w:p>
        </w:tc>
        <w:tc>
          <w:tcPr>
            <w:tcW w:type="dxa" w:w="671"/>
            <w:vMerge/>
            <w:tcBorders>
              <w:top w:val="non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数据库兼容</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兼容</w:t>
            </w:r>
            <w:r>
              <w:rPr>
                <w:sz w:val="21"/>
              </w:rPr>
              <w:t>3</w:t>
            </w:r>
            <w:r>
              <w:rPr>
                <w:sz w:val="21"/>
              </w:rPr>
              <w:t>个及以上厂商的数据库产品</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兼容要求</w:t>
            </w:r>
          </w:p>
        </w:tc>
        <w:tc>
          <w:tcPr>
            <w:tcW w:type="dxa" w:w="671"/>
            <w:vMerge/>
            <w:tcBorders>
              <w:top w:val="non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中间件兼容</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兼容</w:t>
            </w:r>
            <w:r>
              <w:rPr>
                <w:sz w:val="21"/>
              </w:rPr>
              <w:t>3</w:t>
            </w:r>
            <w:r>
              <w:rPr>
                <w:sz w:val="21"/>
              </w:rPr>
              <w:t>个及以上厂商中间件产品</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兼容要求</w:t>
            </w:r>
          </w:p>
        </w:tc>
        <w:tc>
          <w:tcPr>
            <w:tcW w:type="dxa" w:w="671"/>
            <w:vMerge/>
            <w:tcBorders>
              <w:top w:val="non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平台软件兼容</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兼容</w:t>
            </w:r>
            <w:r>
              <w:rPr>
                <w:sz w:val="21"/>
              </w:rPr>
              <w:t>3</w:t>
            </w:r>
            <w:r>
              <w:rPr>
                <w:sz w:val="21"/>
              </w:rPr>
              <w:t>个及以上厂商云计算及大数据平台</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包装及运输要求</w:t>
            </w:r>
          </w:p>
        </w:tc>
        <w:tc>
          <w:tcPr>
            <w:tcW w:type="dxa" w:w="6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包装及运</w:t>
            </w:r>
          </w:p>
          <w:p>
            <w:pPr>
              <w:pStyle w:val="null3"/>
              <w:jc w:val="center"/>
            </w:pPr>
            <w:r>
              <w:rPr>
                <w:sz w:val="21"/>
              </w:rPr>
              <w:t>输要求</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标志、包装、运输和贮存</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符合</w:t>
            </w:r>
            <w:r>
              <w:rPr>
                <w:sz w:val="21"/>
              </w:rPr>
              <w:t xml:space="preserve"> GB/T9813.1 </w:t>
            </w:r>
            <w:r>
              <w:rPr>
                <w:sz w:val="21"/>
              </w:rPr>
              <w:t>和商品包装政府采购需求标准的相关规定</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671"/>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配置检查工具</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提供自检测试工具</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671"/>
            <w:vMerge/>
            <w:tcBorders>
              <w:top w:val="non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服务响应</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a)</w:t>
            </w:r>
            <w:r>
              <w:rPr>
                <w:sz w:val="21"/>
              </w:rPr>
              <w:t>供应商提供电话、电子邮件、远程连接等多种形式政企专线</w:t>
            </w:r>
            <w:r>
              <w:rPr>
                <w:sz w:val="21"/>
              </w:rPr>
              <w:t>7*24</w:t>
            </w:r>
            <w:r>
              <w:rPr>
                <w:sz w:val="21"/>
              </w:rPr>
              <w:t>在线服务；</w:t>
            </w:r>
          </w:p>
          <w:p>
            <w:pPr>
              <w:pStyle w:val="null3"/>
            </w:pPr>
            <w:r>
              <w:rPr>
                <w:sz w:val="21"/>
              </w:rPr>
              <w:t>b)</w:t>
            </w:r>
            <w:r>
              <w:rPr>
                <w:sz w:val="21"/>
              </w:rPr>
              <w:t>供应商提供同城</w:t>
            </w:r>
            <w:r>
              <w:rPr>
                <w:sz w:val="21"/>
              </w:rPr>
              <w:t>4h</w:t>
            </w:r>
            <w:r>
              <w:rPr>
                <w:sz w:val="21"/>
              </w:rPr>
              <w:t>、异地</w:t>
            </w:r>
            <w:r>
              <w:rPr>
                <w:sz w:val="21"/>
              </w:rPr>
              <w:t xml:space="preserve">12h </w:t>
            </w:r>
            <w:r>
              <w:rPr>
                <w:sz w:val="21"/>
              </w:rPr>
              <w:t>技术响应服务，</w:t>
            </w:r>
            <w:r>
              <w:rPr>
                <w:sz w:val="21"/>
              </w:rPr>
              <w:t xml:space="preserve">2 </w:t>
            </w:r>
            <w:r>
              <w:rPr>
                <w:sz w:val="21"/>
              </w:rPr>
              <w:t>个工作日解决问题，对于未能解决的问题和故障应提供可行的升级方案，并提供周转设备或更换设备；</w:t>
            </w:r>
          </w:p>
          <w:p>
            <w:pPr>
              <w:pStyle w:val="null3"/>
            </w:pPr>
            <w:r>
              <w:rPr>
                <w:sz w:val="21"/>
              </w:rPr>
              <w:t>c)</w:t>
            </w:r>
            <w:r>
              <w:rPr>
                <w:sz w:val="21"/>
              </w:rPr>
              <w:t>建立全国技术服务体系和服务团体，符合专业服务体系标准要求，提供原厂中文服务；</w:t>
            </w:r>
          </w:p>
          <w:p>
            <w:pPr>
              <w:pStyle w:val="null3"/>
            </w:pPr>
            <w:r>
              <w:rPr>
                <w:sz w:val="21"/>
              </w:rPr>
              <w:t>d)</w:t>
            </w:r>
            <w:r>
              <w:rPr>
                <w:sz w:val="21"/>
              </w:rPr>
              <w:t>服务周期内提供产品的维修、换件和升级服务</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671"/>
            <w:vMerge/>
            <w:tcBorders>
              <w:top w:val="non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服务周期</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支持产品延保≥</w:t>
            </w:r>
            <w:r>
              <w:rPr>
                <w:sz w:val="21"/>
              </w:rPr>
              <w:t>3</w:t>
            </w:r>
            <w:r>
              <w:rPr>
                <w:sz w:val="21"/>
              </w:rPr>
              <w:t>年。</w:t>
            </w:r>
          </w:p>
          <w:p>
            <w:pPr>
              <w:pStyle w:val="null3"/>
            </w:pPr>
            <w:r>
              <w:rPr>
                <w:sz w:val="21"/>
              </w:rPr>
              <w:t>提供每年延保服务报价。</w:t>
            </w:r>
          </w:p>
          <w:p>
            <w:pPr>
              <w:pStyle w:val="null3"/>
            </w:pPr>
            <w:r>
              <w:rPr>
                <w:sz w:val="21"/>
              </w:rPr>
              <w:t>提供备件服务能力≥</w:t>
            </w:r>
            <w:r>
              <w:rPr>
                <w:sz w:val="21"/>
              </w:rPr>
              <w:t>6</w:t>
            </w:r>
            <w:r>
              <w:rPr>
                <w:sz w:val="21"/>
              </w:rPr>
              <w:t>年（自购买之日起）。</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671"/>
            <w:vMerge/>
            <w:tcBorders>
              <w:top w:val="non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预装操作系统</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预装符合桌面操作系统政府采购需求标准、通过安全可靠测评的正版统信</w:t>
            </w:r>
            <w:r>
              <w:rPr>
                <w:sz w:val="21"/>
              </w:rPr>
              <w:t>UOS V20</w:t>
            </w:r>
            <w:r>
              <w:rPr>
                <w:sz w:val="21"/>
              </w:rPr>
              <w:t>操作系统（内核版本</w:t>
            </w:r>
            <w:r>
              <w:rPr>
                <w:sz w:val="21"/>
              </w:rPr>
              <w:t>5.10</w:t>
            </w:r>
            <w:r>
              <w:rPr>
                <w:sz w:val="21"/>
              </w:rPr>
              <w:t>），并提供不小于一年升级服务。</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671"/>
            <w:vMerge/>
            <w:tcBorders>
              <w:top w:val="non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培训服务</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供应商提供培训材料、产品手册、培训视频等培训相关内容</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671"/>
            <w:vMerge/>
            <w:tcBorders>
              <w:top w:val="non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典型问题解决手册</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供应商提供典型问题解决说明文档或视频</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671"/>
            <w:vMerge/>
            <w:tcBorders>
              <w:top w:val="non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厂家升级软件与扩容服务</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供应商提供上门升级部件</w:t>
            </w:r>
            <w:r>
              <w:rPr>
                <w:sz w:val="21"/>
              </w:rPr>
              <w:t>/</w:t>
            </w:r>
            <w:r>
              <w:rPr>
                <w:sz w:val="21"/>
              </w:rPr>
              <w:t>软件的增值服务</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671"/>
            <w:vMerge/>
            <w:tcBorders>
              <w:top w:val="non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整机质量服务要求</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免费服务周期（含换件和维修）≥</w:t>
            </w:r>
            <w:r>
              <w:rPr>
                <w:sz w:val="21"/>
              </w:rPr>
              <w:t>3</w:t>
            </w:r>
            <w:r>
              <w:rPr>
                <w:sz w:val="21"/>
              </w:rPr>
              <w:t>年，免费服务周期内硬盘损坏更换免回收</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671"/>
            <w:vMerge/>
            <w:tcBorders>
              <w:top w:val="non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合格证书要求</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供应商提供产品合格证</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671"/>
            <w:vMerge/>
            <w:tcBorders>
              <w:top w:val="non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开箱组装</w:t>
            </w:r>
            <w:r>
              <w:rPr>
                <w:sz w:val="21"/>
              </w:rPr>
              <w:t>/</w:t>
            </w:r>
            <w:r>
              <w:rPr>
                <w:sz w:val="21"/>
              </w:rPr>
              <w:t>使用指导要求</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供应商提供开箱组装</w:t>
            </w:r>
            <w:r>
              <w:rPr>
                <w:sz w:val="21"/>
              </w:rPr>
              <w:t>/</w:t>
            </w:r>
            <w:r>
              <w:rPr>
                <w:sz w:val="21"/>
              </w:rPr>
              <w:t>使用指导</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671"/>
            <w:vMerge/>
            <w:tcBorders>
              <w:top w:val="non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驱动下载服务要求</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供应商提供驱动光盘或下载方式</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671"/>
            <w:vMerge/>
            <w:tcBorders>
              <w:top w:val="non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兼容适配软件下载服务要求</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供应商提供兼容适配软件下载渠道</w:t>
            </w:r>
            <w:r>
              <w:rPr>
                <w:sz w:val="21"/>
              </w:rPr>
              <w:t>(</w:t>
            </w:r>
            <w:r>
              <w:rPr>
                <w:sz w:val="21"/>
              </w:rPr>
              <w:t>光盘、网站</w:t>
            </w:r>
            <w:r>
              <w:rPr>
                <w:sz w:val="21"/>
              </w:rPr>
              <w:t>)</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供应保障要求</w:t>
            </w:r>
          </w:p>
        </w:tc>
        <w:tc>
          <w:tcPr>
            <w:tcW w:type="dxa" w:w="6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供应链合规性</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产品部件保障</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保障产品主要部件提供不少于</w:t>
            </w:r>
            <w:r>
              <w:rPr>
                <w:sz w:val="21"/>
              </w:rPr>
              <w:t>6</w:t>
            </w:r>
            <w:r>
              <w:rPr>
                <w:sz w:val="21"/>
              </w:rPr>
              <w:t>年的备件服务能力</w:t>
            </w:r>
            <w:r>
              <w:rPr>
                <w:sz w:val="21"/>
              </w:rPr>
              <w:t>(</w:t>
            </w:r>
            <w:r>
              <w:rPr>
                <w:sz w:val="21"/>
              </w:rPr>
              <w:t>自购买之日起</w:t>
            </w:r>
            <w:r>
              <w:rPr>
                <w:sz w:val="21"/>
              </w:rPr>
              <w:t>)</w:t>
            </w:r>
            <w:r>
              <w:rPr>
                <w:sz w:val="21"/>
              </w:rPr>
              <w:t>，或提供可兼容原设备的升级换代产品</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供应保障要求</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供应链质量</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抗干扰性</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当产品部件出现供应风险时，供应商应通知采购人并提供风险应对方案确保产品的服务保障</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供应保障要求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供应能力证明</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供应商提供供应链稳定承诺书，确保产品的部件在产品服务周期内稳定供货</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安全要求</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关键部件安全要求</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关键部件安全要求</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CPU</w:t>
            </w:r>
            <w:r>
              <w:rPr>
                <w:sz w:val="21"/>
              </w:rPr>
              <w:t>和操作系统等关键部件应符合安全可靠测评要求</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安全要求</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整机安全</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密码算法实现</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CPU</w:t>
            </w:r>
            <w:r>
              <w:rPr>
                <w:sz w:val="21"/>
              </w:rPr>
              <w:t>芯片应符合</w:t>
            </w:r>
            <w:r>
              <w:rPr>
                <w:sz w:val="21"/>
              </w:rPr>
              <w:t>GM/T 0008</w:t>
            </w:r>
            <w:r>
              <w:rPr>
                <w:sz w:val="21"/>
              </w:rPr>
              <w:t>的相关规定</w:t>
            </w:r>
            <w:r>
              <w:rPr>
                <w:sz w:val="21"/>
              </w:rPr>
              <w:t>,</w:t>
            </w:r>
            <w:r>
              <w:rPr>
                <w:sz w:val="21"/>
              </w:rPr>
              <w:t>或芯片密码模块应符合</w:t>
            </w:r>
            <w:r>
              <w:rPr>
                <w:sz w:val="21"/>
              </w:rPr>
              <w:t xml:space="preserve"> GB/T 37092 </w:t>
            </w:r>
            <w:r>
              <w:rPr>
                <w:sz w:val="21"/>
              </w:rPr>
              <w:t>或</w:t>
            </w:r>
            <w:r>
              <w:rPr>
                <w:sz w:val="21"/>
              </w:rPr>
              <w:t xml:space="preserve">GM/T 0028 </w:t>
            </w:r>
            <w:r>
              <w:rPr>
                <w:sz w:val="21"/>
              </w:rPr>
              <w:t>的相关规定</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信息安全基本要求</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a) </w:t>
            </w:r>
            <w:r>
              <w:rPr>
                <w:sz w:val="21"/>
              </w:rPr>
              <w:t>应符合</w:t>
            </w:r>
            <w:r>
              <w:rPr>
                <w:sz w:val="21"/>
              </w:rPr>
              <w:t xml:space="preserve"> GB/T 39276 </w:t>
            </w:r>
            <w:r>
              <w:rPr>
                <w:sz w:val="21"/>
              </w:rPr>
              <w:t>的</w:t>
            </w:r>
            <w:r>
              <w:rPr>
                <w:sz w:val="21"/>
              </w:rPr>
              <w:t>5.2</w:t>
            </w:r>
            <w:r>
              <w:rPr>
                <w:sz w:val="21"/>
              </w:rPr>
              <w:t>的规定；</w:t>
            </w:r>
          </w:p>
          <w:p>
            <w:pPr>
              <w:pStyle w:val="null3"/>
            </w:pPr>
            <w:r>
              <w:rPr>
                <w:sz w:val="21"/>
              </w:rPr>
              <w:t xml:space="preserve">b) </w:t>
            </w:r>
            <w:r>
              <w:rPr>
                <w:sz w:val="21"/>
              </w:rPr>
              <w:t>生产厂商应建立漏洞跟踪表，</w:t>
            </w:r>
            <w:r>
              <w:rPr>
                <w:sz w:val="21"/>
              </w:rPr>
              <w:t>保证产品版本涉及到的漏洞</w:t>
            </w:r>
            <w:r>
              <w:rPr>
                <w:sz w:val="21"/>
              </w:rPr>
              <w:t>(</w:t>
            </w:r>
            <w:r>
              <w:rPr>
                <w:sz w:val="21"/>
              </w:rPr>
              <w:t>如驱动程序等</w:t>
            </w:r>
            <w:r>
              <w:rPr>
                <w:sz w:val="21"/>
              </w:rPr>
              <w:t>)</w:t>
            </w:r>
            <w:r>
              <w:rPr>
                <w:sz w:val="21"/>
              </w:rPr>
              <w:t>可查看；</w:t>
            </w:r>
          </w:p>
          <w:p>
            <w:pPr>
              <w:pStyle w:val="null3"/>
            </w:pPr>
            <w:r>
              <w:rPr>
                <w:sz w:val="21"/>
              </w:rPr>
              <w:t xml:space="preserve">c) </w:t>
            </w:r>
            <w:r>
              <w:rPr>
                <w:sz w:val="21"/>
              </w:rPr>
              <w:t>产品不得包含已知的恶意代码或漏洞，不存在未声明的指令、功能、接口</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固件安全启动</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支持固件安全启动功能，固件启动过程中只有通过启动校验才能正常启动</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限用物质的限量要求</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符合</w:t>
            </w:r>
            <w:r>
              <w:rPr>
                <w:sz w:val="21"/>
              </w:rPr>
              <w:t xml:space="preserve"> GB/T 26572 </w:t>
            </w:r>
            <w:r>
              <w:rPr>
                <w:sz w:val="21"/>
              </w:rPr>
              <w:t>中规定</w:t>
            </w:r>
          </w:p>
        </w:tc>
      </w:tr>
      <w:tr>
        <w:tc>
          <w:tcPr>
            <w:tcW w:type="dxa" w:w="830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“”条款说明：供应商在投标时出具关于所提供的“图形工作站”是否满足采购文件要求的承诺函（上述“”指标应逐项响应，可参照“格式”中承诺函》格式）。</w:t>
            </w:r>
          </w:p>
          <w:p>
            <w:pPr>
              <w:pStyle w:val="null3"/>
            </w:pPr>
            <w:r>
              <w:rPr>
                <w:sz w:val="21"/>
              </w:rPr>
              <w:t>提醒：供应商应实事求是响应本项目所列要求，如有虚假承诺，采购人将以供应商违反《中华人民共和国政府采购法》第七十七条</w:t>
            </w:r>
            <w:r>
              <w:rPr>
                <w:sz w:val="21"/>
                <w:shd w:fill="FFFFFF" w:val="clear"/>
              </w:rPr>
              <w:t>第一款规定“提供虚假材料谋取中标、成交的”情况</w:t>
            </w:r>
            <w:r>
              <w:rPr>
                <w:sz w:val="21"/>
              </w:rPr>
              <w:t>上报政府采购监管部门，供应商将被列入不良行为记录名单，在一至三年内禁止参加政府采购活动。</w:t>
            </w:r>
          </w:p>
        </w:tc>
      </w:tr>
    </w:tbl>
    <w:p>
      <w:pPr>
        <w:pStyle w:val="null3"/>
        <w:ind w:firstLine="420"/>
        <w:jc w:val="both"/>
      </w:pPr>
      <w:r>
        <w:rPr>
          <w:sz w:val="21"/>
        </w:rPr>
        <w:t>（</w:t>
      </w:r>
      <w:r>
        <w:rPr>
          <w:sz w:val="21"/>
        </w:rPr>
        <w:t>2</w:t>
      </w:r>
      <w:r>
        <w:rPr>
          <w:sz w:val="21"/>
        </w:rPr>
        <w:t>）移动工作站</w:t>
      </w:r>
    </w:p>
    <w:tbl>
      <w:tblPr>
        <w:tblW w:w="0" w:type="auto"/>
        <w:tblBorders>
          <w:top w:val="none" w:color="000000" w:sz="4"/>
          <w:left w:val="none" w:color="000000" w:sz="4"/>
          <w:bottom w:val="none" w:color="000000" w:sz="4"/>
          <w:right w:val="none" w:color="000000" w:sz="4"/>
          <w:insideH w:val="none"/>
          <w:insideV w:val="none"/>
        </w:tblBorders>
      </w:tblPr>
      <w:tblGrid>
        <w:gridCol w:w="503"/>
        <w:gridCol w:w="671"/>
        <w:gridCol w:w="671"/>
        <w:gridCol w:w="1342"/>
        <w:gridCol w:w="5118"/>
      </w:tblGrid>
      <w:tr>
        <w:tc>
          <w:tcPr>
            <w:tcW w:type="dxa" w:w="5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6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指标分类</w:t>
            </w:r>
          </w:p>
        </w:tc>
        <w:tc>
          <w:tcPr>
            <w:tcW w:type="dxa" w:w="6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一级指标</w:t>
            </w:r>
          </w:p>
        </w:tc>
        <w:tc>
          <w:tcPr>
            <w:tcW w:type="dxa" w:w="13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二级指标</w:t>
            </w:r>
          </w:p>
        </w:tc>
        <w:tc>
          <w:tcPr>
            <w:tcW w:type="dxa" w:w="51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需求指标要求</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w:t>
            </w:r>
            <w:r>
              <w:rPr>
                <w:sz w:val="21"/>
              </w:rPr>
              <w:t>规格</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CPU</w:t>
            </w:r>
            <w:r>
              <w:rPr>
                <w:sz w:val="21"/>
              </w:rPr>
              <w:t>信息</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处理器架构：兼容</w:t>
            </w:r>
            <w:r>
              <w:rPr>
                <w:sz w:val="21"/>
              </w:rPr>
              <w:t>X86</w:t>
            </w:r>
          </w:p>
          <w:p>
            <w:pPr>
              <w:pStyle w:val="null3"/>
            </w:pPr>
            <w:r>
              <w:rPr>
                <w:sz w:val="21"/>
              </w:rPr>
              <w:t>物理核心数：≥</w:t>
            </w:r>
            <w:r>
              <w:rPr>
                <w:sz w:val="21"/>
              </w:rPr>
              <w:t>8</w:t>
            </w:r>
            <w:r>
              <w:rPr>
                <w:sz w:val="21"/>
              </w:rPr>
              <w:t>核</w:t>
            </w:r>
          </w:p>
          <w:p>
            <w:pPr>
              <w:pStyle w:val="null3"/>
            </w:pPr>
            <w:r>
              <w:rPr>
                <w:sz w:val="21"/>
              </w:rPr>
              <w:t>主频：≥</w:t>
            </w:r>
            <w:r>
              <w:rPr>
                <w:sz w:val="21"/>
              </w:rPr>
              <w:t>2.3GHz</w:t>
            </w:r>
            <w:r>
              <w:rPr>
                <w:sz w:val="21"/>
              </w:rPr>
              <w:t>，支持睿频加速功能，支持超线程技术</w:t>
            </w:r>
          </w:p>
          <w:p>
            <w:pPr>
              <w:pStyle w:val="null3"/>
            </w:pPr>
            <w:r>
              <w:rPr>
                <w:sz w:val="21"/>
              </w:rPr>
              <w:t>末级缓存容量：≥</w:t>
            </w:r>
            <w:r>
              <w:rPr>
                <w:sz w:val="21"/>
              </w:rPr>
              <w:t>16MB</w:t>
            </w:r>
            <w:r>
              <w:rPr>
                <w:sz w:val="21"/>
              </w:rPr>
              <w:t>三级缓存</w:t>
            </w:r>
          </w:p>
          <w:p>
            <w:pPr>
              <w:pStyle w:val="null3"/>
            </w:pPr>
            <w:r>
              <w:rPr>
                <w:sz w:val="21"/>
              </w:rPr>
              <w:t>线程数：≥</w:t>
            </w:r>
            <w:r>
              <w:rPr>
                <w:sz w:val="21"/>
              </w:rPr>
              <w:t>16</w:t>
            </w:r>
            <w:r>
              <w:rPr>
                <w:sz w:val="21"/>
              </w:rPr>
              <w:t>线程</w:t>
            </w:r>
          </w:p>
          <w:p>
            <w:pPr>
              <w:pStyle w:val="null3"/>
            </w:pPr>
            <w:r>
              <w:rPr>
                <w:sz w:val="21"/>
              </w:rPr>
              <w:t>功耗：≥</w:t>
            </w:r>
            <w:r>
              <w:rPr>
                <w:sz w:val="21"/>
              </w:rPr>
              <w:t>25W</w:t>
            </w:r>
          </w:p>
          <w:p>
            <w:pPr>
              <w:pStyle w:val="null3"/>
            </w:pPr>
            <w:r>
              <w:rPr>
                <w:sz w:val="21"/>
              </w:rPr>
              <w:t>内存最高频率：</w:t>
            </w:r>
            <w:r>
              <w:rPr>
                <w:sz w:val="21"/>
              </w:rPr>
              <w:t>2933MT/s</w:t>
            </w:r>
          </w:p>
          <w:p>
            <w:pPr>
              <w:pStyle w:val="null3"/>
            </w:pPr>
            <w:r>
              <w:rPr>
                <w:sz w:val="21"/>
              </w:rPr>
              <w:t>通道数：≥</w:t>
            </w:r>
            <w:r>
              <w:rPr>
                <w:sz w:val="21"/>
              </w:rPr>
              <w:t>2</w:t>
            </w:r>
            <w:r>
              <w:rPr>
                <w:sz w:val="21"/>
              </w:rPr>
              <w:t>个内存通道</w:t>
            </w:r>
          </w:p>
          <w:p>
            <w:pPr>
              <w:pStyle w:val="null3"/>
            </w:pPr>
            <w:r>
              <w:rPr>
                <w:sz w:val="21"/>
              </w:rPr>
              <w:t>位宽：支持单条</w:t>
            </w:r>
            <w:r>
              <w:rPr>
                <w:sz w:val="21"/>
              </w:rPr>
              <w:t>x64</w:t>
            </w:r>
            <w:r>
              <w:rPr>
                <w:sz w:val="21"/>
              </w:rPr>
              <w:t>位宽内存</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内存规格</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内存配置容量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32GB</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内存类型</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w:t>
            </w:r>
            <w:r>
              <w:rPr>
                <w:sz w:val="21"/>
              </w:rPr>
              <w:t>DDR4</w:t>
            </w:r>
            <w:r>
              <w:rPr>
                <w:sz w:val="21"/>
              </w:rPr>
              <w:t>或以上内存类型</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内存条配置数量</w:t>
            </w:r>
            <w:r>
              <w:rPr>
                <w:sz w:val="21"/>
              </w:rPr>
              <w:t>(</w:t>
            </w:r>
            <w:r>
              <w:rPr>
                <w:sz w:val="21"/>
              </w:rPr>
              <w:t>板载内存不涉及</w:t>
            </w:r>
            <w:r>
              <w:rPr>
                <w:sz w:val="21"/>
              </w:rPr>
              <w:t>)</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主板规格</w:t>
            </w:r>
          </w:p>
          <w:p>
            <w:pPr>
              <w:pStyle w:val="null3"/>
              <w:jc w:val="center"/>
            </w:p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主板集成模块</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集成资源扩展模块、计算处理模块、音频扩展模块等，主板的互联拓扑可通过处理器或交换电路实现</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主板支持的</w:t>
            </w:r>
            <w:r>
              <w:rPr>
                <w:sz w:val="21"/>
              </w:rPr>
              <w:t xml:space="preserve"> CPU</w:t>
            </w:r>
            <w:r>
              <w:rPr>
                <w:sz w:val="21"/>
              </w:rPr>
              <w:t>和内存情况</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兼容</w:t>
            </w:r>
            <w:r>
              <w:rPr>
                <w:sz w:val="21"/>
              </w:rPr>
              <w:t>X86</w:t>
            </w:r>
            <w:r>
              <w:rPr>
                <w:sz w:val="21"/>
              </w:rPr>
              <w:t>架构的</w:t>
            </w:r>
            <w:r>
              <w:rPr>
                <w:sz w:val="21"/>
              </w:rPr>
              <w:t>CPU,</w:t>
            </w:r>
            <w:r>
              <w:rPr>
                <w:sz w:val="21"/>
              </w:rPr>
              <w:t>数量：</w:t>
            </w:r>
            <w:r>
              <w:rPr>
                <w:sz w:val="21"/>
              </w:rPr>
              <w:t>1</w:t>
            </w:r>
          </w:p>
          <w:p>
            <w:pPr>
              <w:pStyle w:val="null3"/>
            </w:pPr>
            <w:r>
              <w:rPr>
                <w:sz w:val="21"/>
              </w:rPr>
              <w:t>内存：具体型号和数量根据实际配置确定，总容量最高支持到</w:t>
            </w:r>
            <w:r>
              <w:rPr>
                <w:sz w:val="21"/>
              </w:rPr>
              <w:t>32GB</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主板其他内置接口</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2</w:t>
            </w:r>
            <w:r>
              <w:rPr>
                <w:sz w:val="21"/>
              </w:rPr>
              <w:t>个</w:t>
            </w:r>
            <w:r>
              <w:rPr>
                <w:sz w:val="21"/>
              </w:rPr>
              <w:t>USB 3.0</w:t>
            </w:r>
            <w:r>
              <w:rPr>
                <w:sz w:val="21"/>
              </w:rPr>
              <w:t>接口</w:t>
            </w:r>
          </w:p>
          <w:p>
            <w:pPr>
              <w:pStyle w:val="null3"/>
            </w:pPr>
            <w:r>
              <w:rPr>
                <w:sz w:val="21"/>
              </w:rPr>
              <w:t>≥</w:t>
            </w:r>
            <w:r>
              <w:rPr>
                <w:sz w:val="21"/>
              </w:rPr>
              <w:t>2</w:t>
            </w:r>
            <w:r>
              <w:rPr>
                <w:sz w:val="21"/>
              </w:rPr>
              <w:t>个</w:t>
            </w:r>
            <w:r>
              <w:rPr>
                <w:sz w:val="21"/>
              </w:rPr>
              <w:t>USB Type-C</w:t>
            </w:r>
            <w:r>
              <w:rPr>
                <w:sz w:val="21"/>
              </w:rPr>
              <w:t>接口</w:t>
            </w:r>
            <w:r>
              <w:rPr>
                <w:sz w:val="21"/>
              </w:rPr>
              <w:t>(</w:t>
            </w:r>
            <w:r>
              <w:rPr>
                <w:sz w:val="21"/>
              </w:rPr>
              <w:t>其中一个支持屏幕扩展</w:t>
            </w:r>
            <w:r>
              <w:rPr>
                <w:sz w:val="21"/>
              </w:rPr>
              <w:t>)</w:t>
            </w:r>
          </w:p>
          <w:p>
            <w:pPr>
              <w:pStyle w:val="null3"/>
            </w:pPr>
            <w:r>
              <w:rPr>
                <w:sz w:val="21"/>
              </w:rPr>
              <w:t>≥</w:t>
            </w:r>
            <w:r>
              <w:rPr>
                <w:sz w:val="21"/>
              </w:rPr>
              <w:t>1</w:t>
            </w:r>
            <w:r>
              <w:rPr>
                <w:sz w:val="21"/>
              </w:rPr>
              <w:t>个</w:t>
            </w:r>
            <w:r>
              <w:rPr>
                <w:sz w:val="21"/>
              </w:rPr>
              <w:t>HDMI type-A</w:t>
            </w:r>
            <w:r>
              <w:rPr>
                <w:sz w:val="21"/>
              </w:rPr>
              <w:t>（</w:t>
            </w:r>
            <w:r>
              <w:rPr>
                <w:sz w:val="21"/>
              </w:rPr>
              <w:t>HDMI 2.0</w:t>
            </w:r>
            <w:r>
              <w:rPr>
                <w:sz w:val="21"/>
              </w:rPr>
              <w:t>）接口</w:t>
            </w:r>
          </w:p>
          <w:p>
            <w:pPr>
              <w:pStyle w:val="null3"/>
            </w:pPr>
            <w:r>
              <w:rPr>
                <w:sz w:val="21"/>
              </w:rPr>
              <w:t>≥</w:t>
            </w:r>
            <w:r>
              <w:rPr>
                <w:sz w:val="21"/>
              </w:rPr>
              <w:t>1</w:t>
            </w:r>
            <w:r>
              <w:rPr>
                <w:sz w:val="21"/>
              </w:rPr>
              <w:t>个</w:t>
            </w:r>
            <w:r>
              <w:rPr>
                <w:sz w:val="21"/>
              </w:rPr>
              <w:t>3.5mm Audio Jack</w:t>
            </w:r>
          </w:p>
          <w:p>
            <w:pPr>
              <w:pStyle w:val="null3"/>
            </w:pPr>
            <w:r>
              <w:rPr>
                <w:sz w:val="21"/>
              </w:rPr>
              <w:t>占用情况根据实际配置确定</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单内存插槽最大可支持容量</w:t>
            </w:r>
            <w:r>
              <w:rPr>
                <w:sz w:val="21"/>
              </w:rPr>
              <w:t>(</w:t>
            </w:r>
            <w:r>
              <w:rPr>
                <w:sz w:val="21"/>
              </w:rPr>
              <w:t>板载内存不涉及</w:t>
            </w:r>
            <w:r>
              <w:rPr>
                <w:sz w:val="21"/>
              </w:rPr>
              <w:t>)</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16GB</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内存插槽满配时提供的最高内存总容量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16GB</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存储设备规格</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固态盘数量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w:t>
            </w:r>
            <w:r>
              <w:rPr>
                <w:sz w:val="21"/>
              </w:rPr>
              <w:t>个</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固态存储容量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2TB</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固态存储形态</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采用插卡形态，支持</w:t>
            </w:r>
            <w:r>
              <w:rPr>
                <w:sz w:val="21"/>
              </w:rPr>
              <w:t>M.2</w:t>
            </w:r>
            <w:r>
              <w:rPr>
                <w:sz w:val="21"/>
              </w:rPr>
              <w:t>标准尺寸和接口协议</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存储设备扩展盘位</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0</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存储设备其他参数要求</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a</w:t>
            </w:r>
            <w:r>
              <w:rPr>
                <w:sz w:val="21"/>
              </w:rPr>
              <w:t>）固态盘应符合</w:t>
            </w:r>
            <w:r>
              <w:rPr>
                <w:sz w:val="21"/>
              </w:rPr>
              <w:t>SJ/T 11654</w:t>
            </w:r>
            <w:r>
              <w:rPr>
                <w:sz w:val="21"/>
              </w:rPr>
              <w:t>相关规定；</w:t>
            </w:r>
          </w:p>
          <w:p>
            <w:pPr>
              <w:pStyle w:val="null3"/>
            </w:pPr>
            <w:r>
              <w:rPr>
                <w:sz w:val="21"/>
              </w:rPr>
              <w:t>b</w:t>
            </w:r>
            <w:r>
              <w:rPr>
                <w:sz w:val="21"/>
              </w:rPr>
              <w:t>）如有机械硬盘，机械硬盘准备时间应不大于</w:t>
            </w:r>
            <w:r>
              <w:rPr>
                <w:sz w:val="21"/>
              </w:rPr>
              <w:t>30s</w:t>
            </w:r>
            <w:r>
              <w:rPr>
                <w:sz w:val="21"/>
              </w:rPr>
              <w:t>；侧面固定螺丝孔数量可为</w:t>
            </w:r>
            <w:r>
              <w:rPr>
                <w:sz w:val="21"/>
              </w:rPr>
              <w:t>4</w:t>
            </w:r>
            <w:r>
              <w:rPr>
                <w:sz w:val="21"/>
              </w:rPr>
              <w:t>孔或</w:t>
            </w:r>
            <w:r>
              <w:rPr>
                <w:sz w:val="21"/>
              </w:rPr>
              <w:t>6</w:t>
            </w:r>
            <w:r>
              <w:rPr>
                <w:sz w:val="21"/>
              </w:rPr>
              <w:t>孔；工作状态环境温度应满足</w:t>
            </w:r>
            <w:r>
              <w:rPr>
                <w:sz w:val="21"/>
              </w:rPr>
              <w:t xml:space="preserve"> 5</w:t>
            </w:r>
            <w:r>
              <w:rPr>
                <w:sz w:val="21"/>
              </w:rPr>
              <w:t>℃～</w:t>
            </w:r>
            <w:r>
              <w:rPr>
                <w:sz w:val="21"/>
              </w:rPr>
              <w:t>55</w:t>
            </w:r>
            <w:r>
              <w:rPr>
                <w:sz w:val="21"/>
              </w:rPr>
              <w:t>℃；其它参数应符合</w:t>
            </w:r>
            <w:r>
              <w:rPr>
                <w:sz w:val="21"/>
              </w:rPr>
              <w:t>GB/T12628</w:t>
            </w:r>
            <w:r>
              <w:rPr>
                <w:sz w:val="21"/>
              </w:rPr>
              <w:t>的相关规定</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显卡规格</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显卡类型</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独立显卡</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独立显卡显存类型</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LPDDR4X</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独立显卡显存位宽</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显存位宽≥</w:t>
            </w:r>
            <w:r>
              <w:rPr>
                <w:sz w:val="21"/>
              </w:rPr>
              <w:t>64</w:t>
            </w:r>
            <w:r>
              <w:rPr>
                <w:sz w:val="21"/>
              </w:rPr>
              <w:t>位</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独立显卡显存容量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显存容量≥</w:t>
            </w:r>
            <w:r>
              <w:rPr>
                <w:sz w:val="21"/>
              </w:rPr>
              <w:t>4GB</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独立显卡接口协议</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产品支持</w:t>
            </w:r>
            <w:r>
              <w:rPr>
                <w:sz w:val="21"/>
              </w:rPr>
              <w:t>PCIe</w:t>
            </w:r>
            <w:r>
              <w:rPr>
                <w:sz w:val="21"/>
              </w:rPr>
              <w:t>协议版本大于等于</w:t>
            </w:r>
            <w:r>
              <w:rPr>
                <w:sz w:val="21"/>
              </w:rPr>
              <w:t>3.0</w:t>
            </w:r>
            <w:r>
              <w:rPr>
                <w:sz w:val="21"/>
              </w:rPr>
              <w:t>的独立显卡接口协议（须承诺中标后与采购人签订合同后</w:t>
            </w:r>
            <w:r>
              <w:rPr>
                <w:sz w:val="21"/>
              </w:rPr>
              <w:t>2</w:t>
            </w:r>
            <w:r>
              <w:rPr>
                <w:sz w:val="21"/>
              </w:rPr>
              <w:t>个工作日内提供原厂盖章证明材料）</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20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显示设备规格</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显示屏屏占比</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80%</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21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显示屏分辨率</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1920x1080</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22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显示屏尺寸</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 xml:space="preserve">14 </w:t>
            </w:r>
            <w:r>
              <w:rPr>
                <w:sz w:val="21"/>
              </w:rPr>
              <w:t>英寸</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23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显示屏屏幕比例</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16</w:t>
            </w:r>
            <w:r>
              <w:rPr>
                <w:sz w:val="21"/>
              </w:rPr>
              <w:t>：</w:t>
            </w:r>
            <w:r>
              <w:rPr>
                <w:sz w:val="21"/>
              </w:rPr>
              <w:t>10</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24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显示屏防蓝光</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支持防蓝光模式，蓝光加权辐射亮度比应≤</w:t>
            </w:r>
            <w:r>
              <w:rPr>
                <w:sz w:val="21"/>
              </w:rPr>
              <w:t>0.0012W/(</w:t>
            </w:r>
            <w:r>
              <w:rPr>
                <w:sz w:val="21"/>
              </w:rPr>
              <w:t>·</w:t>
            </w:r>
            <w:r>
              <w:rPr>
                <w:sz w:val="21"/>
              </w:rPr>
              <w:t>cd</w:t>
            </w:r>
            <w:r>
              <w:rPr>
                <w:sz w:val="21"/>
              </w:rPr>
              <w:t>·</w:t>
            </w:r>
            <w:r>
              <w:rPr>
                <w:sz w:val="21"/>
              </w:rPr>
              <w:t>sr) (</w:t>
            </w:r>
            <w:r>
              <w:rPr>
                <w:sz w:val="21"/>
              </w:rPr>
              <w:t>瓦每坎特拉每球面度</w:t>
            </w:r>
            <w:r>
              <w:rPr>
                <w:sz w:val="21"/>
              </w:rPr>
              <w:t>)</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25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显示屏低频闪</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显示屏应支持低频闪≤</w:t>
            </w:r>
            <w:r>
              <w:rPr>
                <w:sz w:val="21"/>
              </w:rPr>
              <w:t>-35dB</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26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显示屏防炫目</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显示屏镜面反射率≤</w:t>
            </w:r>
            <w:r>
              <w:rPr>
                <w:sz w:val="21"/>
              </w:rPr>
              <w:t>10%</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27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外设规格</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传声器数量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2</w:t>
            </w:r>
            <w:r>
              <w:rPr>
                <w:sz w:val="21"/>
              </w:rPr>
              <w:t>个</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28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扬声器数量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2</w:t>
            </w:r>
            <w:r>
              <w:rPr>
                <w:sz w:val="21"/>
              </w:rPr>
              <w:t>个</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29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鼠标数量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w:t>
            </w:r>
            <w:r>
              <w:rPr>
                <w:sz w:val="21"/>
              </w:rPr>
              <w:t>个</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30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键盘数量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w:t>
            </w:r>
            <w:r>
              <w:rPr>
                <w:sz w:val="21"/>
              </w:rPr>
              <w:t>个</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31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触控板数量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w:t>
            </w:r>
            <w:r>
              <w:rPr>
                <w:sz w:val="21"/>
              </w:rPr>
              <w:t>个</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32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摄像头数量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w:t>
            </w:r>
            <w:r>
              <w:rPr>
                <w:sz w:val="21"/>
              </w:rPr>
              <w:t>个</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33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键盘按键数目</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62 </w:t>
            </w:r>
            <w:r>
              <w:rPr>
                <w:sz w:val="21"/>
              </w:rPr>
              <w:t>键</w:t>
            </w:r>
            <w:r>
              <w:rPr>
                <w:sz w:val="21"/>
              </w:rPr>
              <w:t xml:space="preserve">/84 </w:t>
            </w:r>
            <w:r>
              <w:rPr>
                <w:sz w:val="21"/>
              </w:rPr>
              <w:t>键</w:t>
            </w:r>
            <w:r>
              <w:rPr>
                <w:sz w:val="21"/>
              </w:rPr>
              <w:t>/105</w:t>
            </w:r>
            <w:r>
              <w:rPr>
                <w:sz w:val="21"/>
              </w:rPr>
              <w:t>键等</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34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摄像头像素</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100</w:t>
            </w:r>
            <w:r>
              <w:rPr>
                <w:sz w:val="21"/>
              </w:rPr>
              <w:t>万</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35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摄像头分辨率</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1280</w:t>
            </w:r>
            <w:r>
              <w:rPr>
                <w:sz w:val="21"/>
              </w:rPr>
              <w:t>×</w:t>
            </w:r>
            <w:r>
              <w:rPr>
                <w:sz w:val="21"/>
              </w:rPr>
              <w:t>720</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36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内置扬声器功率</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w:t>
            </w:r>
            <w:r>
              <w:rPr>
                <w:sz w:val="21"/>
              </w:rPr>
              <w:t>瓦</w:t>
            </w:r>
            <w:r>
              <w:rPr>
                <w:sz w:val="21"/>
              </w:rPr>
              <w:t>/</w:t>
            </w:r>
            <w:r>
              <w:rPr>
                <w:sz w:val="21"/>
              </w:rPr>
              <w:t>个</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37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内置扬声器频率范围</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100Hz-20kHz</w:t>
            </w:r>
            <w:r>
              <w:rPr>
                <w:sz w:val="21"/>
              </w:rPr>
              <w:t>，其中</w:t>
            </w:r>
            <w:r>
              <w:rPr>
                <w:sz w:val="21"/>
              </w:rPr>
              <w:t xml:space="preserve"> 100Hz-200Hz</w:t>
            </w:r>
            <w:r>
              <w:rPr>
                <w:sz w:val="21"/>
              </w:rPr>
              <w:t>：</w:t>
            </w:r>
            <w:r>
              <w:rPr>
                <w:sz w:val="21"/>
              </w:rPr>
              <w:t xml:space="preserve">35dB </w:t>
            </w:r>
            <w:r>
              <w:rPr>
                <w:sz w:val="21"/>
              </w:rPr>
              <w:t>及以上；</w:t>
            </w:r>
            <w:r>
              <w:rPr>
                <w:sz w:val="21"/>
              </w:rPr>
              <w:t>200Hz-12kHz</w:t>
            </w:r>
            <w:r>
              <w:rPr>
                <w:sz w:val="21"/>
              </w:rPr>
              <w:t>：</w:t>
            </w:r>
            <w:r>
              <w:rPr>
                <w:sz w:val="21"/>
              </w:rPr>
              <w:t>55dB</w:t>
            </w:r>
            <w:r>
              <w:rPr>
                <w:sz w:val="21"/>
              </w:rPr>
              <w:t>及以上，</w:t>
            </w:r>
            <w:r>
              <w:rPr>
                <w:sz w:val="21"/>
              </w:rPr>
              <w:t>12kHz-18kHz</w:t>
            </w:r>
            <w:r>
              <w:rPr>
                <w:sz w:val="21"/>
              </w:rPr>
              <w:t>：</w:t>
            </w:r>
            <w:r>
              <w:rPr>
                <w:sz w:val="21"/>
              </w:rPr>
              <w:t xml:space="preserve">35dB </w:t>
            </w:r>
            <w:r>
              <w:rPr>
                <w:sz w:val="21"/>
              </w:rPr>
              <w:t>及以上</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38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内置扬声器总谐波失真</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总谐波失真在</w:t>
            </w:r>
            <w:r>
              <w:rPr>
                <w:sz w:val="21"/>
              </w:rPr>
              <w:t>300Hz-7kHz</w:t>
            </w:r>
            <w:r>
              <w:rPr>
                <w:sz w:val="21"/>
              </w:rPr>
              <w:t>频率范围内宜不高于</w:t>
            </w:r>
            <w:r>
              <w:rPr>
                <w:sz w:val="21"/>
              </w:rPr>
              <w:t xml:space="preserve"> 5%</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39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内置扬声器最大声压级</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最大声压级在粉红噪声播放场景下，工作距离处声压级宜不低于</w:t>
            </w:r>
            <w:r>
              <w:rPr>
                <w:sz w:val="21"/>
              </w:rPr>
              <w:t>70dB</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40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键盘键程</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0.9mm</w:t>
            </w:r>
            <w:r>
              <w:rPr>
                <w:sz w:val="21"/>
              </w:rPr>
              <w:t>～</w:t>
            </w:r>
            <w:r>
              <w:rPr>
                <w:sz w:val="21"/>
              </w:rPr>
              <w:t>2.3mm</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41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键盘按键压力</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按键压力应在</w:t>
            </w:r>
            <w:r>
              <w:rPr>
                <w:sz w:val="21"/>
              </w:rPr>
              <w:t>0.54 N</w:t>
            </w:r>
            <w:r>
              <w:rPr>
                <w:sz w:val="21"/>
              </w:rPr>
              <w:t>±</w:t>
            </w:r>
            <w:r>
              <w:rPr>
                <w:sz w:val="21"/>
              </w:rPr>
              <w:t>0.14N</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42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键盘颜色</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黑色</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43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鼠标连接方式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标配</w:t>
            </w:r>
            <w:r>
              <w:rPr>
                <w:sz w:val="21"/>
              </w:rPr>
              <w:t>USB</w:t>
            </w:r>
            <w:r>
              <w:rPr>
                <w:sz w:val="21"/>
              </w:rPr>
              <w:t>接口有线鼠标</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44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有线鼠标连接线</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1.5</w:t>
            </w:r>
            <w:r>
              <w:rPr>
                <w:sz w:val="21"/>
              </w:rPr>
              <w:t>米</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45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鼠标</w:t>
            </w:r>
            <w:r>
              <w:rPr>
                <w:sz w:val="21"/>
              </w:rPr>
              <w:t xml:space="preserve">DPI </w:t>
            </w:r>
            <w:r>
              <w:rPr>
                <w:sz w:val="21"/>
              </w:rPr>
              <w:t>分辨率</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800</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46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鼠标其他要求</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其它参数应符合</w:t>
            </w:r>
            <w:r>
              <w:rPr>
                <w:sz w:val="21"/>
              </w:rPr>
              <w:t>GB/T 26245</w:t>
            </w:r>
            <w:r>
              <w:rPr>
                <w:sz w:val="21"/>
              </w:rPr>
              <w:t>的相关规定</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47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触控板尺寸</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70mm</w:t>
            </w:r>
            <w:r>
              <w:rPr>
                <w:sz w:val="21"/>
              </w:rPr>
              <w:t>×</w:t>
            </w:r>
            <w:r>
              <w:rPr>
                <w:sz w:val="21"/>
              </w:rPr>
              <w:t>50mm</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48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触控板材质</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采用麦拉片或玻璃等材质</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49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网络设备规格</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有线网卡数量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50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有线网络</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板载千兆</w:t>
            </w:r>
            <w:r>
              <w:rPr>
                <w:sz w:val="21"/>
              </w:rPr>
              <w:t>RJ45</w:t>
            </w:r>
            <w:r>
              <w:rPr>
                <w:sz w:val="21"/>
              </w:rPr>
              <w:t>接口有线网络，支持</w:t>
            </w:r>
            <w:r>
              <w:rPr>
                <w:sz w:val="21"/>
              </w:rPr>
              <w:t>1000/100/10M</w:t>
            </w:r>
            <w:r>
              <w:rPr>
                <w:sz w:val="21"/>
              </w:rPr>
              <w:t>自适应</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51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无线网卡及天线数量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52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外部接口规格</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USB </w:t>
            </w:r>
            <w:r>
              <w:rPr>
                <w:sz w:val="21"/>
              </w:rPr>
              <w:t>接口数量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2</w:t>
            </w:r>
            <w:r>
              <w:rPr>
                <w:sz w:val="21"/>
              </w:rPr>
              <w:t>个</w:t>
            </w:r>
            <w:r>
              <w:rPr>
                <w:sz w:val="21"/>
              </w:rPr>
              <w:t>USB 3.0</w:t>
            </w:r>
            <w:r>
              <w:rPr>
                <w:sz w:val="21"/>
              </w:rPr>
              <w:t>接口</w:t>
            </w:r>
          </w:p>
          <w:p>
            <w:pPr>
              <w:pStyle w:val="null3"/>
            </w:pPr>
            <w:r>
              <w:rPr>
                <w:sz w:val="21"/>
              </w:rPr>
              <w:t>≥</w:t>
            </w:r>
            <w:r>
              <w:rPr>
                <w:sz w:val="21"/>
              </w:rPr>
              <w:t>2</w:t>
            </w:r>
            <w:r>
              <w:rPr>
                <w:sz w:val="21"/>
              </w:rPr>
              <w:t>个</w:t>
            </w:r>
            <w:r>
              <w:rPr>
                <w:sz w:val="21"/>
              </w:rPr>
              <w:t>USB Type-C</w:t>
            </w:r>
            <w:r>
              <w:rPr>
                <w:sz w:val="21"/>
              </w:rPr>
              <w:t>接口</w:t>
            </w:r>
          </w:p>
          <w:p>
            <w:pPr>
              <w:pStyle w:val="null3"/>
            </w:pPr>
            <w:r>
              <w:rPr>
                <w:sz w:val="21"/>
              </w:rPr>
              <w:t>≥</w:t>
            </w:r>
            <w:r>
              <w:rPr>
                <w:sz w:val="21"/>
              </w:rPr>
              <w:t>1</w:t>
            </w:r>
            <w:r>
              <w:rPr>
                <w:sz w:val="21"/>
              </w:rPr>
              <w:t>个</w:t>
            </w:r>
            <w:r>
              <w:rPr>
                <w:sz w:val="21"/>
              </w:rPr>
              <w:t>HDMI type-A</w:t>
            </w:r>
            <w:r>
              <w:rPr>
                <w:sz w:val="21"/>
              </w:rPr>
              <w:t>（</w:t>
            </w:r>
            <w:r>
              <w:rPr>
                <w:sz w:val="21"/>
              </w:rPr>
              <w:t>HDMI 2.0</w:t>
            </w:r>
            <w:r>
              <w:rPr>
                <w:sz w:val="21"/>
              </w:rPr>
              <w:t>）接口</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53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singl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视频接口数量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54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singl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输入充电接口数量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55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singl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音频接口数量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56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整机基础规格</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整机外观</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a) </w:t>
            </w:r>
            <w:r>
              <w:rPr>
                <w:sz w:val="21"/>
              </w:rPr>
              <w:t>产品表面不应有凹痕、划伤、裂缝、变形和污染等。表面涂层均匀，</w:t>
            </w:r>
            <w:r>
              <w:rPr>
                <w:sz w:val="21"/>
              </w:rPr>
              <w:t>不应起泡、龟裂、脱落和磨损，</w:t>
            </w:r>
            <w:r>
              <w:rPr>
                <w:sz w:val="21"/>
              </w:rPr>
              <w:t>金属零部件无锈蚀及其它机械损伤；</w:t>
            </w:r>
          </w:p>
          <w:p>
            <w:pPr>
              <w:pStyle w:val="null3"/>
            </w:pPr>
            <w:r>
              <w:rPr>
                <w:sz w:val="21"/>
              </w:rPr>
              <w:t xml:space="preserve">b) </w:t>
            </w:r>
            <w:r>
              <w:rPr>
                <w:sz w:val="21"/>
              </w:rPr>
              <w:t>产品表面说明功能的文字、符号、标志，</w:t>
            </w:r>
            <w:r>
              <w:rPr>
                <w:sz w:val="21"/>
              </w:rPr>
              <w:t>应清晰、端正、牢固；</w:t>
            </w:r>
          </w:p>
          <w:p>
            <w:pPr>
              <w:pStyle w:val="null3"/>
            </w:pPr>
            <w:r>
              <w:rPr>
                <w:sz w:val="21"/>
              </w:rPr>
              <w:t xml:space="preserve">c) </w:t>
            </w:r>
            <w:r>
              <w:rPr>
                <w:sz w:val="21"/>
              </w:rPr>
              <w:t>宜在产品显著位置提供运行状态指示功能，并由生产厂商提供详细参数</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57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singl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整机结构</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a) </w:t>
            </w:r>
            <w:r>
              <w:rPr>
                <w:sz w:val="21"/>
              </w:rPr>
              <w:t>产品应符合</w:t>
            </w:r>
            <w:r>
              <w:rPr>
                <w:sz w:val="21"/>
              </w:rPr>
              <w:t>GB/T 4208</w:t>
            </w:r>
            <w:r>
              <w:rPr>
                <w:sz w:val="21"/>
              </w:rPr>
              <w:t>的相关规定；</w:t>
            </w:r>
          </w:p>
          <w:p>
            <w:pPr>
              <w:pStyle w:val="null3"/>
            </w:pPr>
            <w:r>
              <w:rPr>
                <w:sz w:val="21"/>
              </w:rPr>
              <w:t xml:space="preserve">b) </w:t>
            </w:r>
            <w:r>
              <w:rPr>
                <w:sz w:val="21"/>
              </w:rPr>
              <w:t>产品内部结构应符合通用部件的安装需要；</w:t>
            </w:r>
          </w:p>
          <w:p>
            <w:pPr>
              <w:pStyle w:val="null3"/>
            </w:pPr>
            <w:r>
              <w:rPr>
                <w:sz w:val="21"/>
              </w:rPr>
              <w:t xml:space="preserve">c) </w:t>
            </w:r>
            <w:r>
              <w:rPr>
                <w:sz w:val="21"/>
              </w:rPr>
              <w:t>所有输入输出接口应符合相关国家或行业标准；</w:t>
            </w:r>
          </w:p>
          <w:p>
            <w:pPr>
              <w:pStyle w:val="null3"/>
            </w:pPr>
            <w:r>
              <w:rPr>
                <w:sz w:val="21"/>
              </w:rPr>
              <w:t xml:space="preserve">d) </w:t>
            </w:r>
            <w:r>
              <w:rPr>
                <w:sz w:val="21"/>
              </w:rPr>
              <w:t>产品零部件应紧固无松动，可插拔部件应可靠连接，</w:t>
            </w:r>
            <w:r>
              <w:rPr>
                <w:sz w:val="21"/>
              </w:rPr>
              <w:t>开关、按钮和其它控制部件应灵活可靠，</w:t>
            </w:r>
            <w:r>
              <w:rPr>
                <w:sz w:val="21"/>
              </w:rPr>
              <w:t>布局应方便使用；</w:t>
            </w:r>
          </w:p>
          <w:p>
            <w:pPr>
              <w:pStyle w:val="null3"/>
            </w:pPr>
            <w:r>
              <w:rPr>
                <w:sz w:val="21"/>
              </w:rPr>
              <w:t xml:space="preserve">e) </w:t>
            </w:r>
            <w:r>
              <w:rPr>
                <w:sz w:val="21"/>
              </w:rPr>
              <w:t>所有</w:t>
            </w:r>
            <w:r>
              <w:rPr>
                <w:sz w:val="21"/>
              </w:rPr>
              <w:t>I/O</w:t>
            </w:r>
            <w:r>
              <w:rPr>
                <w:sz w:val="21"/>
              </w:rPr>
              <w:t>连接器及需插接线缆的部位应预留用户操作空间，方便插拔解锁与插拔线缆；</w:t>
            </w:r>
          </w:p>
          <w:p>
            <w:pPr>
              <w:pStyle w:val="null3"/>
            </w:pPr>
            <w:r>
              <w:rPr>
                <w:sz w:val="21"/>
              </w:rPr>
              <w:t xml:space="preserve">f) </w:t>
            </w:r>
            <w:r>
              <w:rPr>
                <w:sz w:val="21"/>
              </w:rPr>
              <w:t>可插拔板卡插槽部位应预留安装、拆卸或更换板卡空间；</w:t>
            </w:r>
          </w:p>
          <w:p>
            <w:pPr>
              <w:pStyle w:val="null3"/>
            </w:pPr>
            <w:r>
              <w:rPr>
                <w:sz w:val="21"/>
              </w:rPr>
              <w:t xml:space="preserve">g) </w:t>
            </w:r>
            <w:r>
              <w:rPr>
                <w:sz w:val="21"/>
              </w:rPr>
              <w:t>拆装可能接触到的金属剪口或金属尖角部位应做防划伤处理，以保证安全</w:t>
            </w:r>
            <w:r>
              <w:rPr>
                <w:sz w:val="21"/>
              </w:rPr>
              <w:t>;</w:t>
            </w:r>
          </w:p>
          <w:p>
            <w:pPr>
              <w:pStyle w:val="null3"/>
            </w:pPr>
            <w:r>
              <w:rPr>
                <w:sz w:val="21"/>
              </w:rPr>
              <w:t xml:space="preserve">h) </w:t>
            </w:r>
            <w:r>
              <w:rPr>
                <w:sz w:val="21"/>
              </w:rPr>
              <w:t>整机内部走线应规整，固线结构和位置要合理可靠并做防割线处理，需便于理线和插拔操作，走线应不影响系统各主要部件组装和拆卸；</w:t>
            </w:r>
          </w:p>
          <w:p>
            <w:pPr>
              <w:pStyle w:val="null3"/>
            </w:pPr>
            <w:r>
              <w:rPr>
                <w:sz w:val="21"/>
              </w:rPr>
              <w:t xml:space="preserve">i) </w:t>
            </w:r>
            <w:r>
              <w:rPr>
                <w:sz w:val="21"/>
              </w:rPr>
              <w:t>如需通过孔走线，</w:t>
            </w:r>
            <w:r>
              <w:rPr>
                <w:sz w:val="21"/>
              </w:rPr>
              <w:t>过线孔应做防割线处理；</w:t>
            </w:r>
          </w:p>
          <w:p>
            <w:pPr>
              <w:pStyle w:val="null3"/>
            </w:pPr>
            <w:r>
              <w:rPr>
                <w:sz w:val="21"/>
              </w:rPr>
              <w:t xml:space="preserve">j) </w:t>
            </w:r>
            <w:r>
              <w:rPr>
                <w:sz w:val="21"/>
              </w:rPr>
              <w:t>各插头位置和插拔方向应合理，</w:t>
            </w:r>
            <w:r>
              <w:rPr>
                <w:sz w:val="21"/>
              </w:rPr>
              <w:t>应做到插拔无障碍设计，</w:t>
            </w:r>
            <w:r>
              <w:rPr>
                <w:sz w:val="21"/>
              </w:rPr>
              <w:t>具备防呆设计，有效避免误操作；</w:t>
            </w:r>
          </w:p>
          <w:p>
            <w:pPr>
              <w:pStyle w:val="null3"/>
            </w:pPr>
            <w:r>
              <w:rPr>
                <w:sz w:val="21"/>
              </w:rPr>
              <w:t xml:space="preserve">k) </w:t>
            </w:r>
            <w:r>
              <w:rPr>
                <w:sz w:val="21"/>
              </w:rPr>
              <w:t>各主要部件拆装无障碍，</w:t>
            </w:r>
            <w:r>
              <w:rPr>
                <w:sz w:val="21"/>
              </w:rPr>
              <w:t>使用常规工具拆装，</w:t>
            </w:r>
            <w:r>
              <w:rPr>
                <w:sz w:val="21"/>
              </w:rPr>
              <w:t>无特殊拆装工具需求；</w:t>
            </w:r>
          </w:p>
          <w:p>
            <w:pPr>
              <w:pStyle w:val="null3"/>
            </w:pPr>
            <w:r>
              <w:rPr>
                <w:sz w:val="21"/>
              </w:rPr>
              <w:t xml:space="preserve">I) </w:t>
            </w:r>
            <w:r>
              <w:rPr>
                <w:sz w:val="21"/>
              </w:rPr>
              <w:t>各主要部件拆装步骤要少，各自拆装需避免相互干扰；</w:t>
            </w:r>
          </w:p>
          <w:p>
            <w:pPr>
              <w:pStyle w:val="null3"/>
            </w:pPr>
            <w:r>
              <w:rPr>
                <w:sz w:val="21"/>
              </w:rPr>
              <w:t xml:space="preserve">m) </w:t>
            </w:r>
            <w:r>
              <w:rPr>
                <w:sz w:val="21"/>
              </w:rPr>
              <w:t>对于整机或零部件外表面为高亮面的，应粘贴保护膜，保护膜需粘贴牢固，运输、组装等过程不易脱落，撕下无残留；</w:t>
            </w:r>
          </w:p>
          <w:p>
            <w:pPr>
              <w:pStyle w:val="null3"/>
            </w:pPr>
            <w:r>
              <w:rPr>
                <w:sz w:val="21"/>
              </w:rPr>
              <w:t xml:space="preserve">n) </w:t>
            </w:r>
            <w:r>
              <w:rPr>
                <w:sz w:val="21"/>
              </w:rPr>
              <w:t>显示屏的开合机械寿命应能承受至少</w:t>
            </w:r>
            <w:r>
              <w:rPr>
                <w:sz w:val="21"/>
              </w:rPr>
              <w:t>15000</w:t>
            </w:r>
            <w:r>
              <w:rPr>
                <w:sz w:val="21"/>
              </w:rPr>
              <w:t>次的显示屏开合，显示屏机械转轴的扭力应保持初始状态下扭力的</w:t>
            </w:r>
            <w:r>
              <w:rPr>
                <w:sz w:val="21"/>
              </w:rPr>
              <w:t>75%</w:t>
            </w:r>
            <w:r>
              <w:rPr>
                <w:sz w:val="21"/>
              </w:rPr>
              <w:t>以上；</w:t>
            </w:r>
          </w:p>
          <w:p>
            <w:pPr>
              <w:pStyle w:val="null3"/>
            </w:pPr>
            <w:r>
              <w:rPr>
                <w:sz w:val="21"/>
              </w:rPr>
              <w:t>o</w:t>
            </w:r>
            <w:r>
              <w:rPr>
                <w:sz w:val="21"/>
              </w:rPr>
              <w:t>）其它要求应符合</w:t>
            </w:r>
            <w:r>
              <w:rPr>
                <w:sz w:val="21"/>
              </w:rPr>
              <w:t>GB/T 9813.2</w:t>
            </w:r>
            <w:r>
              <w:rPr>
                <w:sz w:val="21"/>
              </w:rPr>
              <w:t>的相关规定</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58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singl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整机噪音</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25</w:t>
            </w:r>
            <w:r>
              <w:rPr>
                <w:sz w:val="21"/>
              </w:rPr>
              <w:t>摄氏度环温条件：空闲≤</w:t>
            </w:r>
            <w:r>
              <w:rPr>
                <w:sz w:val="21"/>
              </w:rPr>
              <w:t>38dBA</w:t>
            </w:r>
            <w:r>
              <w:rPr>
                <w:sz w:val="21"/>
              </w:rPr>
              <w:t>，满载≤</w:t>
            </w:r>
            <w:r>
              <w:rPr>
                <w:sz w:val="21"/>
              </w:rPr>
              <w:t>45dBA</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59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singl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整机散热</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产品在环境温度</w:t>
            </w:r>
            <w:r>
              <w:rPr>
                <w:sz w:val="21"/>
              </w:rPr>
              <w:t>25</w:t>
            </w:r>
            <w:r>
              <w:rPr>
                <w:sz w:val="21"/>
              </w:rPr>
              <w:t>℃且运行在满载的状态下，可触及面温度范围内应不高于</w:t>
            </w:r>
            <w:r>
              <w:rPr>
                <w:sz w:val="21"/>
              </w:rPr>
              <w:t>45</w:t>
            </w:r>
            <w:r>
              <w:rPr>
                <w:sz w:val="21"/>
              </w:rPr>
              <w:t>℃，各表面温度应符合以下要求：</w:t>
            </w:r>
          </w:p>
          <w:p>
            <w:pPr>
              <w:pStyle w:val="null3"/>
            </w:pPr>
            <w:r>
              <w:rPr>
                <w:sz w:val="21"/>
              </w:rPr>
              <w:t>a)</w:t>
            </w:r>
            <w:r>
              <w:rPr>
                <w:sz w:val="21"/>
              </w:rPr>
              <w:t>键帽温度不高于</w:t>
            </w:r>
            <w:r>
              <w:rPr>
                <w:sz w:val="21"/>
              </w:rPr>
              <w:t>38</w:t>
            </w:r>
            <w:r>
              <w:rPr>
                <w:sz w:val="21"/>
              </w:rPr>
              <w:t>℃；</w:t>
            </w:r>
          </w:p>
          <w:p>
            <w:pPr>
              <w:pStyle w:val="null3"/>
            </w:pPr>
            <w:r>
              <w:rPr>
                <w:sz w:val="21"/>
              </w:rPr>
              <w:t>b)</w:t>
            </w:r>
            <w:r>
              <w:rPr>
                <w:sz w:val="21"/>
              </w:rPr>
              <w:t>键盘间隙温度不高于</w:t>
            </w:r>
            <w:r>
              <w:rPr>
                <w:sz w:val="21"/>
              </w:rPr>
              <w:t>40</w:t>
            </w:r>
            <w:r>
              <w:rPr>
                <w:sz w:val="21"/>
              </w:rPr>
              <w:t>℃；</w:t>
            </w:r>
          </w:p>
          <w:p>
            <w:pPr>
              <w:pStyle w:val="null3"/>
            </w:pPr>
            <w:r>
              <w:rPr>
                <w:sz w:val="21"/>
              </w:rPr>
              <w:t>c)</w:t>
            </w:r>
            <w:r>
              <w:rPr>
                <w:sz w:val="21"/>
              </w:rPr>
              <w:t>掌托温度不高于</w:t>
            </w:r>
            <w:r>
              <w:rPr>
                <w:sz w:val="21"/>
              </w:rPr>
              <w:t>38</w:t>
            </w:r>
            <w:r>
              <w:rPr>
                <w:sz w:val="21"/>
              </w:rPr>
              <w:t>℃；</w:t>
            </w:r>
          </w:p>
          <w:p>
            <w:pPr>
              <w:pStyle w:val="null3"/>
            </w:pPr>
            <w:r>
              <w:rPr>
                <w:sz w:val="21"/>
              </w:rPr>
              <w:t>d)</w:t>
            </w:r>
            <w:r>
              <w:rPr>
                <w:sz w:val="21"/>
              </w:rPr>
              <w:t>触控板温度不高于</w:t>
            </w:r>
            <w:r>
              <w:rPr>
                <w:sz w:val="21"/>
              </w:rPr>
              <w:t>38</w:t>
            </w:r>
            <w:r>
              <w:rPr>
                <w:sz w:val="21"/>
              </w:rPr>
              <w:t>℃；</w:t>
            </w:r>
          </w:p>
          <w:p>
            <w:pPr>
              <w:pStyle w:val="null3"/>
            </w:pPr>
            <w:r>
              <w:rPr>
                <w:sz w:val="21"/>
              </w:rPr>
              <w:t>e)</w:t>
            </w:r>
            <w:r>
              <w:rPr>
                <w:sz w:val="21"/>
              </w:rPr>
              <w:t>底壳温度不高于</w:t>
            </w:r>
            <w:r>
              <w:rPr>
                <w:sz w:val="21"/>
              </w:rPr>
              <w:t>45</w:t>
            </w:r>
            <w:r>
              <w:rPr>
                <w:sz w:val="21"/>
              </w:rPr>
              <w:t>℃</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60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singl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整机能效限定值</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产品能效限定值应达到</w:t>
            </w:r>
            <w:r>
              <w:rPr>
                <w:sz w:val="21"/>
              </w:rPr>
              <w:t>GB 28380-2012</w:t>
            </w:r>
            <w:r>
              <w:rPr>
                <w:sz w:val="21"/>
              </w:rPr>
              <w:t>标准中能效等级</w:t>
            </w:r>
            <w:r>
              <w:rPr>
                <w:sz w:val="21"/>
              </w:rPr>
              <w:t>2</w:t>
            </w:r>
            <w:r>
              <w:rPr>
                <w:sz w:val="21"/>
              </w:rPr>
              <w:t>级及以上</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61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singl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整机重量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2.2kg</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62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singl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整机厚度</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22mm</w:t>
            </w:r>
            <w:r>
              <w:rPr>
                <w:sz w:val="21"/>
              </w:rPr>
              <w:t>（不含脚垫）</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63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singl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机身材质</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塑料</w:t>
            </w:r>
            <w:r>
              <w:rPr>
                <w:sz w:val="21"/>
              </w:rPr>
              <w:t>/</w:t>
            </w:r>
            <w:r>
              <w:rPr>
                <w:sz w:val="21"/>
              </w:rPr>
              <w:t>金属等</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64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singl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机身颜色</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灰色</w:t>
            </w:r>
            <w:r>
              <w:rPr>
                <w:sz w:val="21"/>
              </w:rPr>
              <w:t>/</w:t>
            </w:r>
            <w:r>
              <w:rPr>
                <w:sz w:val="21"/>
              </w:rPr>
              <w:t>黑色</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65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电池规格</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电池额定能量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65Wh</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66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电池充放电次数</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 xml:space="preserve">500 </w:t>
            </w:r>
            <w:r>
              <w:rPr>
                <w:sz w:val="21"/>
              </w:rPr>
              <w:t>次（常温下</w:t>
            </w:r>
            <w:r>
              <w:rPr>
                <w:sz w:val="21"/>
              </w:rPr>
              <w:t>500</w:t>
            </w:r>
            <w:r>
              <w:rPr>
                <w:sz w:val="21"/>
              </w:rPr>
              <w:t>次充放电后电池容量应不低于原始容量的</w:t>
            </w:r>
            <w:r>
              <w:rPr>
                <w:sz w:val="21"/>
              </w:rPr>
              <w:t xml:space="preserve"> 80%</w:t>
            </w:r>
            <w:r>
              <w:rPr>
                <w:sz w:val="21"/>
              </w:rPr>
              <w:t>）</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67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快速充电功能</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支持快速充电功能，</w:t>
            </w:r>
            <w:r>
              <w:rPr>
                <w:sz w:val="21"/>
              </w:rPr>
              <w:t>USB PD</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68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电池安全要求</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符合</w:t>
            </w:r>
            <w:r>
              <w:rPr>
                <w:sz w:val="21"/>
              </w:rPr>
              <w:t>GB 31241</w:t>
            </w:r>
            <w:r>
              <w:rPr>
                <w:sz w:val="21"/>
              </w:rPr>
              <w:t>的规定</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69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w:t>
            </w:r>
            <w:r>
              <w:rPr>
                <w:sz w:val="21"/>
              </w:rPr>
              <w:t>性能</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CPU</w:t>
            </w:r>
            <w:r>
              <w:rPr>
                <w:sz w:val="21"/>
              </w:rPr>
              <w:t>物理核数</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8</w:t>
            </w:r>
            <w:r>
              <w:rPr>
                <w:sz w:val="21"/>
              </w:rPr>
              <w:t>核</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70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CPU</w:t>
            </w:r>
            <w:r>
              <w:rPr>
                <w:sz w:val="21"/>
              </w:rPr>
              <w:t>主频</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2.3GHz</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71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CPU </w:t>
            </w:r>
            <w:r>
              <w:rPr>
                <w:sz w:val="21"/>
              </w:rPr>
              <w:t>末级缓存容量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16MB</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72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CPU </w:t>
            </w:r>
            <w:r>
              <w:rPr>
                <w:sz w:val="21"/>
              </w:rPr>
              <w:t>支持的内存最高速率</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2933MT/s</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73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内存性能</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内存读写速率</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2933MT/s</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74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显卡性能</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显示分辨率</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1920x1200</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75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显卡显示芯片核心频率</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1000MHz</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76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显存等效频率</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4000MT/s</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77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显卡可支持多屏同时显示数量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支持不少于</w:t>
            </w:r>
            <w:r>
              <w:rPr>
                <w:sz w:val="21"/>
              </w:rPr>
              <w:t>2</w:t>
            </w:r>
            <w:r>
              <w:rPr>
                <w:sz w:val="21"/>
              </w:rPr>
              <w:t>块屏幕同时显示，分辨率应不低于</w:t>
            </w:r>
            <w:r>
              <w:rPr>
                <w:sz w:val="21"/>
              </w:rPr>
              <w:t>1920x1200@60Hz</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78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显示设备性能</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显示屏刷新率</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60Hz</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79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显示屏位深</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8</w:t>
            </w:r>
            <w:r>
              <w:rPr>
                <w:sz w:val="21"/>
              </w:rPr>
              <w:t>位</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80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显示屏色域</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99% sRGB</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81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显示屏色准</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 xml:space="preserve">E </w:t>
            </w:r>
            <w:r>
              <w:rPr>
                <w:sz w:val="21"/>
              </w:rPr>
              <w:t>≤</w:t>
            </w:r>
            <w:r>
              <w:rPr>
                <w:sz w:val="21"/>
              </w:rPr>
              <w:t xml:space="preserve"> 4</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82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显示屏响应时间</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30ms</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83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显示屏亮度</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250</w:t>
            </w:r>
            <w:r>
              <w:rPr>
                <w:sz w:val="21"/>
              </w:rPr>
              <w:t>尼特</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84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显示屏亮度一致性</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70%</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85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显示屏对比度</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1500</w:t>
            </w:r>
            <w:r>
              <w:rPr>
                <w:sz w:val="21"/>
              </w:rPr>
              <w:t>：</w:t>
            </w:r>
            <w:r>
              <w:rPr>
                <w:sz w:val="21"/>
              </w:rPr>
              <w:t xml:space="preserve"> 1</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86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显示屏其他参数</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其它参数应符合</w:t>
            </w:r>
            <w:r>
              <w:rPr>
                <w:sz w:val="21"/>
              </w:rPr>
              <w:t>SJ/T 11292</w:t>
            </w:r>
            <w:r>
              <w:rPr>
                <w:sz w:val="21"/>
              </w:rPr>
              <w:t>的相关规定</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87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网络设备性能</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有线网卡速率</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最高速率应不低于</w:t>
            </w:r>
            <w:r>
              <w:rPr>
                <w:sz w:val="21"/>
              </w:rPr>
              <w:t>1000Mbps,</w:t>
            </w:r>
            <w:r>
              <w:rPr>
                <w:sz w:val="21"/>
              </w:rPr>
              <w:t>应支持</w:t>
            </w:r>
            <w:r>
              <w:rPr>
                <w:sz w:val="21"/>
              </w:rPr>
              <w:t>10Mbps</w:t>
            </w:r>
            <w:r>
              <w:rPr>
                <w:sz w:val="21"/>
              </w:rPr>
              <w:t>、</w:t>
            </w:r>
            <w:r>
              <w:rPr>
                <w:sz w:val="21"/>
              </w:rPr>
              <w:t>100Mbps</w:t>
            </w:r>
            <w:r>
              <w:rPr>
                <w:sz w:val="21"/>
              </w:rPr>
              <w:t>、</w:t>
            </w:r>
            <w:r>
              <w:rPr>
                <w:sz w:val="21"/>
              </w:rPr>
              <w:t>1000Mbps</w:t>
            </w:r>
            <w:r>
              <w:rPr>
                <w:sz w:val="21"/>
              </w:rPr>
              <w:t>速率自适应</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88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支持无线网络通信技术协议</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w:t>
            </w:r>
            <w:r>
              <w:rPr>
                <w:sz w:val="21"/>
              </w:rPr>
              <w:t>WiFi5.0</w:t>
            </w:r>
            <w:r>
              <w:rPr>
                <w:sz w:val="21"/>
              </w:rPr>
              <w:t>及以上协议</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89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无线网卡频宽</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20MHz</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90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电源适配器性能</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电源适配器电源效率</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在</w:t>
            </w:r>
            <w:r>
              <w:rPr>
                <w:sz w:val="21"/>
              </w:rPr>
              <w:t>20%/50%/100%</w:t>
            </w:r>
            <w:r>
              <w:rPr>
                <w:sz w:val="21"/>
              </w:rPr>
              <w:t>负载下效率均应不低于</w:t>
            </w:r>
            <w:r>
              <w:rPr>
                <w:sz w:val="21"/>
              </w:rPr>
              <w:t>87%</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91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待机性能</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满载待机性能（</w:t>
            </w:r>
            <w:r>
              <w:rPr>
                <w:sz w:val="21"/>
              </w:rPr>
              <w:t>LTP</w:t>
            </w:r>
            <w:r>
              <w:rPr>
                <w:sz w:val="21"/>
              </w:rPr>
              <w:t>）</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 xml:space="preserve">1.5 </w:t>
            </w:r>
            <w:r>
              <w:rPr>
                <w:sz w:val="21"/>
              </w:rPr>
              <w:t>小时</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92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主板功能</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内存扩展接口</w:t>
            </w:r>
            <w:r>
              <w:rPr>
                <w:sz w:val="21"/>
              </w:rPr>
              <w:t>(</w:t>
            </w:r>
            <w:r>
              <w:rPr>
                <w:sz w:val="21"/>
              </w:rPr>
              <w:t>板载内存不涉及</w:t>
            </w:r>
            <w:r>
              <w:rPr>
                <w:sz w:val="21"/>
              </w:rPr>
              <w:t>)</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93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主板</w:t>
            </w:r>
            <w:r>
              <w:rPr>
                <w:sz w:val="21"/>
              </w:rPr>
              <w:t>USB</w:t>
            </w:r>
            <w:r>
              <w:rPr>
                <w:sz w:val="21"/>
              </w:rPr>
              <w:t>瞬间过流保护</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支持瞬间过流保护功能</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94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主板防静电保护</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支持防静电保护功能</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95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I/O</w:t>
            </w:r>
            <w:r>
              <w:rPr>
                <w:sz w:val="21"/>
              </w:rPr>
              <w:t>接口功能</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内置或通过扩展坞支持数据传输接口、视频接口、音频接口、网络接口、电源接口等各类标准接口产品应集成键盘、触控板输入部件，同时应具备接入键盘、鼠标、写字板等外设的能力，宜支持触摸屏、语音交互、手写笔等人机交互功能</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96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显卡功能</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显卡外接显示接口</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显卡支持</w:t>
            </w:r>
            <w:r>
              <w:rPr>
                <w:sz w:val="21"/>
              </w:rPr>
              <w:t>HDMI</w:t>
            </w:r>
            <w:r>
              <w:rPr>
                <w:sz w:val="21"/>
              </w:rPr>
              <w:t>显示接口</w:t>
            </w:r>
            <w:r>
              <w:rPr>
                <w:sz w:val="21"/>
              </w:rPr>
              <w:t xml:space="preserve">, </w:t>
            </w:r>
            <w:r>
              <w:rPr>
                <w:sz w:val="21"/>
              </w:rPr>
              <w:t>并与显示器接口相匹配</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97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显示功能</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支持显示屏，同时应支持外接显示器。显示屏和外接显示器应支持多屏同时显示，显示模式应支持复制模式和扩展模式</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98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外设功能</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光驱功能</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本次采购不作要求</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99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non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摄像头物理隐私保护开关</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支持物理隐私保护开关</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100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存储功能</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存储功能</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支持信息存储功能，包括支持易失性存储功能和非易失性存储功能。为提升存储性能和降低存储功耗，非易失性存储宜支持固态存储设备，如</w:t>
            </w:r>
            <w:r>
              <w:rPr>
                <w:sz w:val="21"/>
              </w:rPr>
              <w:t xml:space="preserve"> SSD/UFS</w:t>
            </w:r>
            <w:r>
              <w:rPr>
                <w:sz w:val="21"/>
              </w:rPr>
              <w:t>。</w:t>
            </w:r>
          </w:p>
          <w:p>
            <w:pPr>
              <w:pStyle w:val="null3"/>
            </w:pPr>
            <w:r>
              <w:rPr>
                <w:sz w:val="21"/>
              </w:rPr>
              <w:t>产品应支持外出接口可以与独立的存储设备进行数据交互</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101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网络设备功能</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网络功能</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a)</w:t>
            </w:r>
            <w:r>
              <w:rPr>
                <w:sz w:val="21"/>
              </w:rPr>
              <w:t>支持网络连接、网络开启</w:t>
            </w:r>
            <w:r>
              <w:rPr>
                <w:sz w:val="21"/>
              </w:rPr>
              <w:t>/</w:t>
            </w:r>
            <w:r>
              <w:rPr>
                <w:sz w:val="21"/>
              </w:rPr>
              <w:t>关闭功能；</w:t>
            </w:r>
          </w:p>
          <w:p>
            <w:pPr>
              <w:pStyle w:val="null3"/>
            </w:pPr>
            <w:r>
              <w:rPr>
                <w:sz w:val="21"/>
              </w:rPr>
              <w:t>b)</w:t>
            </w:r>
            <w:r>
              <w:rPr>
                <w:sz w:val="21"/>
              </w:rPr>
              <w:t>支持访问网络和数据交换功能</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102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singl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无线网卡频段</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w:t>
            </w:r>
            <w:r>
              <w:rPr>
                <w:sz w:val="21"/>
              </w:rPr>
              <w:t>2.4GHz</w:t>
            </w:r>
            <w:r>
              <w:rPr>
                <w:sz w:val="21"/>
              </w:rPr>
              <w:t>、</w:t>
            </w:r>
            <w:r>
              <w:rPr>
                <w:sz w:val="21"/>
              </w:rPr>
              <w:t>5GHz</w:t>
            </w:r>
            <w:r>
              <w:rPr>
                <w:sz w:val="21"/>
              </w:rPr>
              <w:t>双频段</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103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singl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数据传输</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支持数据传输能力，并提供数据流量和异常日志记录功能</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104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singl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物理开关</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支持网络设备物理开关</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105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singl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蓝牙协议</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支持蓝牙模块，蓝牙协议不低于</w:t>
            </w:r>
            <w:r>
              <w:rPr>
                <w:sz w:val="21"/>
              </w:rPr>
              <w:t>5.0</w:t>
            </w:r>
            <w:r>
              <w:rPr>
                <w:sz w:val="21"/>
              </w:rPr>
              <w:t>版本</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106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singl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有线网卡接口类型</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w:t>
            </w:r>
            <w:r>
              <w:rPr>
                <w:sz w:val="21"/>
              </w:rPr>
              <w:t xml:space="preserve">RJ45 </w:t>
            </w:r>
            <w:r>
              <w:rPr>
                <w:sz w:val="21"/>
              </w:rPr>
              <w:t>接口</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107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singl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无线网卡标准</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符合</w:t>
            </w:r>
            <w:r>
              <w:rPr>
                <w:sz w:val="21"/>
              </w:rPr>
              <w:t>GB15629.11</w:t>
            </w:r>
            <w:r>
              <w:rPr>
                <w:sz w:val="21"/>
              </w:rPr>
              <w:t>所有部分</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108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singl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网络设备拆装</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配备的网络设备应支持物理拆装，包括无线网卡和蓝牙模块等</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109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外部接口功能</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音频接口类型</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不少于</w:t>
            </w:r>
            <w:r>
              <w:rPr>
                <w:sz w:val="21"/>
              </w:rPr>
              <w:t>1</w:t>
            </w:r>
            <w:r>
              <w:rPr>
                <w:sz w:val="21"/>
              </w:rPr>
              <w:t>个，宜支持</w:t>
            </w:r>
            <w:r>
              <w:rPr>
                <w:sz w:val="21"/>
              </w:rPr>
              <w:t>3.5mm</w:t>
            </w:r>
            <w:r>
              <w:rPr>
                <w:sz w:val="21"/>
              </w:rPr>
              <w:t>孔径的</w:t>
            </w:r>
            <w:r>
              <w:rPr>
                <w:sz w:val="21"/>
              </w:rPr>
              <w:t>3</w:t>
            </w:r>
            <w:r>
              <w:rPr>
                <w:sz w:val="21"/>
              </w:rPr>
              <w:t>段式或</w:t>
            </w:r>
            <w:r>
              <w:rPr>
                <w:sz w:val="21"/>
              </w:rPr>
              <w:t>4</w:t>
            </w:r>
            <w:r>
              <w:rPr>
                <w:sz w:val="21"/>
              </w:rPr>
              <w:t>段式接口。若支持</w:t>
            </w:r>
            <w:r>
              <w:rPr>
                <w:sz w:val="21"/>
              </w:rPr>
              <w:t>4</w:t>
            </w:r>
            <w:r>
              <w:rPr>
                <w:sz w:val="21"/>
              </w:rPr>
              <w:t>段式接口，宜支持线序的自动识别及切换功能</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110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non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视频接口类型</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至少支持</w:t>
            </w:r>
            <w:r>
              <w:rPr>
                <w:sz w:val="21"/>
              </w:rPr>
              <w:t>VGA</w:t>
            </w:r>
            <w:r>
              <w:rPr>
                <w:sz w:val="21"/>
              </w:rPr>
              <w:t>、</w:t>
            </w:r>
            <w:r>
              <w:rPr>
                <w:sz w:val="21"/>
              </w:rPr>
              <w:t>HDMI</w:t>
            </w:r>
            <w:r>
              <w:rPr>
                <w:sz w:val="21"/>
              </w:rPr>
              <w:t>、</w:t>
            </w:r>
            <w:r>
              <w:rPr>
                <w:sz w:val="21"/>
              </w:rPr>
              <w:t>DVI</w:t>
            </w:r>
            <w:r>
              <w:rPr>
                <w:sz w:val="21"/>
              </w:rPr>
              <w:t>、</w:t>
            </w:r>
            <w:r>
              <w:rPr>
                <w:sz w:val="21"/>
              </w:rPr>
              <w:t>DP</w:t>
            </w:r>
            <w:r>
              <w:rPr>
                <w:sz w:val="21"/>
              </w:rPr>
              <w:t>、</w:t>
            </w:r>
            <w:r>
              <w:rPr>
                <w:sz w:val="21"/>
              </w:rPr>
              <w:t>Type-C</w:t>
            </w:r>
            <w:r>
              <w:rPr>
                <w:sz w:val="21"/>
              </w:rPr>
              <w:t>中</w:t>
            </w:r>
            <w:r>
              <w:rPr>
                <w:sz w:val="21"/>
              </w:rPr>
              <w:t>1</w:t>
            </w:r>
            <w:r>
              <w:rPr>
                <w:sz w:val="21"/>
              </w:rPr>
              <w:t>种显示接口</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111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non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HDMI</w:t>
            </w:r>
            <w:r>
              <w:rPr>
                <w:sz w:val="21"/>
              </w:rPr>
              <w:t>、</w:t>
            </w:r>
            <w:r>
              <w:rPr>
                <w:sz w:val="21"/>
              </w:rPr>
              <w:t>DP</w:t>
            </w:r>
            <w:r>
              <w:rPr>
                <w:sz w:val="21"/>
              </w:rPr>
              <w:t>、</w:t>
            </w:r>
            <w:r>
              <w:rPr>
                <w:sz w:val="21"/>
              </w:rPr>
              <w:t>Type-C</w:t>
            </w:r>
            <w:r>
              <w:rPr>
                <w:sz w:val="21"/>
              </w:rPr>
              <w:t>显示接口要求</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若提供</w:t>
            </w:r>
            <w:r>
              <w:rPr>
                <w:sz w:val="21"/>
              </w:rPr>
              <w:t xml:space="preserve">HDMI </w:t>
            </w:r>
            <w:r>
              <w:rPr>
                <w:sz w:val="21"/>
              </w:rPr>
              <w:t>或</w:t>
            </w:r>
            <w:r>
              <w:rPr>
                <w:sz w:val="21"/>
              </w:rPr>
              <w:t xml:space="preserve">DP </w:t>
            </w:r>
            <w:r>
              <w:rPr>
                <w:sz w:val="21"/>
              </w:rPr>
              <w:t>或</w:t>
            </w:r>
            <w:r>
              <w:rPr>
                <w:sz w:val="21"/>
              </w:rPr>
              <w:t xml:space="preserve">Type-C </w:t>
            </w:r>
            <w:r>
              <w:rPr>
                <w:sz w:val="21"/>
              </w:rPr>
              <w:t>作为显示接口，</w:t>
            </w:r>
            <w:r>
              <w:rPr>
                <w:sz w:val="21"/>
              </w:rPr>
              <w:t>应支持音频和视频同步输出</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112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non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输入充电接口类型</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DC in</w:t>
            </w:r>
            <w:r>
              <w:rPr>
                <w:sz w:val="21"/>
              </w:rPr>
              <w:t>或</w:t>
            </w:r>
            <w:r>
              <w:rPr>
                <w:sz w:val="21"/>
              </w:rPr>
              <w:t xml:space="preserve"> Type-C</w:t>
            </w:r>
            <w:r>
              <w:rPr>
                <w:sz w:val="21"/>
              </w:rPr>
              <w:t>接口</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113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电源功能</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电源线适配能力</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符合</w:t>
            </w:r>
            <w:r>
              <w:rPr>
                <w:sz w:val="21"/>
              </w:rPr>
              <w:t>GB 15934-2008</w:t>
            </w:r>
          </w:p>
          <w:p>
            <w:pPr>
              <w:pStyle w:val="null3"/>
            </w:pPr>
            <w:r>
              <w:rPr>
                <w:sz w:val="21"/>
              </w:rPr>
              <w:t>对于可拆线插头</w:t>
            </w:r>
            <w:r>
              <w:rPr>
                <w:sz w:val="21"/>
              </w:rPr>
              <w:t>GB15934</w:t>
            </w:r>
            <w:r>
              <w:rPr>
                <w:sz w:val="21"/>
              </w:rPr>
              <w:t>不做要求</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114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操作系统及软件功能</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中文信息处理要求</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符合</w:t>
            </w:r>
            <w:r>
              <w:rPr>
                <w:sz w:val="21"/>
              </w:rPr>
              <w:t>GB 18030</w:t>
            </w:r>
            <w:r>
              <w:rPr>
                <w:sz w:val="21"/>
              </w:rPr>
              <w:t>的相关规定</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115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操作系统备份及还原功能</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支持操作系统备份及还原功能</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116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固件备份还原能力</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支持备份及还原固件的功能</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117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操作系统及驱动升级</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支持通过网络、闪存盘等方式对操作系统、驱动进行升级</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118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BIOS </w:t>
            </w:r>
            <w:r>
              <w:rPr>
                <w:sz w:val="21"/>
              </w:rPr>
              <w:t>支持关闭通讯接口</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w:t>
            </w:r>
            <w:r>
              <w:rPr>
                <w:sz w:val="21"/>
              </w:rPr>
              <w:t>BIOS</w:t>
            </w:r>
            <w:r>
              <w:rPr>
                <w:sz w:val="21"/>
              </w:rPr>
              <w:t>关闭以太网及</w:t>
            </w:r>
            <w:r>
              <w:rPr>
                <w:sz w:val="21"/>
              </w:rPr>
              <w:t>USB</w:t>
            </w:r>
            <w:r>
              <w:rPr>
                <w:sz w:val="21"/>
              </w:rPr>
              <w:t>接口功能</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119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固件查看信息</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支持查看固件版本、内存信息、主板信息、处理器信息和系统时间信息等功能</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120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固件设置启动顺序</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支持设置启动顺序功能，并按照设置的启动顺序启动</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121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固件设置口令</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支持设置口令、修改口令、验证口令功能</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122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固件设置网络引导</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支持网络引导启动和关闭功能</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123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生物识别功能生物识别功能</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指纹识别</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支持指纹识别模块，指纹识别功能符合</w:t>
            </w:r>
            <w:r>
              <w:rPr>
                <w:sz w:val="21"/>
              </w:rPr>
              <w:t xml:space="preserve"> GB/T 37742 </w:t>
            </w:r>
            <w:r>
              <w:rPr>
                <w:sz w:val="21"/>
              </w:rPr>
              <w:t>的相</w:t>
            </w:r>
            <w:r>
              <w:rPr>
                <w:sz w:val="21"/>
              </w:rPr>
              <w:t>关规定</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124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可靠性要求</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存储设备可靠性</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固态存储寿命</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TBW </w:t>
            </w:r>
            <w:r>
              <w:rPr>
                <w:sz w:val="21"/>
              </w:rPr>
              <w:t>≥</w:t>
            </w:r>
            <w:r>
              <w:rPr>
                <w:sz w:val="21"/>
              </w:rPr>
              <w:t>80TB</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125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可靠性要求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机械硬盘寿命</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通电时间≥</w:t>
            </w:r>
            <w:r>
              <w:rPr>
                <w:sz w:val="21"/>
              </w:rPr>
              <w:t>5</w:t>
            </w:r>
            <w:r>
              <w:rPr>
                <w:sz w:val="21"/>
              </w:rPr>
              <w:t>万小时</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126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可靠性要求</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显示设备可靠性</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显示屏屏幕失效点</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符合</w:t>
            </w:r>
            <w:r>
              <w:rPr>
                <w:sz w:val="21"/>
              </w:rPr>
              <w:t>GB/T 9813.2</w:t>
            </w:r>
            <w:r>
              <w:rPr>
                <w:sz w:val="21"/>
              </w:rPr>
              <w:t>的要求</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127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可靠性要求</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外设可靠性</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键盘按键寿命</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1000</w:t>
            </w:r>
            <w:r>
              <w:rPr>
                <w:sz w:val="21"/>
              </w:rPr>
              <w:t>万次</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128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可靠性要求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鼠标按键寿命</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500</w:t>
            </w:r>
            <w:r>
              <w:rPr>
                <w:sz w:val="21"/>
              </w:rPr>
              <w:t>万次</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129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可靠性要求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键盘鼠标线材寿命</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键盘鼠标所用线材经±</w:t>
            </w:r>
            <w:r>
              <w:rPr>
                <w:sz w:val="21"/>
              </w:rPr>
              <w:t>60</w:t>
            </w:r>
            <w:r>
              <w:rPr>
                <w:sz w:val="21"/>
              </w:rPr>
              <w:t>°弯折不低于</w:t>
            </w:r>
            <w:r>
              <w:rPr>
                <w:sz w:val="21"/>
              </w:rPr>
              <w:t>3000</w:t>
            </w:r>
            <w:r>
              <w:rPr>
                <w:sz w:val="21"/>
              </w:rPr>
              <w:t>次，功能、外观完好</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130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可靠性要求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风扇寿命</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4</w:t>
            </w:r>
            <w:r>
              <w:rPr>
                <w:sz w:val="21"/>
              </w:rPr>
              <w:t>万小时</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131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可靠性要求</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整机可靠</w:t>
            </w:r>
          </w:p>
          <w:p>
            <w:pPr>
              <w:pStyle w:val="null3"/>
              <w:jc w:val="center"/>
            </w:pPr>
            <w:r>
              <w:rPr>
                <w:sz w:val="21"/>
              </w:rPr>
              <w:t>性要求</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电磁兼容性要求的抗扰度</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符合</w:t>
            </w:r>
            <w:r>
              <w:rPr>
                <w:sz w:val="21"/>
              </w:rPr>
              <w:t>GB/T9254.2</w:t>
            </w:r>
            <w:r>
              <w:rPr>
                <w:sz w:val="21"/>
              </w:rPr>
              <w:t>的规定</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132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可靠性要求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环境条件要求的气候环境适应性</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符合</w:t>
            </w:r>
            <w:r>
              <w:rPr>
                <w:sz w:val="21"/>
              </w:rPr>
              <w:t>GB/T9813.2</w:t>
            </w:r>
            <w:r>
              <w:rPr>
                <w:sz w:val="21"/>
              </w:rPr>
              <w:t>中规定</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133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可靠性要求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环境条件要求的振动适应性</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符合</w:t>
            </w:r>
            <w:r>
              <w:rPr>
                <w:sz w:val="21"/>
              </w:rPr>
              <w:t>GB/T9813.2</w:t>
            </w:r>
            <w:r>
              <w:rPr>
                <w:sz w:val="21"/>
              </w:rPr>
              <w:t>中规定</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134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可靠性要求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环境条件要求的冲击适应性</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符合</w:t>
            </w:r>
            <w:r>
              <w:rPr>
                <w:sz w:val="21"/>
              </w:rPr>
              <w:t>GB/T9813.2</w:t>
            </w:r>
            <w:r>
              <w:rPr>
                <w:sz w:val="21"/>
              </w:rPr>
              <w:t>中规定</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135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可靠性要求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环境条件要求的碰撞适应性</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符合</w:t>
            </w:r>
            <w:r>
              <w:rPr>
                <w:sz w:val="21"/>
              </w:rPr>
              <w:t>GB/T9813.2</w:t>
            </w:r>
            <w:r>
              <w:rPr>
                <w:sz w:val="21"/>
              </w:rPr>
              <w:t>中规定</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136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可靠性要求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环境条件要求的运输包装件跌落适应性</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符合</w:t>
            </w:r>
            <w:r>
              <w:rPr>
                <w:sz w:val="21"/>
              </w:rPr>
              <w:t>GB/T9813.2</w:t>
            </w:r>
            <w:r>
              <w:rPr>
                <w:sz w:val="21"/>
              </w:rPr>
              <w:t>中规定</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137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可靠性要求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MTBF </w:t>
            </w:r>
            <w:r>
              <w:rPr>
                <w:sz w:val="21"/>
              </w:rPr>
              <w:t>测试</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MTBF(m1)</w:t>
            </w:r>
            <w:r>
              <w:rPr>
                <w:sz w:val="21"/>
              </w:rPr>
              <w:t>≥</w:t>
            </w:r>
            <w:r>
              <w:rPr>
                <w:sz w:val="21"/>
              </w:rPr>
              <w:t>20</w:t>
            </w:r>
            <w:r>
              <w:rPr>
                <w:sz w:val="21"/>
              </w:rPr>
              <w:t>万小时</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138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兼容要求</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兼容要求</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常用软件兼容</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支持流式软件、版式软件、浏览器、邮件客户端、解压软件、多媒体、图形图像处理等常用软件</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139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兼容要求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数据库兼容</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兼容</w:t>
            </w:r>
            <w:r>
              <w:rPr>
                <w:sz w:val="21"/>
              </w:rPr>
              <w:t>3</w:t>
            </w:r>
            <w:r>
              <w:rPr>
                <w:sz w:val="21"/>
              </w:rPr>
              <w:t>个及以上厂商的数据库产品</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140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兼容要求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中间件兼容</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兼容</w:t>
            </w:r>
            <w:r>
              <w:rPr>
                <w:sz w:val="21"/>
              </w:rPr>
              <w:t>3</w:t>
            </w:r>
            <w:r>
              <w:rPr>
                <w:sz w:val="21"/>
              </w:rPr>
              <w:t>个及以上厂商中间件产品</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141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兼容要求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平台软件兼容</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兼容</w:t>
            </w:r>
            <w:r>
              <w:rPr>
                <w:sz w:val="21"/>
              </w:rPr>
              <w:t>3</w:t>
            </w:r>
            <w:r>
              <w:rPr>
                <w:sz w:val="21"/>
              </w:rPr>
              <w:t>个及以上厂商云计算及大数据平台</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142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包装及运输要求</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包装及运</w:t>
            </w:r>
          </w:p>
          <w:p>
            <w:pPr>
              <w:pStyle w:val="null3"/>
              <w:jc w:val="center"/>
            </w:pPr>
            <w:r>
              <w:rPr>
                <w:sz w:val="21"/>
              </w:rPr>
              <w:t>输要求</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标志、包装、运输和贮存</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符合</w:t>
            </w:r>
            <w:r>
              <w:rPr>
                <w:sz w:val="21"/>
              </w:rPr>
              <w:t xml:space="preserve"> GB/T9813.2</w:t>
            </w:r>
            <w:r>
              <w:rPr>
                <w:sz w:val="21"/>
              </w:rPr>
              <w:t>和商品包装政府采购需求标准的相关规定</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143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671"/>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配置检查工具</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提供自检测试工具</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144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671"/>
            <w:vMerge/>
            <w:tcBorders>
              <w:top w:val="non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服务响应</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a)</w:t>
            </w:r>
            <w:r>
              <w:rPr>
                <w:sz w:val="21"/>
              </w:rPr>
              <w:t>供应商提供电话、电子邮件、远程连接等多种形式政企专线</w:t>
            </w:r>
            <w:r>
              <w:rPr>
                <w:sz w:val="21"/>
              </w:rPr>
              <w:t xml:space="preserve"> 7*24 </w:t>
            </w:r>
            <w:r>
              <w:rPr>
                <w:sz w:val="21"/>
              </w:rPr>
              <w:t>在线服务；</w:t>
            </w:r>
          </w:p>
          <w:p>
            <w:pPr>
              <w:pStyle w:val="null3"/>
            </w:pPr>
            <w:r>
              <w:rPr>
                <w:sz w:val="21"/>
              </w:rPr>
              <w:t>b)</w:t>
            </w:r>
            <w:r>
              <w:rPr>
                <w:sz w:val="21"/>
              </w:rPr>
              <w:t>供应商提供同城</w:t>
            </w:r>
            <w:r>
              <w:rPr>
                <w:sz w:val="21"/>
              </w:rPr>
              <w:t>4h</w:t>
            </w:r>
            <w:r>
              <w:rPr>
                <w:sz w:val="21"/>
              </w:rPr>
              <w:t>、异地</w:t>
            </w:r>
            <w:r>
              <w:rPr>
                <w:sz w:val="21"/>
              </w:rPr>
              <w:t xml:space="preserve">12h </w:t>
            </w:r>
            <w:r>
              <w:rPr>
                <w:sz w:val="21"/>
              </w:rPr>
              <w:t>技术响应服务，</w:t>
            </w:r>
            <w:r>
              <w:rPr>
                <w:sz w:val="21"/>
              </w:rPr>
              <w:t xml:space="preserve">2 </w:t>
            </w:r>
            <w:r>
              <w:rPr>
                <w:sz w:val="21"/>
              </w:rPr>
              <w:t>个工作日解决问题，对于未能解决的问题和故障应提供可行的升级方案，并提供周转设备或更换设备；</w:t>
            </w:r>
          </w:p>
          <w:p>
            <w:pPr>
              <w:pStyle w:val="null3"/>
            </w:pPr>
            <w:r>
              <w:rPr>
                <w:sz w:val="21"/>
              </w:rPr>
              <w:t>c)</w:t>
            </w:r>
            <w:r>
              <w:rPr>
                <w:sz w:val="21"/>
              </w:rPr>
              <w:t>建立全国技术服务体系和服务团体，符合专业服务体系标准要求，提供原厂中文服务；</w:t>
            </w:r>
          </w:p>
          <w:p>
            <w:pPr>
              <w:pStyle w:val="null3"/>
            </w:pPr>
            <w:r>
              <w:rPr>
                <w:sz w:val="21"/>
              </w:rPr>
              <w:t>d)</w:t>
            </w:r>
            <w:r>
              <w:rPr>
                <w:sz w:val="21"/>
              </w:rPr>
              <w:t>服务周期内提供产品的维修、换件和升级服务</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145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671"/>
            <w:vMerge/>
            <w:tcBorders>
              <w:top w:val="non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服务周期</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支持产品延保≥</w:t>
            </w:r>
            <w:r>
              <w:rPr>
                <w:sz w:val="21"/>
              </w:rPr>
              <w:t>3</w:t>
            </w:r>
            <w:r>
              <w:rPr>
                <w:sz w:val="21"/>
              </w:rPr>
              <w:t>年。</w:t>
            </w:r>
          </w:p>
          <w:p>
            <w:pPr>
              <w:pStyle w:val="null3"/>
            </w:pPr>
            <w:r>
              <w:rPr>
                <w:sz w:val="21"/>
              </w:rPr>
              <w:t>提供每年延保服务报价。</w:t>
            </w:r>
          </w:p>
          <w:p>
            <w:pPr>
              <w:pStyle w:val="null3"/>
            </w:pPr>
            <w:r>
              <w:rPr>
                <w:sz w:val="21"/>
              </w:rPr>
              <w:t>提供备件服务能力≥</w:t>
            </w:r>
            <w:r>
              <w:rPr>
                <w:sz w:val="21"/>
              </w:rPr>
              <w:t>6</w:t>
            </w:r>
            <w:r>
              <w:rPr>
                <w:sz w:val="21"/>
              </w:rPr>
              <w:t>年（自购买之日起）。</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146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671"/>
            <w:vMerge/>
            <w:tcBorders>
              <w:top w:val="non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预装操作系统</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预装符合桌面操作系统政府采购需求标准的正版统信</w:t>
            </w:r>
            <w:r>
              <w:rPr>
                <w:sz w:val="21"/>
              </w:rPr>
              <w:t>UOS V20</w:t>
            </w:r>
            <w:r>
              <w:rPr>
                <w:sz w:val="21"/>
              </w:rPr>
              <w:t>操作系统，并提供不小于一年升级服务。</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147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671"/>
            <w:vMerge/>
            <w:tcBorders>
              <w:top w:val="non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培训服务</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供应商提供培训材料、产品手册、培训视频等培训相关内容</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148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671"/>
            <w:vMerge/>
            <w:tcBorders>
              <w:top w:val="non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典型问题解决手册</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供应商提供典型问题解决说明文档或视频</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149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671"/>
            <w:vMerge/>
            <w:tcBorders>
              <w:top w:val="non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厂家升级软件与扩容服务</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供应商提供上门升级部件</w:t>
            </w:r>
            <w:r>
              <w:rPr>
                <w:sz w:val="21"/>
              </w:rPr>
              <w:t>/</w:t>
            </w:r>
            <w:r>
              <w:rPr>
                <w:sz w:val="21"/>
              </w:rPr>
              <w:t>软件的增值服务</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150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671"/>
            <w:vMerge/>
            <w:tcBorders>
              <w:top w:val="non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整机质量服务要求</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免费服务周期（含换件和维修）≥</w:t>
            </w:r>
            <w:r>
              <w:rPr>
                <w:sz w:val="21"/>
              </w:rPr>
              <w:t>3</w:t>
            </w:r>
            <w:r>
              <w:rPr>
                <w:sz w:val="21"/>
              </w:rPr>
              <w:t>年，免费服务周期内硬盘损坏更换免回收</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151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671"/>
            <w:vMerge/>
            <w:tcBorders>
              <w:top w:val="non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合格证书要求</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供应商提供产品合格证</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152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671"/>
            <w:vMerge/>
            <w:tcBorders>
              <w:top w:val="non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开箱组装</w:t>
            </w:r>
            <w:r>
              <w:rPr>
                <w:sz w:val="21"/>
              </w:rPr>
              <w:t>/</w:t>
            </w:r>
            <w:r>
              <w:rPr>
                <w:sz w:val="21"/>
              </w:rPr>
              <w:t>使用指导要求</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供应商提供开箱组装</w:t>
            </w:r>
            <w:r>
              <w:rPr>
                <w:sz w:val="21"/>
              </w:rPr>
              <w:t>/</w:t>
            </w:r>
            <w:r>
              <w:rPr>
                <w:sz w:val="21"/>
              </w:rPr>
              <w:t>使用指导</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153</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671"/>
            <w:vMerge/>
            <w:tcBorders>
              <w:top w:val="non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驱动下载服务要求</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供应商提供驱动光盘或下载方式</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154</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671"/>
            <w:vMerge/>
            <w:tcBorders>
              <w:top w:val="none" w:color="000000" w:sz="4"/>
              <w:left w:val="none" w:color="000000" w:sz="4"/>
              <w:bottom w:val="non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兼容适配软件下载服务要求</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供应商提供兼容适配软件下载渠道</w:t>
            </w:r>
            <w:r>
              <w:rPr>
                <w:sz w:val="21"/>
              </w:rPr>
              <w:t>(</w:t>
            </w:r>
            <w:r>
              <w:rPr>
                <w:sz w:val="21"/>
              </w:rPr>
              <w:t>光盘、网站</w:t>
            </w:r>
            <w:r>
              <w:rPr>
                <w:sz w:val="21"/>
              </w:rPr>
              <w:t>)</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155</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供应保障要求</w:t>
            </w:r>
          </w:p>
        </w:tc>
        <w:tc>
          <w:tcPr>
            <w:tcW w:type="dxa" w:w="6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供应链合规性</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产品部件保障</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保障产品主要部件提供不少于</w:t>
            </w:r>
            <w:r>
              <w:rPr>
                <w:sz w:val="21"/>
              </w:rPr>
              <w:t>6</w:t>
            </w:r>
            <w:r>
              <w:rPr>
                <w:sz w:val="21"/>
              </w:rPr>
              <w:t>年的备件服务能力</w:t>
            </w:r>
            <w:r>
              <w:rPr>
                <w:sz w:val="21"/>
              </w:rPr>
              <w:t>(</w:t>
            </w:r>
            <w:r>
              <w:rPr>
                <w:sz w:val="21"/>
              </w:rPr>
              <w:t>自购买之日起</w:t>
            </w:r>
            <w:r>
              <w:rPr>
                <w:sz w:val="21"/>
              </w:rPr>
              <w:t>)</w:t>
            </w:r>
            <w:r>
              <w:rPr>
                <w:sz w:val="21"/>
              </w:rPr>
              <w:t>，或提供可兼容原设备的升级换代产品</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156</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供应保障要求</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供应链质量</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抗干扰性</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当产品部件出现供应风险时，供应商应通知采购人并提供风险应对方案确保产品的服务保障</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157</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供应保障要求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供应能力证明</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供应商提供供应链稳定承诺书，确保产品的部件在产品服务周期内稳定供货</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158</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安全要求</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关键部件安全要求</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关键部件安全要求</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CPU</w:t>
            </w:r>
            <w:r>
              <w:rPr>
                <w:sz w:val="21"/>
              </w:rPr>
              <w:t>和操作系统等关键部件应当符合安全可靠测评要求</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159</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安全要求</w:t>
            </w:r>
          </w:p>
        </w:tc>
        <w:tc>
          <w:tcPr>
            <w:tcW w:type="dxa" w:w="6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整机安全</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密码算法实现</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CPU</w:t>
            </w:r>
            <w:r>
              <w:rPr>
                <w:sz w:val="21"/>
              </w:rPr>
              <w:t>芯片应符合</w:t>
            </w:r>
            <w:r>
              <w:rPr>
                <w:sz w:val="21"/>
              </w:rPr>
              <w:t>GM/T 0008</w:t>
            </w:r>
            <w:r>
              <w:rPr>
                <w:sz w:val="21"/>
              </w:rPr>
              <w:t>的相关规定，或芯片密码模块应符合</w:t>
            </w:r>
            <w:r>
              <w:rPr>
                <w:sz w:val="21"/>
              </w:rPr>
              <w:t>GB/T 37092</w:t>
            </w:r>
            <w:r>
              <w:rPr>
                <w:sz w:val="21"/>
              </w:rPr>
              <w:t>或</w:t>
            </w:r>
            <w:r>
              <w:rPr>
                <w:sz w:val="21"/>
              </w:rPr>
              <w:t>GM/T 0028</w:t>
            </w:r>
            <w:r>
              <w:rPr>
                <w:sz w:val="21"/>
              </w:rPr>
              <w:t>的相关规定</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160</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信息安全基本要求</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a) </w:t>
            </w:r>
            <w:r>
              <w:rPr>
                <w:sz w:val="21"/>
              </w:rPr>
              <w:t>应符合</w:t>
            </w:r>
            <w:r>
              <w:rPr>
                <w:sz w:val="21"/>
              </w:rPr>
              <w:t>GB/T 39276</w:t>
            </w:r>
            <w:r>
              <w:rPr>
                <w:sz w:val="21"/>
              </w:rPr>
              <w:t>的</w:t>
            </w:r>
            <w:r>
              <w:rPr>
                <w:sz w:val="21"/>
              </w:rPr>
              <w:t>5.2</w:t>
            </w:r>
            <w:r>
              <w:rPr>
                <w:sz w:val="21"/>
              </w:rPr>
              <w:t>的规定；</w:t>
            </w:r>
          </w:p>
          <w:p>
            <w:pPr>
              <w:pStyle w:val="null3"/>
            </w:pPr>
            <w:r>
              <w:rPr>
                <w:sz w:val="21"/>
              </w:rPr>
              <w:t xml:space="preserve">b) </w:t>
            </w:r>
            <w:r>
              <w:rPr>
                <w:sz w:val="21"/>
              </w:rPr>
              <w:t>生产厂商应建立漏洞跟踪表，</w:t>
            </w:r>
            <w:r>
              <w:rPr>
                <w:sz w:val="21"/>
              </w:rPr>
              <w:t>保证产品版本涉及到的漏洞</w:t>
            </w:r>
            <w:r>
              <w:rPr>
                <w:sz w:val="21"/>
              </w:rPr>
              <w:t>(</w:t>
            </w:r>
            <w:r>
              <w:rPr>
                <w:sz w:val="21"/>
              </w:rPr>
              <w:t>如驱动程序等</w:t>
            </w:r>
            <w:r>
              <w:rPr>
                <w:sz w:val="21"/>
              </w:rPr>
              <w:t>)</w:t>
            </w:r>
            <w:r>
              <w:rPr>
                <w:sz w:val="21"/>
              </w:rPr>
              <w:t>可查看；</w:t>
            </w:r>
          </w:p>
          <w:p>
            <w:pPr>
              <w:pStyle w:val="null3"/>
            </w:pPr>
            <w:r>
              <w:rPr>
                <w:sz w:val="21"/>
              </w:rPr>
              <w:t xml:space="preserve">c) </w:t>
            </w:r>
            <w:r>
              <w:rPr>
                <w:sz w:val="21"/>
              </w:rPr>
              <w:t>产品不得包含已知的恶意代码或漏洞，不存在未声明的指令、功能、接口</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161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固件安全启动</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支持固件安全启动功能，固件启动过程中只有通过启动校验才能正常启动</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C0C0C0" w:val="clear"/>
              </w:rPr>
              <w:t>162</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安全要求</w:t>
            </w:r>
          </w:p>
        </w:tc>
        <w:tc>
          <w:tcPr>
            <w:tcW w:type="dxa" w:w="671"/>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限用物质的限量要求</w:t>
            </w:r>
          </w:p>
        </w:tc>
        <w:tc>
          <w:tcPr>
            <w:tcW w:type="dxa" w:w="5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符合</w:t>
            </w:r>
            <w:r>
              <w:rPr>
                <w:sz w:val="21"/>
              </w:rPr>
              <w:t xml:space="preserve"> GB/T 26572 </w:t>
            </w:r>
            <w:r>
              <w:rPr>
                <w:sz w:val="21"/>
              </w:rPr>
              <w:t>中规定</w:t>
            </w:r>
          </w:p>
        </w:tc>
      </w:tr>
      <w:tr>
        <w:tc>
          <w:tcPr>
            <w:tcW w:type="dxa" w:w="830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“”条款说明：供应商在投标时出具关于所提供的“移动工作站”是否满足采购文件要求的承诺函（上述“”指标应逐项响应，可参照“格式”中承诺函》格式）。</w:t>
            </w:r>
          </w:p>
          <w:p>
            <w:pPr>
              <w:pStyle w:val="null3"/>
            </w:pPr>
            <w:r>
              <w:rPr>
                <w:sz w:val="21"/>
              </w:rPr>
              <w:t>提醒：供应商应实事求是响应本项目所列要求，如有虚假承诺，采购人将以供应商违反《中华人民共和国政府采购法》第七十七条</w:t>
            </w:r>
            <w:r>
              <w:rPr>
                <w:sz w:val="21"/>
                <w:shd w:fill="FFFFFF" w:val="clear"/>
              </w:rPr>
              <w:t>第一款规定“提供虚假材料谋取中标、成交的”情况</w:t>
            </w:r>
            <w:r>
              <w:rPr>
                <w:sz w:val="21"/>
              </w:rPr>
              <w:t>上报政府采购监管部门，供应商将被列入不良行为记录名单，在一至三年内禁止参加政府采购活动。</w:t>
            </w:r>
          </w:p>
        </w:tc>
      </w:tr>
    </w:tbl>
    <w:p>
      <w:pPr>
        <w:pStyle w:val="null3"/>
        <w:ind w:firstLine="420"/>
        <w:jc w:val="both"/>
      </w:pPr>
      <w:r>
        <w:rPr>
          <w:sz w:val="21"/>
        </w:rPr>
        <w:t>（</w:t>
      </w:r>
      <w:r>
        <w:rPr>
          <w:sz w:val="21"/>
        </w:rPr>
        <w:t>3</w:t>
      </w:r>
      <w:r>
        <w:rPr>
          <w:sz w:val="21"/>
        </w:rPr>
        <w:t>）服务器</w:t>
      </w:r>
    </w:p>
    <w:tbl>
      <w:tblPr>
        <w:tblW w:w="0" w:type="auto"/>
        <w:tblBorders>
          <w:top w:val="none" w:color="000000" w:sz="4"/>
          <w:left w:val="none" w:color="000000" w:sz="4"/>
          <w:bottom w:val="none" w:color="000000" w:sz="4"/>
          <w:right w:val="none" w:color="000000" w:sz="4"/>
          <w:insideH w:val="none"/>
          <w:insideV w:val="none"/>
        </w:tblBorders>
      </w:tblPr>
      <w:tblGrid>
        <w:gridCol w:w="424"/>
        <w:gridCol w:w="678"/>
        <w:gridCol w:w="763"/>
        <w:gridCol w:w="1526"/>
        <w:gridCol w:w="4916"/>
      </w:tblGrid>
      <w:tr>
        <w:tc>
          <w:tcPr>
            <w:tcW w:type="dxa" w:w="4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序号</w:t>
            </w:r>
          </w:p>
        </w:tc>
        <w:tc>
          <w:tcPr>
            <w:tcW w:type="dxa" w:w="6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指标分类</w:t>
            </w:r>
          </w:p>
        </w:tc>
        <w:tc>
          <w:tcPr>
            <w:tcW w:type="dxa" w:w="7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一级指标</w:t>
            </w:r>
          </w:p>
        </w:tc>
        <w:tc>
          <w:tcPr>
            <w:tcW w:type="dxa" w:w="15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二级指标</w:t>
            </w:r>
          </w:p>
        </w:tc>
        <w:tc>
          <w:tcPr>
            <w:tcW w:type="dxa" w:w="49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需求指标要求</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CPU</w:t>
            </w:r>
            <w:r>
              <w:rPr>
                <w:sz w:val="21"/>
              </w:rPr>
              <w:t>规格</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CPU</w:t>
            </w:r>
            <w:r>
              <w:rPr>
                <w:sz w:val="21"/>
              </w:rPr>
              <w:t>信息</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CPU</w:t>
            </w:r>
            <w:r>
              <w:rPr>
                <w:sz w:val="21"/>
              </w:rPr>
              <w:t>数量：≥</w:t>
            </w:r>
            <w:r>
              <w:rPr>
                <w:sz w:val="21"/>
              </w:rPr>
              <w:t>2</w:t>
            </w:r>
            <w:r>
              <w:rPr>
                <w:sz w:val="21"/>
              </w:rPr>
              <w:t>颗</w:t>
            </w:r>
          </w:p>
          <w:p>
            <w:pPr>
              <w:pStyle w:val="null3"/>
            </w:pPr>
            <w:r>
              <w:rPr>
                <w:sz w:val="21"/>
              </w:rPr>
              <w:t>处理器架构：兼容</w:t>
            </w:r>
            <w:r>
              <w:rPr>
                <w:sz w:val="21"/>
              </w:rPr>
              <w:t>X86</w:t>
            </w:r>
          </w:p>
          <w:p>
            <w:pPr>
              <w:pStyle w:val="null3"/>
            </w:pPr>
            <w:r>
              <w:rPr>
                <w:sz w:val="21"/>
              </w:rPr>
              <w:t>单颗处理器主频：≥</w:t>
            </w:r>
            <w:r>
              <w:rPr>
                <w:sz w:val="21"/>
              </w:rPr>
              <w:t>2.6GHz</w:t>
            </w:r>
          </w:p>
          <w:p>
            <w:pPr>
              <w:pStyle w:val="null3"/>
            </w:pPr>
            <w:r>
              <w:rPr>
                <w:sz w:val="21"/>
              </w:rPr>
              <w:t>物理核心数：≥</w:t>
            </w:r>
            <w:r>
              <w:rPr>
                <w:sz w:val="21"/>
              </w:rPr>
              <w:t>48</w:t>
            </w:r>
            <w:r>
              <w:rPr>
                <w:sz w:val="21"/>
              </w:rPr>
              <w:t>核</w:t>
            </w:r>
          </w:p>
          <w:p>
            <w:pPr>
              <w:pStyle w:val="null3"/>
            </w:pPr>
            <w:r>
              <w:rPr>
                <w:sz w:val="21"/>
              </w:rPr>
              <w:t>L3</w:t>
            </w:r>
            <w:r>
              <w:rPr>
                <w:sz w:val="21"/>
              </w:rPr>
              <w:t>缓存：≥</w:t>
            </w:r>
            <w:r>
              <w:rPr>
                <w:sz w:val="21"/>
              </w:rPr>
              <w:t xml:space="preserve">256MB </w:t>
            </w:r>
            <w:r>
              <w:rPr>
                <w:sz w:val="21"/>
              </w:rPr>
              <w:t>，支持超线程</w:t>
            </w:r>
          </w:p>
          <w:p>
            <w:pPr>
              <w:pStyle w:val="null3"/>
            </w:pPr>
            <w:r>
              <w:rPr>
                <w:sz w:val="21"/>
              </w:rPr>
              <w:t>支持内存最高</w:t>
            </w:r>
            <w:r>
              <w:rPr>
                <w:sz w:val="21"/>
              </w:rPr>
              <w:t>4800MHz</w:t>
            </w:r>
            <w:r>
              <w:rPr>
                <w:sz w:val="21"/>
              </w:rPr>
              <w:t>速率、内存通道数</w:t>
            </w:r>
            <w:r>
              <w:rPr>
                <w:sz w:val="21"/>
              </w:rPr>
              <w:t>12</w:t>
            </w:r>
            <w:r>
              <w:rPr>
                <w:sz w:val="21"/>
              </w:rPr>
              <w:t>、位宽</w:t>
            </w:r>
            <w:r>
              <w:rPr>
                <w:sz w:val="21"/>
              </w:rPr>
              <w:t>64bit</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7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主板规格</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主板支持的</w:t>
            </w:r>
            <w:r>
              <w:rPr>
                <w:sz w:val="21"/>
              </w:rPr>
              <w:t>CPU</w:t>
            </w:r>
            <w:r>
              <w:rPr>
                <w:sz w:val="21"/>
              </w:rPr>
              <w:t>和内存情况</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2</w:t>
            </w:r>
            <w:r>
              <w:rPr>
                <w:sz w:val="21"/>
              </w:rPr>
              <w:t>颗兼容</w:t>
            </w:r>
            <w:r>
              <w:rPr>
                <w:sz w:val="21"/>
              </w:rPr>
              <w:t>X86</w:t>
            </w:r>
            <w:r>
              <w:rPr>
                <w:sz w:val="21"/>
              </w:rPr>
              <w:t>架构处理器，支持内存</w:t>
            </w:r>
            <w:r>
              <w:rPr>
                <w:sz w:val="21"/>
              </w:rPr>
              <w:t>DDR5</w:t>
            </w:r>
            <w:r>
              <w:rPr>
                <w:sz w:val="21"/>
              </w:rPr>
              <w:t>≥</w:t>
            </w:r>
            <w:r>
              <w:rPr>
                <w:sz w:val="21"/>
              </w:rPr>
              <w:t>24</w:t>
            </w:r>
            <w:r>
              <w:rPr>
                <w:sz w:val="21"/>
              </w:rPr>
              <w:t>条</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主板内存槽数量</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非板载内存的可扩展插槽数量≥</w:t>
            </w:r>
            <w:r>
              <w:rPr>
                <w:sz w:val="21"/>
              </w:rPr>
              <w:t>24</w:t>
            </w:r>
            <w:r>
              <w:rPr>
                <w:sz w:val="21"/>
              </w:rPr>
              <w:t>个</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主板存储接口</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w:t>
            </w:r>
            <w:r>
              <w:rPr>
                <w:sz w:val="21"/>
              </w:rPr>
              <w:t>SATA</w:t>
            </w:r>
            <w:r>
              <w:rPr>
                <w:sz w:val="21"/>
              </w:rPr>
              <w:t>、</w:t>
            </w:r>
            <w:r>
              <w:rPr>
                <w:sz w:val="21"/>
              </w:rPr>
              <w:t>SAS</w:t>
            </w:r>
            <w:r>
              <w:rPr>
                <w:sz w:val="21"/>
              </w:rPr>
              <w:t>、</w:t>
            </w:r>
            <w:r>
              <w:rPr>
                <w:sz w:val="21"/>
              </w:rPr>
              <w:t>M.2</w:t>
            </w:r>
            <w:r>
              <w:rPr>
                <w:sz w:val="21"/>
              </w:rPr>
              <w:t>、</w:t>
            </w:r>
            <w:r>
              <w:rPr>
                <w:sz w:val="21"/>
              </w:rPr>
              <w:t>U.2</w:t>
            </w:r>
            <w:r>
              <w:rPr>
                <w:sz w:val="21"/>
              </w:rPr>
              <w:t>等存储接口</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PCIe</w:t>
            </w:r>
            <w:r>
              <w:rPr>
                <w:sz w:val="21"/>
              </w:rPr>
              <w:t>插槽接口</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符合</w:t>
            </w:r>
            <w:r>
              <w:rPr>
                <w:sz w:val="21"/>
              </w:rPr>
              <w:t>PCIe4.0</w:t>
            </w:r>
            <w:r>
              <w:rPr>
                <w:sz w:val="21"/>
              </w:rPr>
              <w:t>或以上的高速串行计算机扩展总线标准，</w:t>
            </w:r>
            <w:r>
              <w:rPr>
                <w:sz w:val="21"/>
              </w:rPr>
              <w:t xml:space="preserve"> PCIe</w:t>
            </w:r>
            <w:r>
              <w:rPr>
                <w:sz w:val="21"/>
              </w:rPr>
              <w:t>的接口速率与位宽需保证向下兼容</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主板</w:t>
            </w:r>
            <w:r>
              <w:rPr>
                <w:sz w:val="21"/>
              </w:rPr>
              <w:t>PCIe</w:t>
            </w:r>
            <w:r>
              <w:rPr>
                <w:sz w:val="21"/>
              </w:rPr>
              <w:t>插槽数量及规格</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提供标准</w:t>
            </w:r>
            <w:r>
              <w:rPr>
                <w:sz w:val="21"/>
              </w:rPr>
              <w:t>PCIe4.0</w:t>
            </w:r>
            <w:r>
              <w:rPr>
                <w:sz w:val="21"/>
              </w:rPr>
              <w:t>插槽≥</w:t>
            </w:r>
            <w:r>
              <w:rPr>
                <w:sz w:val="21"/>
              </w:rPr>
              <w:t>8</w:t>
            </w:r>
            <w:r>
              <w:rPr>
                <w:sz w:val="21"/>
              </w:rPr>
              <w:t>个</w:t>
            </w:r>
            <w:r>
              <w:rPr>
                <w:sz w:val="21"/>
              </w:rPr>
              <w:t>x16</w:t>
            </w:r>
            <w:r>
              <w:rPr>
                <w:sz w:val="21"/>
              </w:rPr>
              <w:t>插槽；提供</w:t>
            </w:r>
            <w:r>
              <w:rPr>
                <w:sz w:val="21"/>
              </w:rPr>
              <w:t>2</w:t>
            </w:r>
            <w:r>
              <w:rPr>
                <w:sz w:val="21"/>
              </w:rPr>
              <w:t>个内置的</w:t>
            </w:r>
            <w:r>
              <w:rPr>
                <w:sz w:val="21"/>
              </w:rPr>
              <w:t>RAID</w:t>
            </w:r>
            <w:r>
              <w:rPr>
                <w:sz w:val="21"/>
              </w:rPr>
              <w:t>卡专用</w:t>
            </w:r>
            <w:r>
              <w:rPr>
                <w:sz w:val="21"/>
              </w:rPr>
              <w:t>PCIe</w:t>
            </w:r>
            <w:r>
              <w:rPr>
                <w:sz w:val="21"/>
              </w:rPr>
              <w:t>插槽。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7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内存规格</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内存配置容量</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512GB DDR5 4800MHz ECC RDIMM</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内存数量</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实际配置≥</w:t>
            </w:r>
            <w:r>
              <w:rPr>
                <w:sz w:val="21"/>
              </w:rPr>
              <w:t>8</w:t>
            </w:r>
            <w:r>
              <w:rPr>
                <w:sz w:val="21"/>
              </w:rPr>
              <w:t>条内存</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内存规格</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DDR5</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内存通道</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8</w:t>
            </w:r>
            <w:r>
              <w:rPr>
                <w:sz w:val="21"/>
              </w:rPr>
              <w:t>内存通道</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7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存储规格</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硬磁盘实配容量</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实际配置</w:t>
            </w:r>
            <w:r>
              <w:rPr>
                <w:sz w:val="21"/>
              </w:rPr>
              <w:t>2</w:t>
            </w:r>
            <w:r>
              <w:rPr>
                <w:sz w:val="21"/>
              </w:rPr>
              <w:t>块不低于</w:t>
            </w:r>
            <w:r>
              <w:rPr>
                <w:sz w:val="21"/>
              </w:rPr>
              <w:t xml:space="preserve">7.68TB SATA SSD </w:t>
            </w:r>
            <w:r>
              <w:rPr>
                <w:sz w:val="21"/>
              </w:rPr>
              <w:t>固态硬盘，</w:t>
            </w:r>
            <w:r>
              <w:rPr>
                <w:sz w:val="21"/>
              </w:rPr>
              <w:t>10</w:t>
            </w:r>
            <w:r>
              <w:rPr>
                <w:sz w:val="21"/>
              </w:rPr>
              <w:t>块不低于</w:t>
            </w:r>
            <w:r>
              <w:rPr>
                <w:sz w:val="21"/>
              </w:rPr>
              <w:t>16TB 3.5</w:t>
            </w:r>
            <w:r>
              <w:rPr>
                <w:sz w:val="21"/>
              </w:rPr>
              <w:t>吋</w:t>
            </w:r>
            <w:r>
              <w:rPr>
                <w:sz w:val="21"/>
              </w:rPr>
              <w:t>7.2K 6Gb SATA</w:t>
            </w:r>
            <w:r>
              <w:rPr>
                <w:sz w:val="21"/>
              </w:rPr>
              <w:t>硬盘</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硬盘实配数量</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w:t>
            </w:r>
            <w:r>
              <w:rPr>
                <w:sz w:val="21"/>
              </w:rPr>
              <w:t>2</w:t>
            </w:r>
            <w:r>
              <w:rPr>
                <w:sz w:val="21"/>
              </w:rPr>
              <w:t>块</w:t>
            </w:r>
            <w:r>
              <w:rPr>
                <w:sz w:val="21"/>
              </w:rPr>
              <w:t xml:space="preserve"> SATA SSD</w:t>
            </w:r>
            <w:r>
              <w:rPr>
                <w:sz w:val="21"/>
              </w:rPr>
              <w:t>固态硬盘</w:t>
            </w:r>
          </w:p>
          <w:p>
            <w:pPr>
              <w:pStyle w:val="null3"/>
            </w:pPr>
            <w:r>
              <w:rPr>
                <w:sz w:val="21"/>
              </w:rPr>
              <w:t>2</w:t>
            </w:r>
            <w:r>
              <w:rPr>
                <w:sz w:val="21"/>
              </w:rPr>
              <w:t>、</w:t>
            </w:r>
            <w:r>
              <w:rPr>
                <w:sz w:val="21"/>
              </w:rPr>
              <w:t>10</w:t>
            </w:r>
            <w:r>
              <w:rPr>
                <w:sz w:val="21"/>
              </w:rPr>
              <w:t>块</w:t>
            </w:r>
            <w:r>
              <w:rPr>
                <w:sz w:val="21"/>
              </w:rPr>
              <w:t>3.5</w:t>
            </w:r>
            <w:r>
              <w:rPr>
                <w:sz w:val="21"/>
              </w:rPr>
              <w:t>吋</w:t>
            </w:r>
            <w:r>
              <w:rPr>
                <w:sz w:val="21"/>
              </w:rPr>
              <w:t>7.2K 6GbSATA</w:t>
            </w:r>
            <w:r>
              <w:rPr>
                <w:sz w:val="21"/>
              </w:rPr>
              <w:t>硬盘</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硬盘插槽数量及规格</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、不少于</w:t>
            </w:r>
            <w:r>
              <w:rPr>
                <w:sz w:val="21"/>
              </w:rPr>
              <w:t>2</w:t>
            </w:r>
            <w:r>
              <w:rPr>
                <w:sz w:val="21"/>
              </w:rPr>
              <w:t>个</w:t>
            </w:r>
            <w:r>
              <w:rPr>
                <w:sz w:val="21"/>
              </w:rPr>
              <w:t>NVMe U.2 SSD</w:t>
            </w:r>
            <w:r>
              <w:rPr>
                <w:sz w:val="21"/>
              </w:rPr>
              <w:t>硬盘插槽</w:t>
            </w:r>
          </w:p>
          <w:p>
            <w:pPr>
              <w:pStyle w:val="null3"/>
            </w:pPr>
            <w:r>
              <w:rPr>
                <w:sz w:val="21"/>
              </w:rPr>
              <w:t>2</w:t>
            </w:r>
            <w:r>
              <w:rPr>
                <w:sz w:val="21"/>
              </w:rPr>
              <w:t>、不少于</w:t>
            </w:r>
            <w:r>
              <w:rPr>
                <w:sz w:val="21"/>
              </w:rPr>
              <w:t>24</w:t>
            </w:r>
            <w:r>
              <w:rPr>
                <w:sz w:val="21"/>
              </w:rPr>
              <w:t>个</w:t>
            </w:r>
            <w:r>
              <w:rPr>
                <w:sz w:val="21"/>
              </w:rPr>
              <w:t>3.5</w:t>
            </w:r>
            <w:r>
              <w:rPr>
                <w:sz w:val="21"/>
              </w:rPr>
              <w:t>寸</w:t>
            </w:r>
            <w:r>
              <w:rPr>
                <w:sz w:val="21"/>
              </w:rPr>
              <w:t>SAS/SATA</w:t>
            </w:r>
            <w:r>
              <w:rPr>
                <w:sz w:val="21"/>
              </w:rPr>
              <w:t>硬盘插槽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RAID</w:t>
            </w:r>
            <w:r>
              <w:rPr>
                <w:sz w:val="21"/>
              </w:rPr>
              <w:t>卡规格</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RAID </w:t>
            </w:r>
            <w:r>
              <w:rPr>
                <w:sz w:val="21"/>
              </w:rPr>
              <w:t>卡支持的</w:t>
            </w:r>
            <w:r>
              <w:rPr>
                <w:sz w:val="21"/>
              </w:rPr>
              <w:t>SAS</w:t>
            </w:r>
            <w:r>
              <w:rPr>
                <w:sz w:val="21"/>
              </w:rPr>
              <w:t>接口数</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8</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7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网络规格</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网口速率和数量</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配备网口数量不少于</w:t>
            </w:r>
            <w:r>
              <w:rPr>
                <w:sz w:val="21"/>
              </w:rPr>
              <w:t>2</w:t>
            </w:r>
            <w:r>
              <w:rPr>
                <w:sz w:val="21"/>
              </w:rPr>
              <w:t>个，且网口速率不少于</w:t>
            </w:r>
            <w:r>
              <w:rPr>
                <w:sz w:val="21"/>
              </w:rPr>
              <w:t>10GE</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独立网卡网口数量</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配备</w:t>
            </w:r>
            <w:r>
              <w:rPr>
                <w:sz w:val="21"/>
              </w:rPr>
              <w:t>1</w:t>
            </w:r>
            <w:r>
              <w:rPr>
                <w:sz w:val="21"/>
              </w:rPr>
              <w:t>张独立网卡，独立网卡网口数量≥</w:t>
            </w:r>
            <w:r>
              <w:rPr>
                <w:sz w:val="21"/>
              </w:rPr>
              <w:t>2</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独立网卡接口类型</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w:t>
            </w:r>
            <w:r>
              <w:rPr>
                <w:sz w:val="21"/>
              </w:rPr>
              <w:t>SFP+</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7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外部接口规格</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显示接口</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配备</w:t>
            </w:r>
            <w:r>
              <w:rPr>
                <w:sz w:val="21"/>
              </w:rPr>
              <w:t>VGA</w:t>
            </w:r>
            <w:r>
              <w:rPr>
                <w:sz w:val="21"/>
              </w:rPr>
              <w:t>显示接口，且</w:t>
            </w:r>
            <w:r>
              <w:rPr>
                <w:sz w:val="21"/>
              </w:rPr>
              <w:t>VGA</w:t>
            </w:r>
            <w:r>
              <w:rPr>
                <w:sz w:val="21"/>
              </w:rPr>
              <w:t>接口</w:t>
            </w:r>
            <w:r>
              <w:rPr>
                <w:sz w:val="21"/>
              </w:rPr>
              <w:t>≥2</w:t>
            </w:r>
            <w:r>
              <w:rPr>
                <w:sz w:val="21"/>
              </w:rPr>
              <w:t>个</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USB </w:t>
            </w:r>
            <w:r>
              <w:rPr>
                <w:sz w:val="21"/>
              </w:rPr>
              <w:t>接口</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配备</w:t>
            </w:r>
            <w:r>
              <w:rPr>
                <w:sz w:val="21"/>
              </w:rPr>
              <w:t>4</w:t>
            </w:r>
            <w:r>
              <w:rPr>
                <w:sz w:val="21"/>
              </w:rPr>
              <w:t>个</w:t>
            </w:r>
            <w:r>
              <w:rPr>
                <w:sz w:val="21"/>
              </w:rPr>
              <w:t>USB2.0</w:t>
            </w:r>
            <w:r>
              <w:rPr>
                <w:sz w:val="21"/>
              </w:rPr>
              <w:t>、</w:t>
            </w:r>
            <w:r>
              <w:rPr>
                <w:sz w:val="21"/>
              </w:rPr>
              <w:t>2</w:t>
            </w:r>
            <w:r>
              <w:rPr>
                <w:sz w:val="21"/>
              </w:rPr>
              <w:t>个</w:t>
            </w:r>
            <w:r>
              <w:rPr>
                <w:sz w:val="21"/>
              </w:rPr>
              <w:t>USB3.0</w:t>
            </w:r>
            <w:r>
              <w:rPr>
                <w:sz w:val="21"/>
              </w:rPr>
              <w:t>接口</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7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电源规格</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电源冗余模式</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整机电源模块按</w:t>
            </w:r>
            <w:r>
              <w:rPr>
                <w:sz w:val="21"/>
              </w:rPr>
              <w:t xml:space="preserve">2+2 </w:t>
            </w:r>
            <w:r>
              <w:rPr>
                <w:sz w:val="21"/>
              </w:rPr>
              <w:t>冗余配置</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电源模块数量</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4</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电源功率</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单个电源功率≥</w:t>
            </w:r>
            <w:r>
              <w:rPr>
                <w:sz w:val="21"/>
              </w:rPr>
              <w:t>2000W</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7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整机规格</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外观和结构</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a)</w:t>
            </w:r>
            <w:r>
              <w:rPr>
                <w:sz w:val="21"/>
              </w:rPr>
              <w:t>服务器的零部件应紧固无松动，可插拔部件应可靠连接，开关、按钮和其它控制部件应灵活可靠，布局应方便使用；</w:t>
            </w:r>
          </w:p>
          <w:p>
            <w:pPr>
              <w:pStyle w:val="null3"/>
            </w:pPr>
            <w:r>
              <w:rPr>
                <w:sz w:val="21"/>
              </w:rPr>
              <w:t xml:space="preserve">b) </w:t>
            </w:r>
            <w:r>
              <w:rPr>
                <w:sz w:val="21"/>
              </w:rPr>
              <w:t>产品表面不应有明显的凹痕、划伤、裂缝、变形和污染等。表面涂层均匀，不应起泡、龟裂、脱落和磨损，金属零部件无锈蚀及其它机械损伤；</w:t>
            </w:r>
          </w:p>
          <w:p>
            <w:pPr>
              <w:pStyle w:val="null3"/>
            </w:pPr>
            <w:r>
              <w:rPr>
                <w:sz w:val="21"/>
              </w:rPr>
              <w:t xml:space="preserve">c) </w:t>
            </w:r>
            <w:r>
              <w:rPr>
                <w:sz w:val="21"/>
              </w:rPr>
              <w:t>产品表面说明功能的文字、符号和标志应清晰、端正且牢固；</w:t>
            </w:r>
          </w:p>
          <w:p>
            <w:pPr>
              <w:pStyle w:val="null3"/>
            </w:pPr>
            <w:r>
              <w:rPr>
                <w:sz w:val="21"/>
              </w:rPr>
              <w:t xml:space="preserve">d) </w:t>
            </w:r>
            <w:r>
              <w:rPr>
                <w:sz w:val="21"/>
              </w:rPr>
              <w:t>应在服务器的显著位置提供运行状态的指示功能，并在随机文件中明确具体含义；</w:t>
            </w:r>
          </w:p>
          <w:p>
            <w:pPr>
              <w:pStyle w:val="null3"/>
            </w:pPr>
            <w:r>
              <w:rPr>
                <w:sz w:val="21"/>
              </w:rPr>
              <w:t xml:space="preserve">e) </w:t>
            </w:r>
            <w:r>
              <w:rPr>
                <w:sz w:val="21"/>
              </w:rPr>
              <w:t>机架、机箱的尺寸应符合通用机柜的安装要求，插入总线插座的电路板接口外形尺寸应符合有关总线标准的规定，将机箱固定在机柜上，机箱底面最大下垂变形不得干涉相邻机体；</w:t>
            </w:r>
          </w:p>
          <w:p>
            <w:pPr>
              <w:pStyle w:val="null3"/>
            </w:pPr>
            <w:r>
              <w:rPr>
                <w:sz w:val="21"/>
              </w:rPr>
              <w:t xml:space="preserve">f) </w:t>
            </w:r>
            <w:r>
              <w:rPr>
                <w:sz w:val="21"/>
              </w:rPr>
              <w:t>高密度服务器应给出</w:t>
            </w:r>
            <w:r>
              <w:rPr>
                <w:sz w:val="21"/>
              </w:rPr>
              <w:t>CPU</w:t>
            </w:r>
            <w:r>
              <w:rPr>
                <w:sz w:val="21"/>
              </w:rPr>
              <w:t>个数与机柜高度；</w:t>
            </w:r>
          </w:p>
          <w:p>
            <w:pPr>
              <w:pStyle w:val="null3"/>
            </w:pPr>
            <w:r>
              <w:rPr>
                <w:sz w:val="21"/>
              </w:rPr>
              <w:t xml:space="preserve">g) </w:t>
            </w:r>
            <w:r>
              <w:rPr>
                <w:sz w:val="21"/>
              </w:rPr>
              <w:t>服务器尺寸具体要求在随机文件中明确</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尺寸</w:t>
            </w:r>
            <w:r>
              <w:rPr>
                <w:sz w:val="21"/>
              </w:rPr>
              <w:t>(</w:t>
            </w:r>
            <w:r>
              <w:rPr>
                <w:sz w:val="21"/>
              </w:rPr>
              <w:t>高×宽×深</w:t>
            </w:r>
            <w:r>
              <w:rPr>
                <w:sz w:val="21"/>
              </w:rPr>
              <w:t>)</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175.8mm(</w:t>
            </w:r>
            <w:r>
              <w:rPr>
                <w:sz w:val="21"/>
              </w:rPr>
              <w:t>高</w:t>
            </w:r>
            <w:r>
              <w:rPr>
                <w:sz w:val="21"/>
              </w:rPr>
              <w:t>)x446mm(</w:t>
            </w:r>
            <w:r>
              <w:rPr>
                <w:sz w:val="21"/>
              </w:rPr>
              <w:t>宽</w:t>
            </w:r>
            <w:r>
              <w:rPr>
                <w:sz w:val="21"/>
              </w:rPr>
              <w:t>)x798mm(</w:t>
            </w:r>
            <w:r>
              <w:rPr>
                <w:sz w:val="21"/>
              </w:rPr>
              <w:t>深</w:t>
            </w:r>
            <w:r>
              <w:rPr>
                <w:sz w:val="21"/>
              </w:rPr>
              <w:t>)</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服务器导轨</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含安装导轨</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CPU</w:t>
            </w:r>
            <w:r>
              <w:rPr>
                <w:sz w:val="21"/>
              </w:rPr>
              <w:t>个数与机柜高度单位</w:t>
            </w:r>
            <w:r>
              <w:rPr>
                <w:sz w:val="21"/>
              </w:rPr>
              <w:t>(U)</w:t>
            </w:r>
            <w:r>
              <w:rPr>
                <w:sz w:val="21"/>
              </w:rPr>
              <w:t>比</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CPU</w:t>
            </w:r>
            <w:r>
              <w:rPr>
                <w:sz w:val="21"/>
              </w:rPr>
              <w:t>配置≥</w:t>
            </w:r>
            <w:r>
              <w:rPr>
                <w:sz w:val="21"/>
              </w:rPr>
              <w:t>2</w:t>
            </w:r>
            <w:r>
              <w:rPr>
                <w:sz w:val="21"/>
              </w:rPr>
              <w:t>个；机柜高度≥</w:t>
            </w:r>
            <w:r>
              <w:rPr>
                <w:sz w:val="21"/>
              </w:rPr>
              <w:t>4U</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环境适应性</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气候环境适应性应符合</w:t>
            </w:r>
            <w:r>
              <w:rPr>
                <w:sz w:val="21"/>
              </w:rPr>
              <w:t>GB/T9813.3</w:t>
            </w:r>
            <w:r>
              <w:rPr>
                <w:sz w:val="21"/>
              </w:rPr>
              <w:t>的有关规定，工作温度</w:t>
            </w:r>
            <w:r>
              <w:rPr>
                <w:sz w:val="21"/>
              </w:rPr>
              <w:t>10</w:t>
            </w:r>
            <w:r>
              <w:rPr>
                <w:sz w:val="21"/>
              </w:rPr>
              <w:t>～</w:t>
            </w:r>
            <w:r>
              <w:rPr>
                <w:sz w:val="21"/>
              </w:rPr>
              <w:t>35</w:t>
            </w:r>
            <w:r>
              <w:rPr>
                <w:sz w:val="21"/>
              </w:rPr>
              <w:t>℃，贮存运输温度</w:t>
            </w:r>
            <w:r>
              <w:rPr>
                <w:sz w:val="21"/>
              </w:rPr>
              <w:t>-40</w:t>
            </w:r>
            <w:r>
              <w:rPr>
                <w:sz w:val="21"/>
              </w:rPr>
              <w:t>～</w:t>
            </w:r>
            <w:r>
              <w:rPr>
                <w:sz w:val="21"/>
              </w:rPr>
              <w:t>55</w:t>
            </w:r>
            <w:r>
              <w:rPr>
                <w:sz w:val="21"/>
              </w:rPr>
              <w:t>℃；工作相对湿度</w:t>
            </w:r>
            <w:r>
              <w:rPr>
                <w:sz w:val="21"/>
              </w:rPr>
              <w:t>35%~80%</w:t>
            </w:r>
            <w:r>
              <w:rPr>
                <w:sz w:val="21"/>
              </w:rPr>
              <w:t>，贮存运输相对湿度</w:t>
            </w:r>
            <w:r>
              <w:rPr>
                <w:sz w:val="21"/>
              </w:rPr>
              <w:t>20%</w:t>
            </w:r>
            <w:r>
              <w:rPr>
                <w:sz w:val="21"/>
              </w:rPr>
              <w:t>～</w:t>
            </w:r>
            <w:r>
              <w:rPr>
                <w:sz w:val="21"/>
              </w:rPr>
              <w:t>93%</w:t>
            </w:r>
            <w:r>
              <w:rPr>
                <w:sz w:val="21"/>
              </w:rPr>
              <w:t>（</w:t>
            </w:r>
            <w:r>
              <w:rPr>
                <w:sz w:val="21"/>
              </w:rPr>
              <w:t>40</w:t>
            </w:r>
            <w:r>
              <w:rPr>
                <w:sz w:val="21"/>
              </w:rPr>
              <w:t>℃）；大气压</w:t>
            </w:r>
            <w:r>
              <w:rPr>
                <w:sz w:val="21"/>
              </w:rPr>
              <w:t>86</w:t>
            </w:r>
            <w:r>
              <w:rPr>
                <w:sz w:val="21"/>
              </w:rPr>
              <w:t>～</w:t>
            </w:r>
            <w:r>
              <w:rPr>
                <w:sz w:val="21"/>
              </w:rPr>
              <w:t>106kPa</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机械环境适应性</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机械环境适应性应符合</w:t>
            </w:r>
            <w:r>
              <w:rPr>
                <w:sz w:val="21"/>
              </w:rPr>
              <w:t>GB/T9813.3</w:t>
            </w:r>
            <w:r>
              <w:rPr>
                <w:sz w:val="21"/>
              </w:rPr>
              <w:t>的有关规定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噪声</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符合</w:t>
            </w:r>
            <w:r>
              <w:rPr>
                <w:sz w:val="21"/>
              </w:rPr>
              <w:t>GB/T 9813.3</w:t>
            </w:r>
            <w:r>
              <w:rPr>
                <w:sz w:val="21"/>
              </w:rPr>
              <w:t>的有关规定</w:t>
            </w:r>
            <w:r>
              <w:rPr>
                <w:sz w:val="21"/>
              </w:rPr>
              <w:t xml:space="preserve">, </w:t>
            </w:r>
            <w:r>
              <w:rPr>
                <w:sz w:val="21"/>
              </w:rPr>
              <w:t>在产品说明中给出具体测试值；</w:t>
            </w:r>
          </w:p>
          <w:p>
            <w:pPr>
              <w:pStyle w:val="null3"/>
            </w:pPr>
            <w:r>
              <w:rPr>
                <w:sz w:val="21"/>
              </w:rPr>
              <w:t>塔式服务器噪声在空闲状态下不大于</w:t>
            </w:r>
            <w:r>
              <w:rPr>
                <w:sz w:val="21"/>
              </w:rPr>
              <w:t>50dB</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机柜规格</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机柜尺寸</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本次采购不需配备机柜</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7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显卡规格</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独立显卡数量</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8</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产品规格</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独立显卡信息</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显存类型：</w:t>
            </w:r>
            <w:r>
              <w:rPr>
                <w:sz w:val="21"/>
              </w:rPr>
              <w:t>GDDR6</w:t>
            </w:r>
          </w:p>
          <w:p>
            <w:pPr>
              <w:pStyle w:val="null3"/>
            </w:pPr>
            <w:r>
              <w:rPr>
                <w:sz w:val="21"/>
              </w:rPr>
              <w:t>显存位宽：≥</w:t>
            </w:r>
            <w:r>
              <w:rPr>
                <w:sz w:val="21"/>
              </w:rPr>
              <w:t>384bit</w:t>
            </w:r>
          </w:p>
          <w:p>
            <w:pPr>
              <w:pStyle w:val="null3"/>
            </w:pPr>
            <w:r>
              <w:rPr>
                <w:sz w:val="21"/>
              </w:rPr>
              <w:t>显存容量≥</w:t>
            </w:r>
            <w:r>
              <w:rPr>
                <w:sz w:val="21"/>
              </w:rPr>
              <w:t>24GB</w:t>
            </w:r>
          </w:p>
          <w:p>
            <w:pPr>
              <w:pStyle w:val="null3"/>
            </w:pPr>
            <w:r>
              <w:rPr>
                <w:sz w:val="21"/>
              </w:rPr>
              <w:t>接口协议：产品支持</w:t>
            </w:r>
            <w:r>
              <w:rPr>
                <w:sz w:val="21"/>
              </w:rPr>
              <w:t>PCIe</w:t>
            </w:r>
            <w:r>
              <w:rPr>
                <w:sz w:val="21"/>
              </w:rPr>
              <w:t>协议版本大于等于</w:t>
            </w:r>
            <w:r>
              <w:rPr>
                <w:sz w:val="21"/>
              </w:rPr>
              <w:t>4.0</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主板功能</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主板外部接口种类</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VGA</w:t>
            </w:r>
            <w:r>
              <w:rPr>
                <w:sz w:val="21"/>
              </w:rPr>
              <w:t>、</w:t>
            </w:r>
            <w:r>
              <w:rPr>
                <w:sz w:val="21"/>
              </w:rPr>
              <w:t>USB3.0</w:t>
            </w:r>
            <w:r>
              <w:rPr>
                <w:sz w:val="21"/>
              </w:rPr>
              <w:t>、</w:t>
            </w:r>
            <w:r>
              <w:rPr>
                <w:sz w:val="21"/>
              </w:rPr>
              <w:t>BMC</w:t>
            </w:r>
            <w:r>
              <w:rPr>
                <w:sz w:val="21"/>
              </w:rPr>
              <w:t>管理端口</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网络功能</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网络功能</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支持网络连接、网络访问、数据交换和网络管控功能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7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CPU</w:t>
            </w:r>
            <w:r>
              <w:rPr>
                <w:sz w:val="21"/>
              </w:rPr>
              <w:t>功能</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计算处理</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支持通用计算及虚拟化功能。处理器需集成整型计算单元、浮点计算单元、内存控制器、</w:t>
            </w:r>
            <w:r>
              <w:rPr>
                <w:sz w:val="21"/>
              </w:rPr>
              <w:t>I/O</w:t>
            </w:r>
            <w:r>
              <w:rPr>
                <w:sz w:val="21"/>
              </w:rPr>
              <w:t>模块等，处理器与存储部件、网络部件、</w:t>
            </w:r>
            <w:r>
              <w:rPr>
                <w:sz w:val="21"/>
              </w:rPr>
              <w:t>I/O</w:t>
            </w:r>
            <w:r>
              <w:rPr>
                <w:sz w:val="21"/>
              </w:rPr>
              <w:t>部件等组成计算系统，提供数据处理、网络接入等计算相关功能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密码算法实现</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CPU</w:t>
            </w:r>
            <w:r>
              <w:rPr>
                <w:sz w:val="21"/>
              </w:rPr>
              <w:t>芯片应符合</w:t>
            </w:r>
            <w:r>
              <w:rPr>
                <w:sz w:val="21"/>
              </w:rPr>
              <w:t>GM/T 0008</w:t>
            </w:r>
            <w:r>
              <w:rPr>
                <w:sz w:val="21"/>
              </w:rPr>
              <w:t>的相关规定，或芯片密码模块应符合</w:t>
            </w:r>
            <w:r>
              <w:rPr>
                <w:sz w:val="21"/>
              </w:rPr>
              <w:t>GB/T37092</w:t>
            </w:r>
            <w:r>
              <w:rPr>
                <w:sz w:val="21"/>
              </w:rPr>
              <w:t>或</w:t>
            </w:r>
            <w:r>
              <w:rPr>
                <w:sz w:val="21"/>
              </w:rPr>
              <w:t>GM/T 0028</w:t>
            </w:r>
            <w:r>
              <w:rPr>
                <w:sz w:val="21"/>
              </w:rPr>
              <w:t>的相关规定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RAID</w:t>
            </w:r>
          </w:p>
          <w:p>
            <w:pPr>
              <w:pStyle w:val="null3"/>
            </w:pPr>
            <w:r>
              <w:rPr>
                <w:sz w:val="21"/>
              </w:rPr>
              <w:t>卡功</w:t>
            </w:r>
          </w:p>
          <w:p>
            <w:pPr>
              <w:pStyle w:val="null3"/>
            </w:pPr>
            <w:r>
              <w:rPr>
                <w:sz w:val="21"/>
              </w:rPr>
              <w:t>能</w:t>
            </w:r>
            <w:r>
              <w:rPr>
                <w:sz w:val="21"/>
              </w:rPr>
              <w:t>(</w:t>
            </w:r>
            <w:r>
              <w:rPr>
                <w:sz w:val="21"/>
              </w:rPr>
              <w:t>若</w:t>
            </w:r>
          </w:p>
          <w:p>
            <w:pPr>
              <w:pStyle w:val="null3"/>
            </w:pPr>
            <w:r>
              <w:rPr>
                <w:sz w:val="21"/>
              </w:rPr>
              <w:t>支持</w:t>
            </w:r>
          </w:p>
          <w:p>
            <w:pPr>
              <w:pStyle w:val="null3"/>
            </w:pPr>
            <w:r>
              <w:rPr>
                <w:sz w:val="21"/>
              </w:rPr>
              <w:t>RAID</w:t>
            </w:r>
          </w:p>
          <w:p>
            <w:pPr>
              <w:pStyle w:val="null3"/>
            </w:pPr>
            <w:r>
              <w:rPr>
                <w:sz w:val="21"/>
              </w:rPr>
              <w:t>卡</w:t>
            </w:r>
            <w:r>
              <w:rPr>
                <w:sz w:val="21"/>
              </w:rPr>
              <w:t>)</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RAID </w:t>
            </w:r>
            <w:r>
              <w:rPr>
                <w:sz w:val="21"/>
              </w:rPr>
              <w:t>卡</w:t>
            </w:r>
            <w:r>
              <w:rPr>
                <w:sz w:val="21"/>
              </w:rPr>
              <w:t xml:space="preserve">RAID </w:t>
            </w:r>
            <w:r>
              <w:rPr>
                <w:sz w:val="21"/>
              </w:rPr>
              <w:t>级别支持</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SAS RAID</w:t>
            </w:r>
            <w:r>
              <w:rPr>
                <w:sz w:val="21"/>
              </w:rPr>
              <w:t>卡（</w:t>
            </w:r>
            <w:r>
              <w:rPr>
                <w:sz w:val="21"/>
              </w:rPr>
              <w:t>4G</w:t>
            </w:r>
            <w:r>
              <w:rPr>
                <w:sz w:val="21"/>
              </w:rPr>
              <w:t>缓存），支持</w:t>
            </w:r>
            <w:r>
              <w:rPr>
                <w:sz w:val="21"/>
              </w:rPr>
              <w:t>RAID 0/1/5/6/10/50/60</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7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电源功能</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电源热插拔</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整机电源模块应具备热插拔功能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电源过流保护</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支持过流及短路保护的功能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整机功能</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散热方式</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支持风冷等散热方式</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7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管理系统功能</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BMC</w:t>
            </w:r>
            <w:r>
              <w:rPr>
                <w:sz w:val="21"/>
              </w:rPr>
              <w:t>固件基础功能</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1) </w:t>
            </w:r>
            <w:r>
              <w:rPr>
                <w:sz w:val="21"/>
              </w:rPr>
              <w:t>支持</w:t>
            </w:r>
            <w:r>
              <w:rPr>
                <w:sz w:val="21"/>
              </w:rPr>
              <w:t>DHCP</w:t>
            </w:r>
            <w:r>
              <w:rPr>
                <w:sz w:val="21"/>
              </w:rPr>
              <w:t>设置网络功能；</w:t>
            </w:r>
          </w:p>
          <w:p>
            <w:pPr>
              <w:pStyle w:val="null3"/>
            </w:pPr>
            <w:r>
              <w:rPr>
                <w:sz w:val="21"/>
              </w:rPr>
              <w:t>2)</w:t>
            </w:r>
            <w:r>
              <w:rPr>
                <w:sz w:val="21"/>
              </w:rPr>
              <w:t>支持静态</w:t>
            </w:r>
            <w:r>
              <w:rPr>
                <w:sz w:val="21"/>
              </w:rPr>
              <w:t>IP</w:t>
            </w:r>
            <w:r>
              <w:rPr>
                <w:sz w:val="21"/>
              </w:rPr>
              <w:t>设置网络功能；</w:t>
            </w:r>
          </w:p>
          <w:p>
            <w:pPr>
              <w:pStyle w:val="null3"/>
            </w:pPr>
            <w:r>
              <w:rPr>
                <w:sz w:val="21"/>
              </w:rPr>
              <w:t>3)</w:t>
            </w:r>
            <w:r>
              <w:rPr>
                <w:sz w:val="21"/>
              </w:rPr>
              <w:t>支持设备日志记录，</w:t>
            </w:r>
            <w:r>
              <w:rPr>
                <w:sz w:val="21"/>
              </w:rPr>
              <w:t>包括但不限于登录日志、操作日志和报警日志等功能；</w:t>
            </w:r>
          </w:p>
          <w:p>
            <w:pPr>
              <w:pStyle w:val="null3"/>
            </w:pPr>
            <w:r>
              <w:rPr>
                <w:sz w:val="21"/>
              </w:rPr>
              <w:t>4)</w:t>
            </w:r>
            <w:r>
              <w:rPr>
                <w:sz w:val="21"/>
              </w:rPr>
              <w:t>支持日志信息导出和记录删除功能；</w:t>
            </w:r>
          </w:p>
          <w:p>
            <w:pPr>
              <w:pStyle w:val="null3"/>
            </w:pPr>
            <w:r>
              <w:rPr>
                <w:sz w:val="21"/>
              </w:rPr>
              <w:t>5)</w:t>
            </w:r>
            <w:r>
              <w:rPr>
                <w:sz w:val="21"/>
              </w:rPr>
              <w:t>支持通过管理接口向外输出准确的报警信息功能；</w:t>
            </w:r>
          </w:p>
          <w:p>
            <w:pPr>
              <w:pStyle w:val="null3"/>
            </w:pPr>
            <w:r>
              <w:rPr>
                <w:sz w:val="21"/>
              </w:rPr>
              <w:t>6)</w:t>
            </w:r>
            <w:r>
              <w:rPr>
                <w:sz w:val="21"/>
              </w:rPr>
              <w:t>设备的</w:t>
            </w:r>
            <w:r>
              <w:rPr>
                <w:sz w:val="21"/>
              </w:rPr>
              <w:t>BMC</w:t>
            </w:r>
            <w:r>
              <w:rPr>
                <w:sz w:val="21"/>
              </w:rPr>
              <w:t>管理软件应能够按报警的严重程度进行区分；</w:t>
            </w:r>
          </w:p>
          <w:p>
            <w:pPr>
              <w:pStyle w:val="null3"/>
            </w:pPr>
            <w:r>
              <w:rPr>
                <w:sz w:val="21"/>
              </w:rPr>
              <w:t>7)</w:t>
            </w:r>
            <w:r>
              <w:rPr>
                <w:sz w:val="21"/>
              </w:rPr>
              <w:t>支持</w:t>
            </w:r>
            <w:r>
              <w:rPr>
                <w:sz w:val="21"/>
              </w:rPr>
              <w:t>IPMI2.0</w:t>
            </w:r>
            <w:r>
              <w:rPr>
                <w:sz w:val="21"/>
              </w:rPr>
              <w:t>、</w:t>
            </w:r>
            <w:r>
              <w:rPr>
                <w:sz w:val="21"/>
              </w:rPr>
              <w:t>SNMP</w:t>
            </w:r>
            <w:r>
              <w:rPr>
                <w:sz w:val="21"/>
              </w:rPr>
              <w:t>或</w:t>
            </w:r>
            <w:r>
              <w:rPr>
                <w:sz w:val="21"/>
              </w:rPr>
              <w:t>Redfish</w:t>
            </w:r>
            <w:r>
              <w:rPr>
                <w:sz w:val="21"/>
              </w:rPr>
              <w:t>等接口功能；</w:t>
            </w:r>
          </w:p>
          <w:p>
            <w:pPr>
              <w:pStyle w:val="null3"/>
            </w:pPr>
            <w:r>
              <w:rPr>
                <w:sz w:val="21"/>
              </w:rPr>
              <w:t>8)</w:t>
            </w:r>
            <w:r>
              <w:rPr>
                <w:sz w:val="21"/>
              </w:rPr>
              <w:t>支持键盘、鼠标和视频的重定向、文本控制台的重定向、远程虚拟媒体、高可靠的硬件监控和管理功能；</w:t>
            </w:r>
          </w:p>
          <w:p>
            <w:pPr>
              <w:pStyle w:val="null3"/>
            </w:pPr>
            <w:r>
              <w:rPr>
                <w:sz w:val="21"/>
              </w:rPr>
              <w:t>9)</w:t>
            </w:r>
            <w:r>
              <w:rPr>
                <w:sz w:val="21"/>
              </w:rPr>
              <w:t>支持基于网络开启、关闭和重启设备的功能，</w:t>
            </w:r>
            <w:r>
              <w:rPr>
                <w:sz w:val="21"/>
              </w:rPr>
              <w:t>并查询当前设备开机运行状态；</w:t>
            </w:r>
          </w:p>
          <w:p>
            <w:pPr>
              <w:pStyle w:val="null3"/>
            </w:pPr>
            <w:r>
              <w:rPr>
                <w:sz w:val="21"/>
              </w:rPr>
              <w:t>10)</w:t>
            </w:r>
            <w:r>
              <w:rPr>
                <w:sz w:val="21"/>
              </w:rPr>
              <w:t>支持故障提示功能，</w:t>
            </w:r>
            <w:r>
              <w:rPr>
                <w:sz w:val="21"/>
              </w:rPr>
              <w:t>并可通过接口读取服务器故障信息；</w:t>
            </w:r>
          </w:p>
          <w:p>
            <w:pPr>
              <w:pStyle w:val="null3"/>
            </w:pPr>
            <w:r>
              <w:rPr>
                <w:sz w:val="21"/>
              </w:rPr>
              <w:t>11)</w:t>
            </w:r>
            <w:r>
              <w:rPr>
                <w:sz w:val="21"/>
              </w:rPr>
              <w:t>支持基于网络的固件更新功能，包括</w:t>
            </w:r>
            <w:r>
              <w:rPr>
                <w:sz w:val="21"/>
              </w:rPr>
              <w:t xml:space="preserve">BMC </w:t>
            </w:r>
            <w:r>
              <w:rPr>
                <w:sz w:val="21"/>
              </w:rPr>
              <w:t>和</w:t>
            </w:r>
            <w:r>
              <w:rPr>
                <w:sz w:val="21"/>
              </w:rPr>
              <w:t>BIOS</w:t>
            </w:r>
            <w:r>
              <w:rPr>
                <w:sz w:val="21"/>
              </w:rPr>
              <w:t>等；</w:t>
            </w:r>
          </w:p>
          <w:p>
            <w:pPr>
              <w:pStyle w:val="null3"/>
            </w:pPr>
            <w:r>
              <w:rPr>
                <w:sz w:val="21"/>
              </w:rPr>
              <w:t>12)</w:t>
            </w:r>
            <w:r>
              <w:rPr>
                <w:sz w:val="21"/>
              </w:rPr>
              <w:t>支持基于网络安装操作系统的功能，</w:t>
            </w:r>
            <w:r>
              <w:rPr>
                <w:sz w:val="21"/>
              </w:rPr>
              <w:t>并可通过网络控制台访问设备；</w:t>
            </w:r>
          </w:p>
          <w:p>
            <w:pPr>
              <w:pStyle w:val="null3"/>
            </w:pPr>
            <w:r>
              <w:rPr>
                <w:sz w:val="21"/>
              </w:rPr>
              <w:t>13)</w:t>
            </w:r>
            <w:r>
              <w:rPr>
                <w:sz w:val="21"/>
              </w:rPr>
              <w:t>支持通过本地的硬盘或光驱等存储设备，</w:t>
            </w:r>
            <w:r>
              <w:rPr>
                <w:sz w:val="21"/>
              </w:rPr>
              <w:t>基于网络完成设备的操作系统安装功能；</w:t>
            </w:r>
          </w:p>
          <w:p>
            <w:pPr>
              <w:pStyle w:val="null3"/>
            </w:pPr>
            <w:r>
              <w:rPr>
                <w:sz w:val="21"/>
              </w:rPr>
              <w:t>14)</w:t>
            </w:r>
            <w:r>
              <w:rPr>
                <w:sz w:val="21"/>
              </w:rPr>
              <w:t>支持通过浏览器打开管理界面并登录功能；</w:t>
            </w:r>
          </w:p>
          <w:p>
            <w:pPr>
              <w:pStyle w:val="null3"/>
            </w:pPr>
            <w:r>
              <w:rPr>
                <w:sz w:val="21"/>
              </w:rPr>
              <w:t>15)</w:t>
            </w:r>
            <w:r>
              <w:rPr>
                <w:sz w:val="21"/>
              </w:rPr>
              <w:t>支持设置口令策略功能；</w:t>
            </w:r>
          </w:p>
          <w:p>
            <w:pPr>
              <w:pStyle w:val="null3"/>
            </w:pPr>
            <w:r>
              <w:rPr>
                <w:sz w:val="21"/>
              </w:rPr>
              <w:t>16)</w:t>
            </w:r>
            <w:r>
              <w:rPr>
                <w:sz w:val="21"/>
              </w:rPr>
              <w:t>支持访问权限设置功能，</w:t>
            </w:r>
            <w:r>
              <w:rPr>
                <w:sz w:val="21"/>
              </w:rPr>
              <w:t>并通过日志记录访问事件；</w:t>
            </w:r>
          </w:p>
          <w:p>
            <w:pPr>
              <w:pStyle w:val="null3"/>
            </w:pPr>
            <w:r>
              <w:rPr>
                <w:sz w:val="21"/>
              </w:rPr>
              <w:t>17)</w:t>
            </w:r>
            <w:r>
              <w:rPr>
                <w:sz w:val="21"/>
              </w:rPr>
              <w:t>支持对出厂默认的用户名及口令进行安全保护功能，并提供默认口令修改提示；</w:t>
            </w:r>
          </w:p>
          <w:p>
            <w:pPr>
              <w:pStyle w:val="null3"/>
            </w:pPr>
            <w:r>
              <w:rPr>
                <w:sz w:val="21"/>
              </w:rPr>
              <w:t>18)</w:t>
            </w:r>
            <w:r>
              <w:rPr>
                <w:sz w:val="21"/>
              </w:rPr>
              <w:t>支持读取设备主板的工作环境温度功能；</w:t>
            </w:r>
          </w:p>
          <w:p>
            <w:pPr>
              <w:pStyle w:val="null3"/>
            </w:pPr>
            <w:r>
              <w:rPr>
                <w:sz w:val="21"/>
              </w:rPr>
              <w:t>19)</w:t>
            </w:r>
            <w:r>
              <w:rPr>
                <w:sz w:val="21"/>
              </w:rPr>
              <w:t>支持读取服务器</w:t>
            </w:r>
            <w:r>
              <w:rPr>
                <w:sz w:val="21"/>
              </w:rPr>
              <w:t>CPU</w:t>
            </w:r>
            <w:r>
              <w:rPr>
                <w:sz w:val="21"/>
              </w:rPr>
              <w:t>等核心器件的温度功能；</w:t>
            </w:r>
          </w:p>
          <w:p>
            <w:pPr>
              <w:pStyle w:val="null3"/>
            </w:pPr>
            <w:r>
              <w:rPr>
                <w:sz w:val="21"/>
              </w:rPr>
              <w:t>20)</w:t>
            </w:r>
            <w:r>
              <w:rPr>
                <w:sz w:val="21"/>
              </w:rPr>
              <w:t>支持通过外部管理工具进行</w:t>
            </w:r>
            <w:r>
              <w:rPr>
                <w:sz w:val="21"/>
              </w:rPr>
              <w:t>BMC</w:t>
            </w:r>
            <w:r>
              <w:rPr>
                <w:sz w:val="21"/>
              </w:rPr>
              <w:t>参数设置的功能，并可基于网络通过外部管理工具对</w:t>
            </w:r>
            <w:r>
              <w:rPr>
                <w:sz w:val="21"/>
              </w:rPr>
              <w:t>BMC</w:t>
            </w:r>
            <w:r>
              <w:rPr>
                <w:sz w:val="21"/>
              </w:rPr>
              <w:t>进行管理；</w:t>
            </w:r>
          </w:p>
          <w:p>
            <w:pPr>
              <w:pStyle w:val="null3"/>
            </w:pPr>
            <w:r>
              <w:rPr>
                <w:sz w:val="21"/>
              </w:rPr>
              <w:t>21)</w:t>
            </w:r>
            <w:r>
              <w:rPr>
                <w:sz w:val="21"/>
              </w:rPr>
              <w:t>应支持固件版本查询、固件升级；</w:t>
            </w:r>
          </w:p>
          <w:p>
            <w:pPr>
              <w:pStyle w:val="null3"/>
            </w:pPr>
            <w:r>
              <w:rPr>
                <w:sz w:val="21"/>
              </w:rPr>
              <w:t>22)</w:t>
            </w:r>
            <w:r>
              <w:rPr>
                <w:sz w:val="21"/>
              </w:rPr>
              <w:t>支持基于网络实现开关机和复位控制的功能；</w:t>
            </w:r>
          </w:p>
          <w:p>
            <w:pPr>
              <w:pStyle w:val="null3"/>
            </w:pPr>
            <w:r>
              <w:rPr>
                <w:sz w:val="21"/>
              </w:rPr>
              <w:t>23)BMC</w:t>
            </w:r>
            <w:r>
              <w:rPr>
                <w:sz w:val="21"/>
              </w:rPr>
              <w:t>启动时间应不超过</w:t>
            </w:r>
            <w:r>
              <w:rPr>
                <w:sz w:val="21"/>
              </w:rPr>
              <w:t xml:space="preserve">180s, </w:t>
            </w:r>
            <w:r>
              <w:rPr>
                <w:sz w:val="21"/>
              </w:rPr>
              <w:t>实现功能包括网络、</w:t>
            </w:r>
            <w:r>
              <w:rPr>
                <w:sz w:val="21"/>
              </w:rPr>
              <w:t>IPMI</w:t>
            </w:r>
            <w:r>
              <w:rPr>
                <w:sz w:val="21"/>
              </w:rPr>
              <w:t>、散热、传感器服务可用；</w:t>
            </w:r>
          </w:p>
          <w:p>
            <w:pPr>
              <w:pStyle w:val="null3"/>
            </w:pPr>
            <w:r>
              <w:rPr>
                <w:sz w:val="21"/>
              </w:rPr>
              <w:t>24)</w:t>
            </w:r>
            <w:r>
              <w:rPr>
                <w:sz w:val="21"/>
              </w:rPr>
              <w:t>支持</w:t>
            </w:r>
            <w:r>
              <w:rPr>
                <w:sz w:val="21"/>
              </w:rPr>
              <w:t>BMC</w:t>
            </w:r>
            <w:r>
              <w:rPr>
                <w:sz w:val="21"/>
              </w:rPr>
              <w:t>固件设置的恢复出厂功能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BIOS</w:t>
            </w:r>
            <w:r>
              <w:rPr>
                <w:sz w:val="21"/>
              </w:rPr>
              <w:t>固件基础功能</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a) </w:t>
            </w:r>
            <w:r>
              <w:rPr>
                <w:sz w:val="21"/>
              </w:rPr>
              <w:t>支持查看固件版本、内存信息、主板信息、处理器信息和系统时间信息功能；</w:t>
            </w:r>
          </w:p>
          <w:p>
            <w:pPr>
              <w:pStyle w:val="null3"/>
            </w:pPr>
            <w:r>
              <w:rPr>
                <w:sz w:val="21"/>
              </w:rPr>
              <w:t xml:space="preserve">b) </w:t>
            </w:r>
            <w:r>
              <w:rPr>
                <w:sz w:val="21"/>
              </w:rPr>
              <w:t>支持上电初始化界面显示</w:t>
            </w:r>
            <w:r>
              <w:rPr>
                <w:sz w:val="21"/>
              </w:rPr>
              <w:t xml:space="preserve">CPU </w:t>
            </w:r>
            <w:r>
              <w:rPr>
                <w:sz w:val="21"/>
              </w:rPr>
              <w:t>信息、内存信息、固件版本和部分快捷键信息功能；</w:t>
            </w:r>
          </w:p>
          <w:p>
            <w:pPr>
              <w:pStyle w:val="null3"/>
            </w:pPr>
            <w:r>
              <w:rPr>
                <w:sz w:val="21"/>
              </w:rPr>
              <w:t xml:space="preserve">c) </w:t>
            </w:r>
            <w:r>
              <w:rPr>
                <w:sz w:val="21"/>
              </w:rPr>
              <w:t>支持设置界面中英文显示切换功能；</w:t>
            </w:r>
          </w:p>
          <w:p>
            <w:pPr>
              <w:pStyle w:val="null3"/>
            </w:pPr>
            <w:r>
              <w:rPr>
                <w:sz w:val="21"/>
              </w:rPr>
              <w:t xml:space="preserve">d) </w:t>
            </w:r>
            <w:r>
              <w:rPr>
                <w:sz w:val="21"/>
              </w:rPr>
              <w:t>支持查看</w:t>
            </w:r>
            <w:r>
              <w:rPr>
                <w:sz w:val="21"/>
              </w:rPr>
              <w:t>PCIe</w:t>
            </w:r>
            <w:r>
              <w:rPr>
                <w:sz w:val="21"/>
              </w:rPr>
              <w:t>设备信息，</w:t>
            </w:r>
            <w:r>
              <w:rPr>
                <w:sz w:val="21"/>
              </w:rPr>
              <w:t>SATA</w:t>
            </w:r>
            <w:r>
              <w:rPr>
                <w:sz w:val="21"/>
              </w:rPr>
              <w:t>设备信息功能；</w:t>
            </w:r>
          </w:p>
          <w:p>
            <w:pPr>
              <w:pStyle w:val="null3"/>
            </w:pPr>
            <w:r>
              <w:rPr>
                <w:sz w:val="21"/>
              </w:rPr>
              <w:t xml:space="preserve">e) </w:t>
            </w:r>
            <w:r>
              <w:rPr>
                <w:sz w:val="21"/>
              </w:rPr>
              <w:t>支持操作系统安装和引导功能，应并向操作系统提供计算机主板信息和服务接口；</w:t>
            </w:r>
          </w:p>
          <w:p>
            <w:pPr>
              <w:pStyle w:val="null3"/>
            </w:pPr>
            <w:r>
              <w:rPr>
                <w:sz w:val="21"/>
              </w:rPr>
              <w:t xml:space="preserve">f) </w:t>
            </w:r>
            <w:r>
              <w:rPr>
                <w:sz w:val="21"/>
              </w:rPr>
              <w:t>支持设置启动顺序，</w:t>
            </w:r>
            <w:r>
              <w:rPr>
                <w:sz w:val="21"/>
              </w:rPr>
              <w:t>并按照设置的启动顺序启动功能；</w:t>
            </w:r>
          </w:p>
          <w:p>
            <w:pPr>
              <w:pStyle w:val="null3"/>
            </w:pPr>
            <w:r>
              <w:rPr>
                <w:sz w:val="21"/>
              </w:rPr>
              <w:t xml:space="preserve">g) </w:t>
            </w:r>
            <w:r>
              <w:rPr>
                <w:sz w:val="21"/>
              </w:rPr>
              <w:t>支持安全启动功能；</w:t>
            </w:r>
          </w:p>
          <w:p>
            <w:pPr>
              <w:pStyle w:val="null3"/>
            </w:pPr>
            <w:r>
              <w:rPr>
                <w:sz w:val="21"/>
              </w:rPr>
              <w:t xml:space="preserve">h) </w:t>
            </w:r>
            <w:r>
              <w:rPr>
                <w:sz w:val="21"/>
              </w:rPr>
              <w:t>支持设置口令、修改口令、验证口令功能；</w:t>
            </w:r>
          </w:p>
          <w:p>
            <w:pPr>
              <w:pStyle w:val="null3"/>
            </w:pPr>
            <w:r>
              <w:rPr>
                <w:sz w:val="21"/>
              </w:rPr>
              <w:t xml:space="preserve">i) </w:t>
            </w:r>
            <w:r>
              <w:rPr>
                <w:sz w:val="21"/>
              </w:rPr>
              <w:t>支持板载显示控制或独立显卡的显示控制功能；</w:t>
            </w:r>
          </w:p>
          <w:p>
            <w:pPr>
              <w:pStyle w:val="null3"/>
            </w:pPr>
            <w:r>
              <w:rPr>
                <w:sz w:val="21"/>
              </w:rPr>
              <w:t xml:space="preserve">j) </w:t>
            </w:r>
            <w:r>
              <w:rPr>
                <w:sz w:val="21"/>
              </w:rPr>
              <w:t>支持</w:t>
            </w:r>
            <w:r>
              <w:rPr>
                <w:sz w:val="21"/>
              </w:rPr>
              <w:t>RAID</w:t>
            </w:r>
            <w:r>
              <w:rPr>
                <w:sz w:val="21"/>
              </w:rPr>
              <w:t>识别和启动功能；</w:t>
            </w:r>
          </w:p>
          <w:p>
            <w:pPr>
              <w:pStyle w:val="null3"/>
            </w:pPr>
            <w:r>
              <w:rPr>
                <w:sz w:val="21"/>
              </w:rPr>
              <w:t xml:space="preserve">k) </w:t>
            </w:r>
            <w:r>
              <w:rPr>
                <w:sz w:val="21"/>
              </w:rPr>
              <w:t>支持串口重定向功能；</w:t>
            </w:r>
          </w:p>
          <w:p>
            <w:pPr>
              <w:pStyle w:val="null3"/>
            </w:pPr>
            <w:r>
              <w:rPr>
                <w:sz w:val="21"/>
              </w:rPr>
              <w:t xml:space="preserve">1) </w:t>
            </w:r>
            <w:r>
              <w:rPr>
                <w:sz w:val="21"/>
              </w:rPr>
              <w:t>支持固件更新功能；</w:t>
            </w:r>
          </w:p>
          <w:p>
            <w:pPr>
              <w:pStyle w:val="null3"/>
            </w:pPr>
            <w:r>
              <w:rPr>
                <w:sz w:val="21"/>
              </w:rPr>
              <w:t xml:space="preserve">m) </w:t>
            </w:r>
            <w:r>
              <w:rPr>
                <w:sz w:val="21"/>
              </w:rPr>
              <w:t>支持</w:t>
            </w:r>
            <w:r>
              <w:rPr>
                <w:sz w:val="21"/>
              </w:rPr>
              <w:t xml:space="preserve">BIOS </w:t>
            </w:r>
            <w:r>
              <w:rPr>
                <w:sz w:val="21"/>
              </w:rPr>
              <w:t>固件设置的恢复出厂功能；</w:t>
            </w:r>
          </w:p>
          <w:p>
            <w:pPr>
              <w:pStyle w:val="null3"/>
            </w:pPr>
            <w:r>
              <w:rPr>
                <w:sz w:val="21"/>
              </w:rPr>
              <w:t xml:space="preserve">n) </w:t>
            </w:r>
            <w:r>
              <w:rPr>
                <w:sz w:val="21"/>
              </w:rPr>
              <w:t>支持网络引导启用和关闭功能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远程控制</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支持远程关机和重新启动功能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7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操作</w:t>
            </w:r>
          </w:p>
          <w:p>
            <w:pPr>
              <w:pStyle w:val="null3"/>
            </w:pPr>
            <w:r>
              <w:rPr>
                <w:sz w:val="21"/>
              </w:rPr>
              <w:t>系统及驱动功能</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操作系统及驱动的升级</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支持通过网络、闪存盘对操作系统、驱动进行升级</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操作系统功能</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a) </w:t>
            </w:r>
            <w:r>
              <w:rPr>
                <w:sz w:val="21"/>
              </w:rPr>
              <w:t>支持访问控制、安全审计、网络接入鉴别等功能；</w:t>
            </w:r>
          </w:p>
          <w:p>
            <w:pPr>
              <w:pStyle w:val="null3"/>
            </w:pPr>
            <w:r>
              <w:rPr>
                <w:sz w:val="21"/>
              </w:rPr>
              <w:t xml:space="preserve">b) </w:t>
            </w:r>
            <w:r>
              <w:rPr>
                <w:sz w:val="21"/>
              </w:rPr>
              <w:t>操作系统其他功能应满足操作系统政府采购需求标准中加的指标要求</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功能要求</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中文信息处理功能</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中文信息处理</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符合</w:t>
            </w:r>
            <w:r>
              <w:rPr>
                <w:sz w:val="21"/>
              </w:rPr>
              <w:t>GB 18030</w:t>
            </w:r>
            <w:r>
              <w:rPr>
                <w:sz w:val="21"/>
              </w:rPr>
              <w:t>的有关规定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安全要求</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关键部件安全要求</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关键部件安全要求</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CPU</w:t>
            </w:r>
            <w:r>
              <w:rPr>
                <w:sz w:val="21"/>
              </w:rPr>
              <w:t>和操作系统等关键部件应当符合安全可靠测评要求，通过政府有关部门指定的中国信息安全测评中心和国家保密科技测评中心网站查看安全可靠测评结果。</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安全要求</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固件安全要求</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故障检测</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支持故障检测功能，可以检测到具体的</w:t>
            </w:r>
            <w:r>
              <w:rPr>
                <w:sz w:val="21"/>
              </w:rPr>
              <w:t>FRU</w:t>
            </w:r>
            <w:r>
              <w:rPr>
                <w:sz w:val="21"/>
              </w:rPr>
              <w:t>（内存、硬盘等）的故障并发出告警</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安全要求</w:t>
            </w:r>
          </w:p>
        </w:tc>
        <w:tc>
          <w:tcPr>
            <w:tcW w:type="dxa" w:w="7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系统安全要求</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弱口令字典检查</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支持弱口令字典检查功能，出现在弱口令字典中的字符串不能被设置为用户口令</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安全要求</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白名单访问控制</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支持基于时间、</w:t>
            </w:r>
            <w:r>
              <w:rPr>
                <w:sz w:val="21"/>
              </w:rPr>
              <w:t>IP</w:t>
            </w:r>
            <w:r>
              <w:rPr>
                <w:sz w:val="21"/>
              </w:rPr>
              <w:t>或</w:t>
            </w:r>
            <w:r>
              <w:rPr>
                <w:sz w:val="21"/>
              </w:rPr>
              <w:t>MAC</w:t>
            </w:r>
            <w:r>
              <w:rPr>
                <w:sz w:val="21"/>
              </w:rPr>
              <w:t>白名单访问控制</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安全要求</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二次鉴别</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支持二次鉴别功能。对于用户配置、权限配置、公钥导入等重要的管理操作，已登录用户应通过二次鉴别后，才能执行操作</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安全要求</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密码证书安全加密存储</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支持对带外管理系统中的用户口令和证书等敏感信息进行加密存储，禁止使用私有的和业界已知不安全的密码算法</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安全要求</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敏感信息安全加密传输</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支持使用安全的传输加密协议</w:t>
            </w:r>
            <w:r>
              <w:rPr>
                <w:sz w:val="21"/>
              </w:rPr>
              <w:t xml:space="preserve"> (</w:t>
            </w:r>
            <w:r>
              <w:rPr>
                <w:sz w:val="21"/>
              </w:rPr>
              <w:t>如</w:t>
            </w:r>
            <w:r>
              <w:rPr>
                <w:sz w:val="21"/>
              </w:rPr>
              <w:t>SSH</w:t>
            </w:r>
            <w:r>
              <w:rPr>
                <w:sz w:val="21"/>
              </w:rPr>
              <w:t>或</w:t>
            </w:r>
            <w:r>
              <w:rPr>
                <w:sz w:val="21"/>
              </w:rPr>
              <w:t>HTTPS</w:t>
            </w:r>
            <w:r>
              <w:rPr>
                <w:sz w:val="21"/>
              </w:rPr>
              <w:t>等</w:t>
            </w:r>
            <w:r>
              <w:rPr>
                <w:sz w:val="21"/>
              </w:rPr>
              <w:t>)</w:t>
            </w:r>
            <w:r>
              <w:rPr>
                <w:sz w:val="21"/>
              </w:rPr>
              <w:t>传输用户的敏感信息</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安全要求</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信息安全要求</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研发过程安全</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供应商承诺，</w:t>
            </w:r>
            <w:r>
              <w:rPr>
                <w:sz w:val="21"/>
              </w:rPr>
              <w:t>生产商已建立从需求、设计、开发、测试、维护端到端的开发流程管理机制，输出和保存开发流程中每个阶段的产品需求清单、设计文档、开发文档、测试记录等材料，保证各个流程可追溯</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安全要求</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物理安全</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物理安全</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安全要求应符合</w:t>
            </w:r>
            <w:r>
              <w:rPr>
                <w:sz w:val="21"/>
              </w:rPr>
              <w:t xml:space="preserve">GB 4943.1 </w:t>
            </w:r>
            <w:r>
              <w:rPr>
                <w:sz w:val="21"/>
              </w:rPr>
              <w:t>的规定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安全要求</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限用物质的限量要求</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限用物质的限量要求</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限用物质的限量应符合</w:t>
            </w:r>
            <w:r>
              <w:rPr>
                <w:sz w:val="21"/>
              </w:rPr>
              <w:t>GB/T 26572</w:t>
            </w:r>
            <w:r>
              <w:rPr>
                <w:sz w:val="21"/>
              </w:rPr>
              <w:t>的要求</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7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CPU</w:t>
            </w:r>
            <w:r>
              <w:rPr>
                <w:sz w:val="21"/>
              </w:rPr>
              <w:t>性能</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CPU</w:t>
            </w:r>
            <w:r>
              <w:rPr>
                <w:sz w:val="21"/>
              </w:rPr>
              <w:t>主频</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2.6GHz</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单</w:t>
            </w:r>
            <w:r>
              <w:rPr>
                <w:sz w:val="21"/>
              </w:rPr>
              <w:t>CPU</w:t>
            </w:r>
            <w:r>
              <w:rPr>
                <w:sz w:val="21"/>
              </w:rPr>
              <w:t>核数</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48</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单</w:t>
            </w:r>
            <w:r>
              <w:rPr>
                <w:sz w:val="21"/>
              </w:rPr>
              <w:t>CPU</w:t>
            </w:r>
            <w:r>
              <w:rPr>
                <w:sz w:val="21"/>
              </w:rPr>
              <w:t>末级缓存容量</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256MB</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7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内存性能</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单内存模块容量</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64GB</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内存速率</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4800MT/s</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显卡</w:t>
            </w:r>
          </w:p>
          <w:p>
            <w:pPr>
              <w:pStyle w:val="null3"/>
            </w:pPr>
            <w:r>
              <w:rPr>
                <w:sz w:val="21"/>
              </w:rPr>
              <w:t>性能</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独立显卡性能</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显卡显示芯片核心频率≥</w:t>
            </w:r>
            <w:r>
              <w:rPr>
                <w:sz w:val="21"/>
              </w:rPr>
              <w:t>855MHz</w:t>
            </w:r>
            <w:r>
              <w:rPr>
                <w:sz w:val="21"/>
              </w:rPr>
              <w:t>；</w:t>
            </w:r>
          </w:p>
          <w:p>
            <w:pPr>
              <w:pStyle w:val="null3"/>
            </w:pPr>
            <w:r>
              <w:rPr>
                <w:sz w:val="21"/>
              </w:rPr>
              <w:t>显存等效频率≥</w:t>
            </w:r>
            <w:r>
              <w:rPr>
                <w:sz w:val="21"/>
              </w:rPr>
              <w:t>30000MT/s</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RAID</w:t>
            </w:r>
            <w:r>
              <w:rPr>
                <w:sz w:val="21"/>
              </w:rPr>
              <w:t>卡性能</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RAID</w:t>
            </w:r>
            <w:r>
              <w:rPr>
                <w:sz w:val="21"/>
              </w:rPr>
              <w:t>卡缓存容量大小</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配备</w:t>
            </w:r>
            <w:r>
              <w:rPr>
                <w:sz w:val="21"/>
              </w:rPr>
              <w:t xml:space="preserve">RAID </w:t>
            </w:r>
            <w:r>
              <w:rPr>
                <w:sz w:val="21"/>
              </w:rPr>
              <w:t>卡且</w:t>
            </w:r>
            <w:r>
              <w:rPr>
                <w:sz w:val="21"/>
              </w:rPr>
              <w:t>RAID</w:t>
            </w:r>
            <w:r>
              <w:rPr>
                <w:sz w:val="21"/>
              </w:rPr>
              <w:t>卡有缓存容量，容量不少于</w:t>
            </w:r>
            <w:r>
              <w:rPr>
                <w:sz w:val="21"/>
              </w:rPr>
              <w:t>4GB</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性能要求</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电源能耗</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电源能耗</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符合</w:t>
            </w:r>
            <w:r>
              <w:rPr>
                <w:sz w:val="21"/>
              </w:rPr>
              <w:t>GB/T 9813.3</w:t>
            </w:r>
            <w:r>
              <w:rPr>
                <w:sz w:val="21"/>
              </w:rPr>
              <w:t>的有关规定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兼容要求</w:t>
            </w:r>
          </w:p>
        </w:tc>
        <w:tc>
          <w:tcPr>
            <w:tcW w:type="dxa" w:w="7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部件兼容性要求</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内存兼容性</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适配</w:t>
            </w:r>
            <w:r>
              <w:rPr>
                <w:sz w:val="21"/>
              </w:rPr>
              <w:t>3</w:t>
            </w:r>
            <w:r>
              <w:rPr>
                <w:sz w:val="21"/>
              </w:rPr>
              <w:t>种及以上厂商的内存产品，且均不低于产品支持的内存规格</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兼容要求</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固态存储兼容性</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适配</w:t>
            </w:r>
            <w:r>
              <w:rPr>
                <w:sz w:val="21"/>
              </w:rPr>
              <w:t>3</w:t>
            </w:r>
            <w:r>
              <w:rPr>
                <w:sz w:val="21"/>
              </w:rPr>
              <w:t>种或以上厂商的固态存储产品，且均不低于产品支持的固态存储设备规格</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兼容要求</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网卡兼容性</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网卡应适配两种或以上厂商产品</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兼容要求</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功能卡兼容性</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内置或适配符合</w:t>
            </w:r>
            <w:r>
              <w:rPr>
                <w:sz w:val="21"/>
              </w:rPr>
              <w:t>PCIe</w:t>
            </w:r>
            <w:r>
              <w:rPr>
                <w:sz w:val="21"/>
              </w:rPr>
              <w:t>的功能卡，如：网络功能卡、存储功能卡及图形显示功能卡</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兼容要求</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外设兼容性</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外设兼容性</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兼容多种主流生产商的外部设备，包括显示器、键盘、鼠标、闪存盘、移动硬盘、</w:t>
            </w:r>
            <w:r>
              <w:rPr>
                <w:sz w:val="21"/>
              </w:rPr>
              <w:t>USB</w:t>
            </w:r>
            <w:r>
              <w:rPr>
                <w:sz w:val="21"/>
              </w:rPr>
              <w:t>光驱及</w:t>
            </w:r>
            <w:r>
              <w:rPr>
                <w:sz w:val="21"/>
              </w:rPr>
              <w:t>KVM</w:t>
            </w:r>
            <w:r>
              <w:rPr>
                <w:sz w:val="21"/>
              </w:rPr>
              <w:t>等，要求使用不同厂商的外部设备时，</w:t>
            </w:r>
            <w:r>
              <w:rPr>
                <w:sz w:val="21"/>
              </w:rPr>
              <w:t>系统均能正常识别和安装驱动</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兼容要求</w:t>
            </w:r>
          </w:p>
        </w:tc>
        <w:tc>
          <w:tcPr>
            <w:tcW w:type="dxa" w:w="7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软件兼容性</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数据库兼容</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兼容</w:t>
            </w:r>
            <w:r>
              <w:rPr>
                <w:sz w:val="21"/>
              </w:rPr>
              <w:t>3</w:t>
            </w:r>
            <w:r>
              <w:rPr>
                <w:sz w:val="21"/>
              </w:rPr>
              <w:t>个及以上厂商的数据库产品</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兼容要求</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中间件兼容</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兼容</w:t>
            </w:r>
            <w:r>
              <w:rPr>
                <w:sz w:val="21"/>
              </w:rPr>
              <w:t>3</w:t>
            </w:r>
            <w:r>
              <w:rPr>
                <w:sz w:val="21"/>
              </w:rPr>
              <w:t>个及以上厂商的中间件产品</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兼容要求</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平台软件兼容</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兼容</w:t>
            </w:r>
            <w:r>
              <w:rPr>
                <w:sz w:val="21"/>
              </w:rPr>
              <w:t>3</w:t>
            </w:r>
            <w:r>
              <w:rPr>
                <w:sz w:val="21"/>
              </w:rPr>
              <w:t>个及以上厂商的大数据平台</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可靠性要求</w:t>
            </w:r>
          </w:p>
        </w:tc>
        <w:tc>
          <w:tcPr>
            <w:tcW w:type="dxa" w:w="7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整机可靠性要求</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整机可靠性</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MTBF(m1)</w:t>
            </w:r>
            <w:r>
              <w:rPr>
                <w:sz w:val="21"/>
              </w:rPr>
              <w:t>≥</w:t>
            </w:r>
            <w:r>
              <w:rPr>
                <w:sz w:val="21"/>
              </w:rPr>
              <w:t>10</w:t>
            </w:r>
            <w:r>
              <w:rPr>
                <w:sz w:val="21"/>
              </w:rPr>
              <w:t>万小时</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可靠性要求</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风扇可靠性</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风扇寿命应不低于</w:t>
            </w:r>
            <w:r>
              <w:rPr>
                <w:sz w:val="21"/>
              </w:rPr>
              <w:t>40000h</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可靠性要求</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部件可靠性</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支持硬盘、电源、风扇热插拔（内置风扇除外）</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包装及运输要求</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包装及运输要求</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标志、包装、运输和贮存</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符合</w:t>
            </w:r>
            <w:r>
              <w:rPr>
                <w:sz w:val="21"/>
              </w:rPr>
              <w:t>GB/T 9813.3</w:t>
            </w:r>
            <w:r>
              <w:rPr>
                <w:sz w:val="21"/>
              </w:rPr>
              <w:t>和商品包装政府采购需求标准的相关规定</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软件服务</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预装操作系统</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预装正版银河麒麟高级服务器操作系统</w:t>
            </w:r>
            <w:r>
              <w:rPr>
                <w:sz w:val="21"/>
              </w:rPr>
              <w:t xml:space="preserve"> V10 SP3</w:t>
            </w:r>
          </w:p>
          <w:p>
            <w:pPr>
              <w:pStyle w:val="null3"/>
            </w:pPr>
            <w:r>
              <w:rPr>
                <w:sz w:val="21"/>
              </w:rPr>
              <w:t>（内核版本</w:t>
            </w:r>
            <w:r>
              <w:rPr>
                <w:sz w:val="21"/>
              </w:rPr>
              <w:t>4.19</w:t>
            </w:r>
            <w:r>
              <w:rPr>
                <w:sz w:val="21"/>
              </w:rPr>
              <w:t>），含不少于</w:t>
            </w:r>
            <w:r>
              <w:rPr>
                <w:sz w:val="21"/>
              </w:rPr>
              <w:t>3</w:t>
            </w:r>
            <w:r>
              <w:rPr>
                <w:sz w:val="21"/>
              </w:rPr>
              <w:t>年升级服务</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7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服务响应</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服务响应</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a) </w:t>
            </w:r>
            <w:r>
              <w:rPr>
                <w:sz w:val="21"/>
              </w:rPr>
              <w:t>提供电话、电子邮件、远程连接等多种形式服务；</w:t>
            </w:r>
          </w:p>
          <w:p>
            <w:pPr>
              <w:pStyle w:val="null3"/>
            </w:pPr>
            <w:r>
              <w:rPr>
                <w:sz w:val="21"/>
              </w:rPr>
              <w:t xml:space="preserve">b) </w:t>
            </w:r>
            <w:r>
              <w:rPr>
                <w:sz w:val="21"/>
              </w:rPr>
              <w:t>提供同城</w:t>
            </w:r>
            <w:r>
              <w:rPr>
                <w:sz w:val="21"/>
              </w:rPr>
              <w:t>4h</w:t>
            </w:r>
            <w:r>
              <w:rPr>
                <w:sz w:val="21"/>
              </w:rPr>
              <w:t>、异地</w:t>
            </w:r>
            <w:r>
              <w:rPr>
                <w:sz w:val="21"/>
              </w:rPr>
              <w:t>12h</w:t>
            </w:r>
            <w:r>
              <w:rPr>
                <w:sz w:val="21"/>
              </w:rPr>
              <w:t>技术响应服务，</w:t>
            </w:r>
            <w:r>
              <w:rPr>
                <w:sz w:val="21"/>
              </w:rPr>
              <w:t>2</w:t>
            </w:r>
            <w:r>
              <w:rPr>
                <w:sz w:val="21"/>
              </w:rPr>
              <w:t>个工作日解决问题，</w:t>
            </w:r>
            <w:r>
              <w:rPr>
                <w:sz w:val="21"/>
              </w:rPr>
              <w:t>对于未能解决的问题和故障应提供可行的升级方案，并提供周转设备；</w:t>
            </w:r>
          </w:p>
          <w:p>
            <w:pPr>
              <w:pStyle w:val="null3"/>
            </w:pPr>
            <w:r>
              <w:rPr>
                <w:sz w:val="21"/>
              </w:rPr>
              <w:t xml:space="preserve">c) </w:t>
            </w:r>
            <w:r>
              <w:rPr>
                <w:sz w:val="21"/>
              </w:rPr>
              <w:t>建立全国技术服务体系和服务团体，符合专业服务体系标准要求，提供原厂中文服务；</w:t>
            </w:r>
          </w:p>
          <w:p>
            <w:pPr>
              <w:pStyle w:val="null3"/>
            </w:pPr>
            <w:r>
              <w:rPr>
                <w:sz w:val="21"/>
              </w:rPr>
              <w:t xml:space="preserve">d) </w:t>
            </w:r>
            <w:r>
              <w:rPr>
                <w:sz w:val="21"/>
              </w:rPr>
              <w:t>服务周期内提供产品的维修、换件（硬盘不返还）和升级服务</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培训服务</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供应商提供培训材料、产品手册、培训视频等培训相关内容</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服务周期</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服务周期</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a) </w:t>
            </w:r>
            <w:r>
              <w:rPr>
                <w:sz w:val="21"/>
              </w:rPr>
              <w:t>产品免费服务周期（含换件和维修）应不小于</w:t>
            </w:r>
            <w:r>
              <w:rPr>
                <w:sz w:val="21"/>
              </w:rPr>
              <w:t>3</w:t>
            </w:r>
            <w:r>
              <w:rPr>
                <w:sz w:val="21"/>
              </w:rPr>
              <w:t>年；</w:t>
            </w:r>
          </w:p>
          <w:p>
            <w:pPr>
              <w:pStyle w:val="null3"/>
            </w:pPr>
            <w:r>
              <w:rPr>
                <w:sz w:val="21"/>
              </w:rPr>
              <w:t xml:space="preserve">b) </w:t>
            </w:r>
            <w:r>
              <w:rPr>
                <w:sz w:val="21"/>
              </w:rPr>
              <w:t>设备停产后继续提供质量保障服务</w:t>
            </w:r>
            <w:r>
              <w:rPr>
                <w:sz w:val="21"/>
              </w:rPr>
              <w:t>(</w:t>
            </w:r>
            <w:r>
              <w:rPr>
                <w:sz w:val="21"/>
              </w:rPr>
              <w:t>含备品备件</w:t>
            </w:r>
            <w:r>
              <w:rPr>
                <w:sz w:val="21"/>
              </w:rPr>
              <w:t xml:space="preserve">) </w:t>
            </w:r>
            <w:r>
              <w:rPr>
                <w:sz w:val="21"/>
              </w:rPr>
              <w:t>，</w:t>
            </w:r>
            <w:r>
              <w:rPr>
                <w:sz w:val="21"/>
              </w:rPr>
              <w:t>服务终止时间与最后一批设备交付时间间隔不低于</w:t>
            </w:r>
            <w:r>
              <w:rPr>
                <w:sz w:val="21"/>
              </w:rPr>
              <w:t>6</w:t>
            </w:r>
            <w:r>
              <w:rPr>
                <w:sz w:val="21"/>
              </w:rPr>
              <w:t>年；</w:t>
            </w:r>
          </w:p>
          <w:p>
            <w:pPr>
              <w:pStyle w:val="null3"/>
            </w:pPr>
            <w:r>
              <w:rPr>
                <w:sz w:val="21"/>
              </w:rPr>
              <w:t xml:space="preserve">c) </w:t>
            </w:r>
            <w:r>
              <w:rPr>
                <w:sz w:val="21"/>
              </w:rPr>
              <w:t>产品停止服务时间应提前</w:t>
            </w:r>
            <w:r>
              <w:rPr>
                <w:sz w:val="21"/>
              </w:rPr>
              <w:t>1</w:t>
            </w:r>
            <w:r>
              <w:rPr>
                <w:sz w:val="21"/>
              </w:rPr>
              <w:t>年告知客户；</w:t>
            </w:r>
          </w:p>
          <w:p>
            <w:pPr>
              <w:pStyle w:val="null3"/>
            </w:pPr>
            <w:r>
              <w:rPr>
                <w:sz w:val="21"/>
              </w:rPr>
              <w:t xml:space="preserve">d) </w:t>
            </w:r>
            <w:r>
              <w:rPr>
                <w:sz w:val="21"/>
              </w:rPr>
              <w:t>产品发布日期需在随机文件中明确</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7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服务工具要求</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工具要求</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供应商提供设置服务器硬件、辅助操作系统安装等功能的辅助工具和管理软件。且随附软件应具有合法授权或版权</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驱动安装升级指引</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供应商提供出厂安装的配件所需的驱动程序，</w:t>
            </w:r>
            <w:r>
              <w:rPr>
                <w:sz w:val="21"/>
              </w:rPr>
              <w:t>形式包括但不限于驱动光盘、驱动下载链接等。其他配件应提供指引</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管理软件</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具备资源管理、系统管理、性能监控、健康监控、基于网络控制、报警设置功能</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7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增值服务</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厂家升级产品软件与扩容服务</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供应商提供原厂级的部件</w:t>
            </w:r>
            <w:r>
              <w:rPr>
                <w:sz w:val="21"/>
              </w:rPr>
              <w:t>/</w:t>
            </w:r>
            <w:r>
              <w:rPr>
                <w:sz w:val="21"/>
              </w:rPr>
              <w:t>软件产品升级和扩容能力</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服务要求</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提供上门服务</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免费服务周期（含换件和维修）≥</w:t>
            </w:r>
            <w:r>
              <w:rPr>
                <w:sz w:val="21"/>
              </w:rPr>
              <w:t>3</w:t>
            </w:r>
            <w:r>
              <w:rPr>
                <w:sz w:val="21"/>
              </w:rPr>
              <w:t>年，免费服务周期内硬盘损坏更换免回收；供应商具备提供上门服务的能力</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供保要求</w:t>
            </w:r>
          </w:p>
        </w:tc>
        <w:tc>
          <w:tcPr>
            <w:tcW w:type="dxa" w:w="7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供应链质量</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抗干扰性</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当产品部件出现供应风险时，</w:t>
            </w:r>
            <w:r>
              <w:rPr>
                <w:sz w:val="21"/>
              </w:rPr>
              <w:t>应通知客户并提供风险应对方案确保产品的服务保障，</w:t>
            </w:r>
            <w:r>
              <w:rPr>
                <w:sz w:val="21"/>
              </w:rPr>
              <w:t>必要时应停止相关受影响产品的销售</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87</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供保要求</w:t>
            </w:r>
          </w:p>
        </w:tc>
        <w:tc>
          <w:tcPr>
            <w:tcW w:type="dxa" w:w="763"/>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供应能力证明</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供应商提供供应链稳定承诺书，</w:t>
            </w:r>
            <w:r>
              <w:rPr>
                <w:sz w:val="21"/>
              </w:rPr>
              <w:t>确保产品的部件在产品服务周期内稳定供货</w:t>
            </w:r>
          </w:p>
        </w:tc>
      </w:tr>
      <w:tr>
        <w:tc>
          <w:tcPr>
            <w:tcW w:type="dxa" w:w="830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“”条款说明：供应商在投标时出具关于所提供的“服务器”是否满足采购文件要求的承诺函（上述“”指标应逐项响应，可参照“格式”中承诺函》格式）。</w:t>
            </w:r>
          </w:p>
          <w:p>
            <w:pPr>
              <w:pStyle w:val="null3"/>
              <w:jc w:val="left"/>
            </w:pPr>
            <w:r>
              <w:rPr>
                <w:sz w:val="21"/>
              </w:rPr>
              <w:t>提醒：供应商应实事求是响应本项目所列要求，如有虚假承诺，采购人将以供应商违反《中华人民共和国政府采购法》第七十七条第一款规定“提供虚假材料谋取中标、成交的”情况上报政府采购监管部门，供应商将被列入不良行为记录名单，在一至三年内禁止参加政府采购活动。</w:t>
            </w:r>
          </w:p>
        </w:tc>
      </w:tr>
    </w:tbl>
    <w:p>
      <w:pPr>
        <w:pStyle w:val="null3"/>
        <w:ind w:firstLine="420"/>
        <w:jc w:val="both"/>
      </w:pPr>
      <w:r>
        <w:rPr>
          <w:sz w:val="21"/>
          <w:b/>
        </w:rPr>
        <w:t>2.</w:t>
      </w:r>
      <w:r>
        <w:rPr>
          <w:sz w:val="21"/>
          <w:b/>
        </w:rPr>
        <w:t>商务要求</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标的提供的时间</w:t>
            </w:r>
          </w:p>
        </w:tc>
        <w:tc>
          <w:tcPr>
            <w:tcW w:type="dxa" w:w="4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合同生效之日起至</w:t>
            </w:r>
            <w:r>
              <w:rPr>
                <w:sz w:val="20"/>
              </w:rPr>
              <w:t>2025</w:t>
            </w:r>
            <w:r>
              <w:rPr>
                <w:sz w:val="20"/>
              </w:rPr>
              <w:t>年</w:t>
            </w:r>
            <w:r>
              <w:rPr>
                <w:sz w:val="20"/>
              </w:rPr>
              <w:t>4</w:t>
            </w:r>
            <w:r>
              <w:rPr>
                <w:sz w:val="20"/>
              </w:rPr>
              <w:t>月</w:t>
            </w:r>
            <w:r>
              <w:rPr>
                <w:sz w:val="20"/>
              </w:rPr>
              <w:t>15</w:t>
            </w:r>
            <w:r>
              <w:rPr>
                <w:sz w:val="20"/>
              </w:rPr>
              <w:t>日止。</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标的提供的地点</w:t>
            </w:r>
          </w:p>
        </w:tc>
        <w:tc>
          <w:tcPr>
            <w:tcW w:type="dxa" w:w="4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广东省广州市越秀区环市东路</w:t>
            </w:r>
            <w:r>
              <w:rPr>
                <w:sz w:val="20"/>
              </w:rPr>
              <w:t>468</w:t>
            </w:r>
            <w:r>
              <w:rPr>
                <w:sz w:val="20"/>
              </w:rPr>
              <w:t>号</w:t>
            </w:r>
            <w:r>
              <w:rPr>
                <w:sz w:val="20"/>
              </w:rPr>
              <w:t>1</w:t>
            </w:r>
            <w:r>
              <w:rPr>
                <w:sz w:val="20"/>
              </w:rPr>
              <w:t>号办公楼。</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付款方式</w:t>
            </w:r>
          </w:p>
        </w:tc>
        <w:tc>
          <w:tcPr>
            <w:tcW w:type="dxa" w:w="4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w:t>
            </w:r>
            <w:r>
              <w:rPr>
                <w:sz w:val="20"/>
              </w:rPr>
              <w:t>期：支付比例</w:t>
            </w:r>
            <w:r>
              <w:rPr>
                <w:sz w:val="20"/>
              </w:rPr>
              <w:t>50%</w:t>
            </w:r>
            <w:r>
              <w:rPr>
                <w:sz w:val="20"/>
              </w:rPr>
              <w:t>，本项目签订合同生效后，采购人在收到供应商提供本项目招标文件要求的所有原厂盖章证明材料和税务部门认可的相应金额有效增值税普通发票之日起</w:t>
            </w:r>
            <w:r>
              <w:rPr>
                <w:sz w:val="20"/>
              </w:rPr>
              <w:t>10</w:t>
            </w:r>
            <w:r>
              <w:rPr>
                <w:sz w:val="20"/>
              </w:rPr>
              <w:t>个工作日内，向供应商支付中标价款总额的</w:t>
            </w:r>
            <w:r>
              <w:rPr>
                <w:sz w:val="20"/>
              </w:rPr>
              <w:t>50%</w:t>
            </w:r>
            <w:r>
              <w:rPr>
                <w:sz w:val="20"/>
              </w:rPr>
              <w:t>；</w:t>
            </w:r>
          </w:p>
          <w:p>
            <w:pPr>
              <w:pStyle w:val="null3"/>
            </w:pPr>
            <w:r>
              <w:rPr>
                <w:sz w:val="20"/>
              </w:rPr>
              <w:t>2</w:t>
            </w:r>
            <w:r>
              <w:rPr>
                <w:sz w:val="20"/>
              </w:rPr>
              <w:t>期：支付比例</w:t>
            </w:r>
            <w:r>
              <w:rPr>
                <w:sz w:val="20"/>
              </w:rPr>
              <w:t>50%</w:t>
            </w:r>
            <w:r>
              <w:rPr>
                <w:sz w:val="20"/>
              </w:rPr>
              <w:t>，本项目通过验收后，采购人在收到供应商提供的税务部门认可的</w:t>
            </w:r>
            <w:r>
              <w:rPr>
                <w:sz w:val="20"/>
              </w:rPr>
              <w:t>相应金额</w:t>
            </w:r>
            <w:r>
              <w:rPr>
                <w:sz w:val="20"/>
              </w:rPr>
              <w:t>有效增值税普通发票之日起</w:t>
            </w:r>
            <w:r>
              <w:rPr>
                <w:sz w:val="20"/>
              </w:rPr>
              <w:t>10</w:t>
            </w:r>
            <w:r>
              <w:rPr>
                <w:sz w:val="20"/>
              </w:rPr>
              <w:t>个工作日内，向供应商支付中标价款总额的</w:t>
            </w:r>
            <w:r>
              <w:rPr>
                <w:sz w:val="20"/>
              </w:rPr>
              <w:t>50%</w:t>
            </w:r>
            <w:r>
              <w:rPr>
                <w:sz w:val="20"/>
              </w:rPr>
              <w:t>。</w:t>
            </w:r>
          </w:p>
          <w:p>
            <w:pPr>
              <w:pStyle w:val="null3"/>
            </w:pPr>
            <w:r>
              <w:rPr>
                <w:sz w:val="20"/>
              </w:rPr>
              <w:t>如项目发生合同融资，采购人应当将合同款项支付到合同约定收款账户。</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验收要求</w:t>
            </w:r>
          </w:p>
        </w:tc>
        <w:tc>
          <w:tcPr>
            <w:tcW w:type="dxa" w:w="4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w:t>
            </w:r>
            <w:r>
              <w:rPr>
                <w:sz w:val="20"/>
              </w:rPr>
              <w:t>装箱单（包括但不限于质量合格证书、保修证书、产品使用说明书及其他应随产品一同装箱的配件、技术资料等）。</w:t>
            </w:r>
          </w:p>
          <w:p>
            <w:pPr>
              <w:pStyle w:val="null3"/>
            </w:pPr>
            <w:r>
              <w:rPr>
                <w:sz w:val="20"/>
              </w:rPr>
              <w:t>2.</w:t>
            </w:r>
            <w:r>
              <w:rPr>
                <w:sz w:val="20"/>
              </w:rPr>
              <w:t>验收应在中标供应商、采购人双方共同参加下进行，验收按国家有关的规定、规范、项目采购文件及中标供应商投标文件承诺的相关技术要求进行。</w:t>
            </w:r>
          </w:p>
          <w:p>
            <w:pPr>
              <w:pStyle w:val="null3"/>
            </w:pPr>
            <w:r>
              <w:rPr>
                <w:sz w:val="20"/>
              </w:rPr>
              <w:t>3.</w:t>
            </w:r>
            <w:r>
              <w:rPr>
                <w:sz w:val="20"/>
              </w:rPr>
              <w:t>中标供应商保证合同项下提供的货物（或者设备）不侵犯任何第三方的知识产权。否则，中标供应商需承担对第三方的侵权责任并承担因此而发生的所有费用。</w:t>
            </w:r>
          </w:p>
          <w:p>
            <w:pPr>
              <w:pStyle w:val="null3"/>
            </w:pPr>
            <w:r>
              <w:rPr>
                <w:sz w:val="20"/>
              </w:rPr>
              <w:t>4.</w:t>
            </w:r>
            <w:r>
              <w:rPr>
                <w:sz w:val="20"/>
              </w:rPr>
              <w:t>由采购人组织验收，必要时，可邀请第三方机构进行验收，由此产生的费用由中标供应商承担。</w:t>
            </w:r>
          </w:p>
          <w:p>
            <w:pPr>
              <w:pStyle w:val="null3"/>
            </w:pPr>
            <w:r>
              <w:rPr>
                <w:sz w:val="20"/>
              </w:rPr>
              <w:t>5.</w:t>
            </w:r>
            <w:r>
              <w:rPr>
                <w:sz w:val="20"/>
              </w:rPr>
              <w:t>所有设备需通过试运行且运行正常。</w:t>
            </w:r>
          </w:p>
          <w:p>
            <w:pPr>
              <w:pStyle w:val="null3"/>
            </w:pPr>
            <w:r>
              <w:rPr>
                <w:sz w:val="20"/>
              </w:rPr>
              <w:t>6.</w:t>
            </w:r>
            <w:r>
              <w:rPr>
                <w:sz w:val="20"/>
              </w:rPr>
              <w:t>项目实施过程中约定的其他相关技术要求。</w:t>
            </w:r>
          </w:p>
          <w:p>
            <w:pPr>
              <w:pStyle w:val="null3"/>
            </w:pPr>
            <w:r>
              <w:rPr>
                <w:sz w:val="20"/>
              </w:rPr>
              <w:t>7.</w:t>
            </w:r>
            <w:r>
              <w:rPr>
                <w:sz w:val="20"/>
              </w:rPr>
              <w:t>采购人在收齐所有本项目约定产品后</w:t>
            </w:r>
            <w:r>
              <w:rPr>
                <w:sz w:val="20"/>
              </w:rPr>
              <w:t>3</w:t>
            </w:r>
            <w:r>
              <w:rPr>
                <w:sz w:val="20"/>
              </w:rPr>
              <w:t>个工作日内组织验收，中标供应商代表参加验收。</w:t>
            </w:r>
          </w:p>
          <w:p>
            <w:pPr>
              <w:pStyle w:val="null3"/>
            </w:pPr>
            <w:r>
              <w:rPr>
                <w:sz w:val="20"/>
              </w:rPr>
              <w:t>8.</w:t>
            </w:r>
            <w:r>
              <w:rPr>
                <w:sz w:val="20"/>
              </w:rPr>
              <w:t>投标人须承诺本项目所投设备均符合国家相关法律法规要求，如所投设备属于</w:t>
            </w:r>
            <w:r>
              <w:rPr>
                <w:sz w:val="20"/>
              </w:rPr>
              <w:t>“中国强制性产品认证目录”（</w:t>
            </w:r>
            <w:r>
              <w:rPr>
                <w:sz w:val="20"/>
              </w:rPr>
              <w:t>CCC</w:t>
            </w:r>
            <w:r>
              <w:rPr>
                <w:sz w:val="20"/>
              </w:rPr>
              <w:t>认证），验收时提供相关证明（提供在</w:t>
            </w:r>
            <w:r>
              <w:rPr>
                <w:sz w:val="20"/>
              </w:rPr>
              <w:t>http://cx.cnca.cn/</w:t>
            </w:r>
            <w:r>
              <w:rPr>
                <w:sz w:val="20"/>
              </w:rPr>
              <w:t>查询的产品的证书编号及查询结果截图</w:t>
            </w:r>
            <w:r>
              <w:rPr>
                <w:sz w:val="20"/>
              </w:rPr>
              <w:t>）（投标时提供承诺，可参照“投标文件格式”中《承诺函》格式）。</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履约保证金</w:t>
            </w:r>
          </w:p>
        </w:tc>
        <w:tc>
          <w:tcPr>
            <w:tcW w:type="dxa" w:w="4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不收取</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其他</w:t>
            </w:r>
          </w:p>
        </w:tc>
        <w:tc>
          <w:tcPr>
            <w:tcW w:type="dxa" w:w="4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其他要求：</w:t>
            </w:r>
          </w:p>
          <w:p>
            <w:pPr>
              <w:pStyle w:val="null3"/>
            </w:pPr>
            <w:r>
              <w:rPr>
                <w:sz w:val="20"/>
              </w:rPr>
              <w:t>1.</w:t>
            </w:r>
            <w:r>
              <w:rPr>
                <w:sz w:val="20"/>
              </w:rPr>
              <w:t>中标供应商需按照投标时的承诺，在中标后与采购人签订合同后</w:t>
            </w:r>
            <w:r>
              <w:rPr>
                <w:sz w:val="20"/>
              </w:rPr>
              <w:t>2</w:t>
            </w:r>
            <w:r>
              <w:rPr>
                <w:sz w:val="20"/>
              </w:rPr>
              <w:t>个工作日内提供本项目招标文件要求的所有原厂盖章证明材料。如果不能在签订合同后</w:t>
            </w:r>
            <w:r>
              <w:rPr>
                <w:sz w:val="20"/>
              </w:rPr>
              <w:t>2</w:t>
            </w:r>
            <w:r>
              <w:rPr>
                <w:sz w:val="20"/>
              </w:rPr>
              <w:t>个工作日内提供本项目招标文件要求的所有原厂盖章证明材料，则视作中标供应商违约，本项目合同作废，中标供应商需在违约之日起</w:t>
            </w:r>
            <w:r>
              <w:rPr>
                <w:sz w:val="20"/>
              </w:rPr>
              <w:t>10</w:t>
            </w:r>
            <w:r>
              <w:rPr>
                <w:sz w:val="20"/>
              </w:rPr>
              <w:t>个工作日内向采购人赔付本合同总价的</w:t>
            </w:r>
            <w:r>
              <w:rPr>
                <w:sz w:val="20"/>
              </w:rPr>
              <w:t>50%</w:t>
            </w:r>
            <w:r>
              <w:rPr>
                <w:sz w:val="20"/>
              </w:rPr>
              <w:t>作为违约金，逾期则每日按本合同总金额的</w:t>
            </w:r>
            <w:r>
              <w:rPr>
                <w:sz w:val="20"/>
              </w:rPr>
              <w:t>3</w:t>
            </w:r>
            <w:r>
              <w:rPr>
                <w:sz w:val="20"/>
              </w:rPr>
              <w:t>‰向采购人另行偿付违约金。采购人同时按照《中华人民共和国政府采购法》第七十七条第一款规定“提供虚假材料谋取中标、成交的”情况，将情况上报政府采购监管部门（投标时提供承诺，可参照“投标文件格式”中《承诺函》格式）。</w:t>
            </w:r>
          </w:p>
          <w:p>
            <w:pPr>
              <w:pStyle w:val="null3"/>
            </w:pPr>
            <w:r>
              <w:rPr>
                <w:sz w:val="20"/>
              </w:rPr>
              <w:t>2.</w:t>
            </w:r>
            <w:r>
              <w:rPr>
                <w:sz w:val="20"/>
              </w:rPr>
              <w:t>中标供应商逾期交货的，从逾期之日起每日按本合同总金额的</w:t>
            </w:r>
            <w:r>
              <w:rPr>
                <w:sz w:val="20"/>
              </w:rPr>
              <w:t>3</w:t>
            </w:r>
            <w:r>
              <w:rPr>
                <w:sz w:val="20"/>
              </w:rPr>
              <w:t>‰向采购人偿付违约金；逾期交货超过</w:t>
            </w:r>
            <w:r>
              <w:rPr>
                <w:sz w:val="20"/>
              </w:rPr>
              <w:t>10</w:t>
            </w:r>
            <w:r>
              <w:rPr>
                <w:sz w:val="20"/>
              </w:rPr>
              <w:t>天的，采购人有权终止合同，中标供应商在逾期交货</w:t>
            </w:r>
            <w:r>
              <w:rPr>
                <w:sz w:val="20"/>
              </w:rPr>
              <w:t>10</w:t>
            </w:r>
            <w:r>
              <w:rPr>
                <w:sz w:val="20"/>
              </w:rPr>
              <w:t>天之日起</w:t>
            </w:r>
            <w:r>
              <w:rPr>
                <w:sz w:val="20"/>
              </w:rPr>
              <w:t>5</w:t>
            </w:r>
            <w:r>
              <w:rPr>
                <w:sz w:val="20"/>
              </w:rPr>
              <w:t>天内将采购人已支付的第</w:t>
            </w:r>
            <w:r>
              <w:rPr>
                <w:sz w:val="20"/>
              </w:rPr>
              <w:t>1</w:t>
            </w:r>
            <w:r>
              <w:rPr>
                <w:sz w:val="20"/>
              </w:rPr>
              <w:t>期款项全部退回给采购人，并按照合同总金额的</w:t>
            </w:r>
            <w:r>
              <w:rPr>
                <w:sz w:val="20"/>
              </w:rPr>
              <w:t>20%</w:t>
            </w:r>
            <w:r>
              <w:rPr>
                <w:sz w:val="20"/>
              </w:rPr>
              <w:t>偿付违约金给采购人。中标供应商不按合同要求的时间内供货造成采购人不能在财政部门要求的本年度财政资金支付时限内支付本项目合同尾款而导致相应的年度财政资金被财政部门收回的，采购人不承担相应支付义务，相应的责任和后果由中标供应商承担（投标时提供承诺，可参照“投标文件格式”中《承诺函》格式）。</w:t>
            </w:r>
          </w:p>
        </w:tc>
      </w:tr>
    </w:tbl>
    <w:p>
      <w:pPr>
        <w:pStyle w:val="null3"/>
        <w:ind w:firstLine="422"/>
        <w:jc w:val="both"/>
      </w:pPr>
      <w:r>
        <w:rPr>
          <w:sz w:val="28"/>
          <w:b/>
        </w:rPr>
        <w:t>第二节</w:t>
      </w:r>
      <w:r>
        <w:rPr>
          <w:sz w:val="28"/>
          <w:b/>
        </w:rPr>
        <w:t>政府采购合同通用条款</w:t>
      </w:r>
    </w:p>
    <w:p>
      <w:pPr>
        <w:pStyle w:val="null3"/>
      </w:pPr>
      <w:r>
        <w:rPr>
          <w:sz w:val="24"/>
          <w:b/>
        </w:rPr>
        <w:t xml:space="preserve">1. </w:t>
      </w:r>
      <w:r>
        <w:rPr>
          <w:sz w:val="24"/>
          <w:b/>
        </w:rPr>
        <w:t>定义</w:t>
      </w:r>
    </w:p>
    <w:p>
      <w:pPr>
        <w:pStyle w:val="null3"/>
        <w:ind w:firstLine="420"/>
      </w:pPr>
      <w:r>
        <w:rPr>
          <w:sz w:val="21"/>
        </w:rPr>
        <w:t>1.1</w:t>
      </w:r>
      <w:r>
        <w:rPr>
          <w:sz w:val="21"/>
        </w:rPr>
        <w:t>合同当事人</w:t>
      </w:r>
    </w:p>
    <w:p>
      <w:pPr>
        <w:pStyle w:val="null3"/>
        <w:ind w:firstLine="420"/>
      </w:pPr>
      <w:r>
        <w:rPr>
          <w:sz w:val="21"/>
        </w:rPr>
        <w:t>（</w:t>
      </w:r>
      <w:r>
        <w:rPr>
          <w:sz w:val="21"/>
        </w:rPr>
        <w:t>1</w:t>
      </w:r>
      <w:r>
        <w:rPr>
          <w:sz w:val="21"/>
        </w:rPr>
        <w:t>）采购人（以下称甲方）是指使用财政性资金，通过政府采购方式向供应商购买货物及其相关服务的国家机关、事业单位、团体组织。</w:t>
      </w:r>
    </w:p>
    <w:p>
      <w:pPr>
        <w:pStyle w:val="null3"/>
        <w:ind w:firstLine="420"/>
      </w:pPr>
      <w:r>
        <w:rPr>
          <w:sz w:val="21"/>
        </w:rPr>
        <w:t>（</w:t>
      </w:r>
      <w:r>
        <w:rPr>
          <w:sz w:val="21"/>
        </w:rPr>
        <w:t>2</w:t>
      </w:r>
      <w:r>
        <w:rPr>
          <w:sz w:val="21"/>
        </w:rPr>
        <w:t>）供应商（以下称乙方）是指参加政府采购活动并且中标（成交），向采购人提供合同约定的货物及其相关服务的法人、非法人组织或者自然人。</w:t>
      </w:r>
    </w:p>
    <w:p>
      <w:pPr>
        <w:pStyle w:val="null3"/>
        <w:ind w:firstLine="420"/>
      </w:pPr>
      <w:r>
        <w:rPr>
          <w:sz w:val="21"/>
        </w:rPr>
        <w:t>（</w:t>
      </w:r>
      <w:r>
        <w:rPr>
          <w:sz w:val="21"/>
        </w:rPr>
        <w:t>3</w:t>
      </w:r>
      <w:r>
        <w:rPr>
          <w:sz w:val="21"/>
        </w:rPr>
        <w:t>）其他合同主体是指除采购人和供应商以外，依法参与合同缔结或履行，享有权利、承担义务的合同当事人。</w:t>
      </w:r>
    </w:p>
    <w:p>
      <w:pPr>
        <w:pStyle w:val="null3"/>
        <w:ind w:firstLine="420"/>
      </w:pPr>
      <w:r>
        <w:rPr>
          <w:sz w:val="21"/>
        </w:rPr>
        <w:t>1.2</w:t>
      </w:r>
      <w:r>
        <w:rPr>
          <w:sz w:val="21"/>
        </w:rPr>
        <w:t>本合同下列术语应解释为：</w:t>
      </w:r>
    </w:p>
    <w:p>
      <w:pPr>
        <w:pStyle w:val="null3"/>
        <w:ind w:firstLine="420"/>
      </w:pPr>
      <w:r>
        <w:rPr>
          <w:sz w:val="21"/>
        </w:rPr>
        <w:t>（</w:t>
      </w:r>
      <w:r>
        <w:rPr>
          <w:sz w:val="21"/>
        </w:rPr>
        <w:t>1</w:t>
      </w:r>
      <w:r>
        <w:rPr>
          <w:sz w:val="21"/>
        </w:rPr>
        <w:t>）“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ind w:firstLine="420"/>
      </w:pPr>
      <w:r>
        <w:rPr>
          <w:sz w:val="21"/>
        </w:rPr>
        <w:t>（</w:t>
      </w:r>
      <w:r>
        <w:rPr>
          <w:sz w:val="21"/>
        </w:rPr>
        <w:t>2</w:t>
      </w:r>
      <w:r>
        <w:rPr>
          <w:sz w:val="21"/>
        </w:rPr>
        <w:t>）“合同价款”系指根据本合同规定乙方在全面履行合同义务后甲方应支付给乙方的价款。</w:t>
      </w:r>
    </w:p>
    <w:p>
      <w:pPr>
        <w:pStyle w:val="null3"/>
        <w:ind w:firstLine="420"/>
      </w:pPr>
      <w:r>
        <w:rPr>
          <w:sz w:val="21"/>
        </w:rPr>
        <w:t>（</w:t>
      </w:r>
      <w:r>
        <w:rPr>
          <w:sz w:val="21"/>
        </w:rPr>
        <w:t>3</w:t>
      </w:r>
      <w:r>
        <w:rPr>
          <w:sz w:val="21"/>
        </w:rPr>
        <w:t>）“货物”系指乙方根据本合同规定须向甲方提供的各种形态和种类的物品，包括原材料、设备、产品（包括软件）及相关的其备品备件、工具、手册及其他技术资料和材料等。</w:t>
      </w:r>
    </w:p>
    <w:p>
      <w:pPr>
        <w:pStyle w:val="null3"/>
        <w:ind w:firstLine="420"/>
      </w:pPr>
      <w:r>
        <w:rPr>
          <w:sz w:val="21"/>
        </w:rPr>
        <w:t>（</w:t>
      </w:r>
      <w:r>
        <w:rPr>
          <w:sz w:val="21"/>
        </w:rPr>
        <w:t>4</w:t>
      </w:r>
      <w:r>
        <w:rPr>
          <w:sz w:val="21"/>
        </w:rPr>
        <w:t>）“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ind w:firstLine="420"/>
      </w:pPr>
      <w:r>
        <w:rPr>
          <w:sz w:val="21"/>
        </w:rPr>
        <w:t>（</w:t>
      </w:r>
      <w:r>
        <w:rPr>
          <w:sz w:val="21"/>
        </w:rPr>
        <w:t>5</w:t>
      </w:r>
      <w:r>
        <w:rPr>
          <w:sz w:val="21"/>
        </w:rPr>
        <w:t>）“分包”系指中标（成交）供应商按采购文件、投标（响应）文件的规定，根据分包意向协议，将中标（成交）项目中的部分履约内容，分给具有相应资质条件的供应商履行合同的行为。</w:t>
      </w:r>
    </w:p>
    <w:p>
      <w:pPr>
        <w:pStyle w:val="null3"/>
        <w:ind w:firstLine="420"/>
      </w:pPr>
      <w:r>
        <w:rPr>
          <w:sz w:val="21"/>
        </w:rPr>
        <w:t>（</w:t>
      </w:r>
      <w:r>
        <w:rPr>
          <w:sz w:val="21"/>
        </w:rPr>
        <w:t>6</w:t>
      </w:r>
      <w:r>
        <w:rPr>
          <w:sz w:val="21"/>
        </w:rPr>
        <w:t>）“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sz w:val="21"/>
          <w:b/>
        </w:rPr>
        <w:t>政府采购合同专用条款</w:t>
      </w:r>
      <w:r>
        <w:rPr>
          <w:sz w:val="21"/>
        </w:rPr>
        <w:t>】。</w:t>
      </w:r>
    </w:p>
    <w:p>
      <w:pPr>
        <w:pStyle w:val="null3"/>
        <w:ind w:firstLine="420"/>
      </w:pPr>
      <w:r>
        <w:rPr>
          <w:sz w:val="21"/>
        </w:rPr>
        <w:t>（</w:t>
      </w:r>
      <w:r>
        <w:rPr>
          <w:sz w:val="21"/>
        </w:rPr>
        <w:t>7</w:t>
      </w:r>
      <w:r>
        <w:rPr>
          <w:sz w:val="21"/>
        </w:rPr>
        <w:t>）其他术语解释，见【</w:t>
      </w:r>
      <w:r>
        <w:rPr>
          <w:sz w:val="21"/>
          <w:b/>
        </w:rPr>
        <w:t>政府采购合同专用条款</w:t>
      </w:r>
      <w:r>
        <w:rPr>
          <w:sz w:val="21"/>
        </w:rPr>
        <w:t>】。</w:t>
      </w:r>
    </w:p>
    <w:p>
      <w:pPr>
        <w:pStyle w:val="null3"/>
      </w:pPr>
      <w:r>
        <w:rPr>
          <w:sz w:val="24"/>
          <w:b/>
        </w:rPr>
        <w:t xml:space="preserve">2. </w:t>
      </w:r>
      <w:r>
        <w:rPr>
          <w:sz w:val="24"/>
          <w:b/>
        </w:rPr>
        <w:t>合同标的及金额</w:t>
      </w:r>
    </w:p>
    <w:p>
      <w:pPr>
        <w:pStyle w:val="null3"/>
        <w:ind w:firstLine="420"/>
      </w:pPr>
      <w:r>
        <w:rPr>
          <w:sz w:val="21"/>
        </w:rPr>
        <w:t xml:space="preserve">2.1 </w:t>
      </w:r>
      <w:r>
        <w:rPr>
          <w:sz w:val="21"/>
        </w:rPr>
        <w:t>合同标的及金额应与中标（成交）结果一致。乙方为履行本合同而发生的所有费用均应包含在合同价款中，甲方不再另行支付其他任何费用。</w:t>
      </w:r>
    </w:p>
    <w:p>
      <w:pPr>
        <w:pStyle w:val="null3"/>
      </w:pPr>
      <w:r>
        <w:rPr>
          <w:sz w:val="24"/>
          <w:b/>
        </w:rPr>
        <w:t xml:space="preserve">3. </w:t>
      </w:r>
      <w:r>
        <w:rPr>
          <w:sz w:val="24"/>
          <w:b/>
        </w:rPr>
        <w:t>履行合同的时间、地点和方式</w:t>
      </w:r>
    </w:p>
    <w:p>
      <w:pPr>
        <w:pStyle w:val="null3"/>
        <w:ind w:firstLine="420"/>
      </w:pPr>
      <w:r>
        <w:rPr>
          <w:sz w:val="21"/>
        </w:rPr>
        <w:t xml:space="preserve">3.1 </w:t>
      </w:r>
      <w:r>
        <w:rPr>
          <w:sz w:val="21"/>
        </w:rPr>
        <w:t>乙方应当在约定的时间、地点，按照约定方式履行合同。</w:t>
      </w:r>
    </w:p>
    <w:p>
      <w:pPr>
        <w:pStyle w:val="null3"/>
      </w:pPr>
      <w:r>
        <w:rPr>
          <w:sz w:val="24"/>
          <w:b/>
        </w:rPr>
        <w:t xml:space="preserve">4. </w:t>
      </w:r>
      <w:r>
        <w:rPr>
          <w:sz w:val="24"/>
          <w:b/>
        </w:rPr>
        <w:t>甲方的权利和义务</w:t>
      </w:r>
    </w:p>
    <w:p>
      <w:pPr>
        <w:pStyle w:val="null3"/>
        <w:ind w:firstLine="420"/>
      </w:pPr>
      <w:r>
        <w:rPr>
          <w:sz w:val="21"/>
        </w:rPr>
        <w:t xml:space="preserve">4.1 </w:t>
      </w:r>
      <w:r>
        <w:rPr>
          <w:sz w:val="21"/>
        </w:rPr>
        <w:t>签署合同后，甲方应确定项目负责人（或项目联系人），负责与本合同有关的事务。甲方有权对乙方的履约行为进行检查，并及时确认乙方提交的事项。甲方应当配合乙方完成相关项目实施工作。</w:t>
      </w:r>
    </w:p>
    <w:p>
      <w:pPr>
        <w:pStyle w:val="null3"/>
        <w:ind w:firstLine="420"/>
      </w:pPr>
      <w:r>
        <w:rPr>
          <w:sz w:val="21"/>
        </w:rPr>
        <w:t xml:space="preserve">4.2 </w:t>
      </w:r>
      <w:r>
        <w:rPr>
          <w:sz w:val="21"/>
        </w:rPr>
        <w:t>甲方有权要求乙方按时提交各阶段有关安排计划，并有权定期核对乙方提供货物数量、规格、质量等内容。甲方有权督促乙方工作并要求乙方更换不符合要求的货物。</w:t>
      </w:r>
    </w:p>
    <w:p>
      <w:pPr>
        <w:pStyle w:val="null3"/>
        <w:ind w:firstLine="420"/>
      </w:pPr>
      <w:r>
        <w:rPr>
          <w:sz w:val="21"/>
        </w:rPr>
        <w:t xml:space="preserve">4.3 </w:t>
      </w:r>
      <w:r>
        <w:rPr>
          <w:sz w:val="21"/>
        </w:rPr>
        <w:t>甲方有权要求乙方对缺陷部分予以修复，并按合同约定享有货物保修及其他合同约定的权利。</w:t>
      </w:r>
    </w:p>
    <w:p>
      <w:pPr>
        <w:pStyle w:val="null3"/>
        <w:ind w:firstLine="420"/>
        <w:jc w:val="both"/>
      </w:pPr>
      <w:r>
        <w:rPr>
          <w:sz w:val="21"/>
        </w:rPr>
        <w:t xml:space="preserve">4.4 </w:t>
      </w:r>
      <w:r>
        <w:rPr>
          <w:sz w:val="21"/>
        </w:rPr>
        <w:t>甲方应当按照合同约定及时对交付的货物进行验收，未在</w:t>
      </w:r>
      <w:r>
        <w:rPr>
          <w:sz w:val="21"/>
          <w:b/>
        </w:rPr>
        <w:t>【政府采购合同专用条款】</w:t>
      </w:r>
      <w:r>
        <w:rPr>
          <w:sz w:val="21"/>
        </w:rPr>
        <w:t>约定的期限内对乙方履约提出任何异议或者向乙方作出任何说明的，视为验收通过。</w:t>
      </w:r>
    </w:p>
    <w:p>
      <w:pPr>
        <w:pStyle w:val="null3"/>
        <w:ind w:firstLine="420"/>
      </w:pPr>
      <w:r>
        <w:rPr>
          <w:sz w:val="21"/>
        </w:rPr>
        <w:t xml:space="preserve">4.5 </w:t>
      </w:r>
      <w:r>
        <w:rPr>
          <w:sz w:val="21"/>
        </w:rPr>
        <w:t>甲方应当根据合同约定及时向乙方支付合同价款，不得以内部人员变更、履行内部付款流程等为由，拒绝或迟延支付。</w:t>
      </w:r>
    </w:p>
    <w:p>
      <w:pPr>
        <w:pStyle w:val="null3"/>
        <w:ind w:firstLine="420"/>
      </w:pPr>
      <w:r>
        <w:rPr>
          <w:sz w:val="21"/>
        </w:rPr>
        <w:t xml:space="preserve">4.6 </w:t>
      </w:r>
      <w:r>
        <w:rPr>
          <w:sz w:val="21"/>
        </w:rPr>
        <w:t>国家法律法规规定及</w:t>
      </w:r>
      <w:r>
        <w:rPr>
          <w:sz w:val="21"/>
          <w:b/>
        </w:rPr>
        <w:t>【政府采购合同专用条款】</w:t>
      </w:r>
      <w:r>
        <w:rPr>
          <w:sz w:val="21"/>
        </w:rPr>
        <w:t>约定应由甲方承担的其他义务和责任。</w:t>
      </w:r>
    </w:p>
    <w:p>
      <w:pPr>
        <w:pStyle w:val="null3"/>
      </w:pPr>
      <w:r>
        <w:rPr>
          <w:sz w:val="24"/>
          <w:b/>
        </w:rPr>
        <w:t xml:space="preserve">5. </w:t>
      </w:r>
      <w:r>
        <w:rPr>
          <w:sz w:val="24"/>
          <w:b/>
        </w:rPr>
        <w:t>乙方的权利和义务</w:t>
      </w:r>
    </w:p>
    <w:p>
      <w:pPr>
        <w:pStyle w:val="null3"/>
        <w:ind w:firstLine="420"/>
      </w:pPr>
      <w:r>
        <w:rPr>
          <w:sz w:val="21"/>
        </w:rPr>
        <w:t xml:space="preserve">5.1 </w:t>
      </w:r>
      <w:r>
        <w:rPr>
          <w:sz w:val="21"/>
        </w:rPr>
        <w:t>签署合同后，乙方应确定项目负责人（或项目联系人），负责与本合同有关的事务。</w:t>
      </w:r>
    </w:p>
    <w:p>
      <w:pPr>
        <w:pStyle w:val="null3"/>
        <w:ind w:firstLine="420"/>
      </w:pPr>
      <w:r>
        <w:rPr>
          <w:sz w:val="21"/>
        </w:rPr>
        <w:t xml:space="preserve">5.2 </w:t>
      </w:r>
      <w:r>
        <w:rPr>
          <w:sz w:val="21"/>
        </w:rPr>
        <w:t>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ind w:firstLine="370"/>
        <w:jc w:val="both"/>
      </w:pPr>
      <w:r>
        <w:rPr>
          <w:sz w:val="21"/>
        </w:rPr>
        <w:t>5.3</w:t>
      </w:r>
      <w:r>
        <w:rPr>
          <w:sz w:val="21"/>
        </w:rPr>
        <w:t>乙方有权根据合同约定向甲方收取合同价款。</w:t>
      </w:r>
    </w:p>
    <w:p>
      <w:pPr>
        <w:pStyle w:val="null3"/>
        <w:ind w:firstLine="370"/>
        <w:jc w:val="both"/>
      </w:pPr>
      <w:r>
        <w:rPr>
          <w:sz w:val="21"/>
        </w:rPr>
        <w:t>5.4</w:t>
      </w:r>
      <w:r>
        <w:rPr>
          <w:sz w:val="21"/>
        </w:rPr>
        <w:t>国家法律法规规定及</w:t>
      </w:r>
      <w:r>
        <w:rPr>
          <w:sz w:val="21"/>
          <w:b/>
        </w:rPr>
        <w:t>【政府采购合同专用条款】</w:t>
      </w:r>
      <w:r>
        <w:rPr>
          <w:sz w:val="21"/>
        </w:rPr>
        <w:t>约定应由乙方承担的其他义务和责任。</w:t>
      </w:r>
    </w:p>
    <w:p>
      <w:pPr>
        <w:pStyle w:val="null3"/>
      </w:pPr>
      <w:r>
        <w:rPr>
          <w:sz w:val="24"/>
          <w:b/>
        </w:rPr>
        <w:t xml:space="preserve">6. </w:t>
      </w:r>
      <w:r>
        <w:rPr>
          <w:sz w:val="24"/>
          <w:b/>
        </w:rPr>
        <w:t>合同履行</w:t>
      </w:r>
    </w:p>
    <w:p>
      <w:pPr>
        <w:pStyle w:val="null3"/>
        <w:ind w:firstLine="420"/>
      </w:pPr>
      <w:r>
        <w:rPr>
          <w:sz w:val="21"/>
        </w:rPr>
        <w:t xml:space="preserve">6.1 </w:t>
      </w:r>
      <w:r>
        <w:rPr>
          <w:sz w:val="21"/>
        </w:rPr>
        <w:t>甲乙双方应当按照</w:t>
      </w:r>
      <w:r>
        <w:rPr>
          <w:sz w:val="21"/>
          <w:b/>
        </w:rPr>
        <w:t>【政府采购合同专用条款】</w:t>
      </w:r>
      <w:r>
        <w:rPr>
          <w:sz w:val="21"/>
        </w:rPr>
        <w:t>约定顺序履行合同义务；如果没有先后顺序的，应当同时履行。</w:t>
      </w:r>
    </w:p>
    <w:p>
      <w:pPr>
        <w:pStyle w:val="null3"/>
        <w:ind w:firstLine="420"/>
      </w:pPr>
      <w:r>
        <w:rPr>
          <w:sz w:val="21"/>
        </w:rPr>
        <w:t xml:space="preserve">6.2 </w:t>
      </w:r>
      <w:r>
        <w:rPr>
          <w:sz w:val="21"/>
        </w:rPr>
        <w:t>甲乙双方按照合同约定顺序履行合同义务时，应当先履行一方未履行的，后履行一方有权拒绝其履行请求。先履行一方履行不符合约定的，后履行一方有权拒绝其相应的履行请求。</w:t>
      </w:r>
    </w:p>
    <w:p>
      <w:pPr>
        <w:pStyle w:val="null3"/>
      </w:pPr>
      <w:r>
        <w:rPr>
          <w:sz w:val="24"/>
          <w:b/>
        </w:rPr>
        <w:t xml:space="preserve">7. </w:t>
      </w:r>
      <w:r>
        <w:rPr>
          <w:sz w:val="24"/>
          <w:b/>
        </w:rPr>
        <w:t>货物包装、运输、保险和交付要求</w:t>
      </w:r>
    </w:p>
    <w:p>
      <w:pPr>
        <w:pStyle w:val="null3"/>
        <w:ind w:firstLine="420"/>
      </w:pPr>
      <w:r>
        <w:rPr>
          <w:sz w:val="21"/>
        </w:rPr>
        <w:t xml:space="preserve">7.1 </w:t>
      </w:r>
      <w:r>
        <w:rPr>
          <w:sz w:val="21"/>
        </w:rPr>
        <w:t>本合同涉及商品包装、快递包装的，除</w:t>
      </w:r>
      <w:r>
        <w:rPr>
          <w:sz w:val="21"/>
          <w:b/>
        </w:rPr>
        <w:t>【政府采购合同专用条款】</w:t>
      </w:r>
      <w:r>
        <w:rPr>
          <w:sz w:val="21"/>
        </w:rPr>
        <w:t>另有约定外，包装应适应远距离运输、防潮、防震、防锈和防野蛮装卸等要求，确保货物安全无损地运抵</w:t>
      </w:r>
      <w:r>
        <w:rPr>
          <w:sz w:val="21"/>
          <w:b/>
        </w:rPr>
        <w:t>【政府采购合同专用条款】</w:t>
      </w:r>
      <w:r>
        <w:rPr>
          <w:sz w:val="21"/>
        </w:rPr>
        <w:t>约定的指定现场。</w:t>
      </w:r>
    </w:p>
    <w:p>
      <w:pPr>
        <w:pStyle w:val="null3"/>
        <w:ind w:firstLine="420"/>
      </w:pPr>
      <w:r>
        <w:rPr>
          <w:sz w:val="21"/>
        </w:rPr>
        <w:t xml:space="preserve">7.2 </w:t>
      </w:r>
      <w:r>
        <w:rPr>
          <w:sz w:val="21"/>
        </w:rPr>
        <w:t>除</w:t>
      </w:r>
      <w:r>
        <w:rPr>
          <w:sz w:val="21"/>
          <w:b/>
        </w:rPr>
        <w:t>【政府采购合同专用条款】</w:t>
      </w:r>
      <w:r>
        <w:rPr>
          <w:sz w:val="21"/>
        </w:rPr>
        <w:t>另有约定外，乙方负责办理将货物运抵本合同规定的交货地点，并装卸、交付至甲方的一切运输事项，相关费用应包含在合同价款中。</w:t>
      </w:r>
    </w:p>
    <w:p>
      <w:pPr>
        <w:pStyle w:val="null3"/>
        <w:ind w:firstLine="420"/>
      </w:pPr>
      <w:r>
        <w:rPr>
          <w:sz w:val="21"/>
        </w:rPr>
        <w:t xml:space="preserve">7.3 </w:t>
      </w:r>
      <w:r>
        <w:rPr>
          <w:sz w:val="21"/>
        </w:rPr>
        <w:t>货物保险要求按</w:t>
      </w:r>
      <w:r>
        <w:rPr>
          <w:sz w:val="21"/>
          <w:b/>
        </w:rPr>
        <w:t>【政府采购合同专用条款】</w:t>
      </w:r>
      <w:r>
        <w:rPr>
          <w:sz w:val="21"/>
        </w:rPr>
        <w:t>规定执行。</w:t>
      </w:r>
    </w:p>
    <w:p>
      <w:pPr>
        <w:pStyle w:val="null3"/>
        <w:ind w:firstLine="420"/>
      </w:pPr>
      <w:r>
        <w:rPr>
          <w:sz w:val="21"/>
        </w:rPr>
        <w:t xml:space="preserve">7.4 </w:t>
      </w:r>
      <w:r>
        <w:rPr>
          <w:sz w:val="21"/>
        </w:rPr>
        <w:t>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ind w:firstLine="420"/>
      </w:pPr>
      <w:r>
        <w:rPr>
          <w:sz w:val="21"/>
        </w:rPr>
        <w:t xml:space="preserve">7.5 </w:t>
      </w:r>
      <w:r>
        <w:rPr>
          <w:sz w:val="21"/>
        </w:rPr>
        <w:t>乙方在运输到达之前应提前通知甲方，并提示货物运输装卸的注意事项，甲方配合乙方做好货物的接收工作。</w:t>
      </w:r>
    </w:p>
    <w:p>
      <w:pPr>
        <w:pStyle w:val="null3"/>
        <w:ind w:firstLine="420"/>
      </w:pPr>
      <w:r>
        <w:rPr>
          <w:sz w:val="21"/>
        </w:rPr>
        <w:t xml:space="preserve">7.6 </w:t>
      </w:r>
      <w:r>
        <w:rPr>
          <w:sz w:val="21"/>
        </w:rPr>
        <w:t>如因包装、运输问题导致货物损毁、丢失或者品质下降，甲方有权要求降价、换货、拒收部分或整批货物，由此产生的费用和损失，均由乙方承担。</w:t>
      </w:r>
    </w:p>
    <w:p>
      <w:pPr>
        <w:pStyle w:val="null3"/>
      </w:pPr>
      <w:r>
        <w:rPr>
          <w:sz w:val="24"/>
          <w:b/>
        </w:rPr>
        <w:t xml:space="preserve">8. </w:t>
      </w:r>
      <w:r>
        <w:rPr>
          <w:sz w:val="24"/>
          <w:b/>
        </w:rPr>
        <w:t>质量标准和保证</w:t>
      </w:r>
    </w:p>
    <w:p>
      <w:pPr>
        <w:pStyle w:val="null3"/>
        <w:ind w:firstLine="420"/>
      </w:pPr>
      <w:r>
        <w:rPr>
          <w:sz w:val="21"/>
        </w:rPr>
        <w:t xml:space="preserve">8.1 </w:t>
      </w:r>
      <w:r>
        <w:rPr>
          <w:sz w:val="21"/>
        </w:rPr>
        <w:t>质量标准</w:t>
      </w:r>
    </w:p>
    <w:p>
      <w:pPr>
        <w:pStyle w:val="null3"/>
        <w:ind w:firstLine="420"/>
      </w:pPr>
      <w:r>
        <w:rPr>
          <w:sz w:val="21"/>
        </w:rPr>
        <w:t>（</w:t>
      </w:r>
      <w:r>
        <w:rPr>
          <w:sz w:val="21"/>
        </w:rPr>
        <w:t>1</w:t>
      </w:r>
      <w:r>
        <w:rPr>
          <w:sz w:val="21"/>
        </w:rPr>
        <w:t>）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ind w:firstLine="420"/>
      </w:pPr>
      <w:r>
        <w:rPr>
          <w:sz w:val="21"/>
        </w:rPr>
        <w:t>（</w:t>
      </w:r>
      <w:r>
        <w:rPr>
          <w:sz w:val="21"/>
        </w:rPr>
        <w:t>2</w:t>
      </w:r>
      <w:r>
        <w:rPr>
          <w:sz w:val="21"/>
        </w:rPr>
        <w:t>）采用中华人民共和国法定计量单位。</w:t>
      </w:r>
    </w:p>
    <w:p>
      <w:pPr>
        <w:pStyle w:val="null3"/>
        <w:ind w:firstLine="420"/>
      </w:pPr>
      <w:r>
        <w:rPr>
          <w:sz w:val="21"/>
        </w:rPr>
        <w:t>（</w:t>
      </w:r>
      <w:r>
        <w:rPr>
          <w:sz w:val="21"/>
        </w:rPr>
        <w:t>3</w:t>
      </w:r>
      <w:r>
        <w:rPr>
          <w:sz w:val="21"/>
        </w:rPr>
        <w:t>）乙方所提供的货物应符合国家有关安全、环保、卫生的规定。</w:t>
      </w:r>
    </w:p>
    <w:p>
      <w:pPr>
        <w:pStyle w:val="null3"/>
        <w:ind w:firstLine="420"/>
      </w:pPr>
      <w:r>
        <w:rPr>
          <w:sz w:val="21"/>
        </w:rPr>
        <w:t>（</w:t>
      </w:r>
      <w:r>
        <w:rPr>
          <w:sz w:val="21"/>
        </w:rPr>
        <w:t>4</w:t>
      </w:r>
      <w:r>
        <w:rPr>
          <w:sz w:val="21"/>
        </w:rPr>
        <w:t>）乙方应向甲方提交所提供货物的技术文件，包括相应的中文技术文件，如：产品目录、图纸、操作手册、使用说明、维护手册或服务指南等。上述文件应包装好随货物一同发运。</w:t>
      </w:r>
    </w:p>
    <w:p>
      <w:pPr>
        <w:pStyle w:val="null3"/>
        <w:ind w:firstLine="420"/>
      </w:pPr>
      <w:r>
        <w:rPr>
          <w:sz w:val="21"/>
        </w:rPr>
        <w:t xml:space="preserve">8.2 </w:t>
      </w:r>
      <w:r>
        <w:rPr>
          <w:sz w:val="21"/>
        </w:rPr>
        <w:t>保证</w:t>
      </w:r>
    </w:p>
    <w:p>
      <w:pPr>
        <w:pStyle w:val="null3"/>
        <w:ind w:firstLine="420"/>
      </w:pPr>
      <w:r>
        <w:rPr>
          <w:sz w:val="21"/>
        </w:rPr>
        <w:t>（</w:t>
      </w:r>
      <w:r>
        <w:rPr>
          <w:sz w:val="21"/>
        </w:rPr>
        <w:t>1</w:t>
      </w:r>
      <w:r>
        <w:rPr>
          <w:sz w:val="21"/>
        </w:rPr>
        <w:t>）乙方应保证提供的货物完全符合合同规定的质量、规格和性能要求。乙方应保证货物在正确安装、正常使用和保养条件下，在其使用寿命期内具备合同约定的性能。存在质量保证期的，货物最终交付验收合格后在</w:t>
      </w:r>
      <w:r>
        <w:rPr>
          <w:sz w:val="21"/>
          <w:b/>
        </w:rPr>
        <w:t>【政府采购合同专用条款】</w:t>
      </w:r>
      <w:r>
        <w:rPr>
          <w:sz w:val="21"/>
        </w:rPr>
        <w:t>规定或乙方书面承诺（两者以较长的为准）的质量保证期内，本保证保持有效。</w:t>
      </w:r>
    </w:p>
    <w:p>
      <w:pPr>
        <w:pStyle w:val="null3"/>
        <w:ind w:firstLine="420"/>
      </w:pPr>
      <w:r>
        <w:rPr>
          <w:sz w:val="21"/>
        </w:rPr>
        <w:t>（</w:t>
      </w:r>
      <w:r>
        <w:rPr>
          <w:sz w:val="21"/>
        </w:rPr>
        <w:t>2</w:t>
      </w:r>
      <w:r>
        <w:rPr>
          <w:sz w:val="21"/>
        </w:rPr>
        <w:t>）在质量保证期内所发现的缺陷，甲方应尽快以书面形式通知乙方。</w:t>
      </w:r>
    </w:p>
    <w:p>
      <w:pPr>
        <w:pStyle w:val="null3"/>
        <w:ind w:firstLine="420"/>
      </w:pPr>
      <w:r>
        <w:rPr>
          <w:sz w:val="21"/>
        </w:rPr>
        <w:t>（</w:t>
      </w:r>
      <w:r>
        <w:rPr>
          <w:sz w:val="21"/>
        </w:rPr>
        <w:t>3</w:t>
      </w:r>
      <w:r>
        <w:rPr>
          <w:sz w:val="21"/>
        </w:rPr>
        <w:t>）乙方收到通知后，应在</w:t>
      </w:r>
      <w:r>
        <w:rPr>
          <w:sz w:val="21"/>
          <w:b/>
        </w:rPr>
        <w:t>【政府采购合同专用条款】</w:t>
      </w:r>
      <w:r>
        <w:rPr>
          <w:sz w:val="21"/>
        </w:rPr>
        <w:t>规定的响应时间内以合理的速度免费维修或更换有缺陷的货物或部件。</w:t>
      </w:r>
    </w:p>
    <w:p>
      <w:pPr>
        <w:pStyle w:val="null3"/>
        <w:ind w:firstLine="420"/>
      </w:pPr>
      <w:r>
        <w:rPr>
          <w:sz w:val="21"/>
        </w:rPr>
        <w:t>（</w:t>
      </w:r>
      <w:r>
        <w:rPr>
          <w:sz w:val="21"/>
        </w:rPr>
        <w:t>4</w:t>
      </w:r>
      <w:r>
        <w:rPr>
          <w:sz w:val="21"/>
        </w:rPr>
        <w:t>）在质量保证期内，如果货物的质量或规格与合同不符，或证实货物是有缺陷的，包括潜在的缺陷或使用不符合要求的材料等，甲方可以根据本合同第</w:t>
      </w:r>
      <w:r>
        <w:rPr>
          <w:sz w:val="21"/>
        </w:rPr>
        <w:t>15.1</w:t>
      </w:r>
      <w:r>
        <w:rPr>
          <w:sz w:val="21"/>
        </w:rPr>
        <w:t>条规定以书面形式追究乙方的违约责任。</w:t>
      </w:r>
    </w:p>
    <w:p>
      <w:pPr>
        <w:pStyle w:val="null3"/>
        <w:ind w:firstLine="420"/>
      </w:pPr>
      <w:r>
        <w:rPr>
          <w:sz w:val="21"/>
        </w:rPr>
        <w:t>（</w:t>
      </w:r>
      <w:r>
        <w:rPr>
          <w:sz w:val="21"/>
        </w:rPr>
        <w:t>5</w:t>
      </w:r>
      <w:r>
        <w:rPr>
          <w:sz w:val="21"/>
        </w:rPr>
        <w:t>）乙方在约定的时间内未能弥补缺陷，甲方可采取必要的补救措施，但其风险和费用将由乙方承担，甲方根据合同约定对乙方行使的其他权利不受影响。</w:t>
      </w:r>
    </w:p>
    <w:p>
      <w:pPr>
        <w:pStyle w:val="null3"/>
      </w:pPr>
      <w:r>
        <w:rPr>
          <w:sz w:val="24"/>
          <w:b/>
        </w:rPr>
        <w:t xml:space="preserve">9. </w:t>
      </w:r>
      <w:r>
        <w:rPr>
          <w:sz w:val="24"/>
          <w:b/>
        </w:rPr>
        <w:t>权利瑕疵担保</w:t>
      </w:r>
    </w:p>
    <w:p>
      <w:pPr>
        <w:pStyle w:val="null3"/>
        <w:ind w:firstLine="420"/>
      </w:pPr>
      <w:r>
        <w:rPr>
          <w:sz w:val="21"/>
        </w:rPr>
        <w:t xml:space="preserve">9.1 </w:t>
      </w:r>
      <w:r>
        <w:rPr>
          <w:sz w:val="21"/>
        </w:rPr>
        <w:t>乙方保证对其出售的货物享有合法的权利。</w:t>
      </w:r>
    </w:p>
    <w:p>
      <w:pPr>
        <w:pStyle w:val="null3"/>
        <w:ind w:firstLine="420"/>
      </w:pPr>
      <w:r>
        <w:rPr>
          <w:sz w:val="21"/>
        </w:rPr>
        <w:t xml:space="preserve">9.2 </w:t>
      </w:r>
      <w:r>
        <w:rPr>
          <w:sz w:val="21"/>
        </w:rPr>
        <w:t>乙方保证在交付的货物上不存在抵押权等担保物权。</w:t>
      </w:r>
    </w:p>
    <w:p>
      <w:pPr>
        <w:pStyle w:val="null3"/>
        <w:ind w:firstLine="420"/>
      </w:pPr>
      <w:r>
        <w:rPr>
          <w:sz w:val="21"/>
        </w:rPr>
        <w:t xml:space="preserve">9.3 </w:t>
      </w:r>
      <w:r>
        <w:rPr>
          <w:sz w:val="21"/>
        </w:rPr>
        <w:t>如甲方使用上述货物构成对第三人侵权的，则由乙方承担全部责任。</w:t>
      </w:r>
    </w:p>
    <w:p>
      <w:pPr>
        <w:pStyle w:val="null3"/>
      </w:pPr>
      <w:r>
        <w:rPr>
          <w:sz w:val="24"/>
          <w:b/>
        </w:rPr>
        <w:t xml:space="preserve">10. </w:t>
      </w:r>
      <w:r>
        <w:rPr>
          <w:sz w:val="24"/>
          <w:b/>
        </w:rPr>
        <w:t>知识产权保护</w:t>
      </w:r>
    </w:p>
    <w:p>
      <w:pPr>
        <w:pStyle w:val="null3"/>
        <w:ind w:firstLine="420"/>
      </w:pPr>
      <w:r>
        <w:rPr>
          <w:sz w:val="21"/>
        </w:rPr>
        <w:t xml:space="preserve">10.1 </w:t>
      </w:r>
      <w:r>
        <w:rPr>
          <w:sz w:val="21"/>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pPr>
      <w:r>
        <w:rPr>
          <w:sz w:val="24"/>
          <w:b/>
        </w:rPr>
        <w:t xml:space="preserve">11. </w:t>
      </w:r>
      <w:r>
        <w:rPr>
          <w:sz w:val="24"/>
          <w:b/>
        </w:rPr>
        <w:t>保密义务</w:t>
      </w:r>
    </w:p>
    <w:p>
      <w:pPr>
        <w:pStyle w:val="null3"/>
        <w:ind w:firstLine="420"/>
      </w:pPr>
      <w:r>
        <w:rPr>
          <w:sz w:val="21"/>
        </w:rPr>
        <w:t xml:space="preserve">11.1 </w:t>
      </w:r>
      <w:r>
        <w:rPr>
          <w:sz w:val="21"/>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sz w:val="21"/>
          <w:b/>
        </w:rPr>
        <w:t>【政府采购合同专用条款】</w:t>
      </w:r>
      <w:r>
        <w:rPr>
          <w:sz w:val="21"/>
        </w:rPr>
        <w:t>中约定。</w:t>
      </w:r>
    </w:p>
    <w:p>
      <w:pPr>
        <w:pStyle w:val="null3"/>
      </w:pPr>
      <w:r>
        <w:rPr>
          <w:sz w:val="24"/>
          <w:b/>
        </w:rPr>
        <w:t xml:space="preserve">12. </w:t>
      </w:r>
      <w:r>
        <w:rPr>
          <w:sz w:val="24"/>
          <w:b/>
        </w:rPr>
        <w:t>合同价款支付</w:t>
      </w:r>
    </w:p>
    <w:p>
      <w:pPr>
        <w:pStyle w:val="null3"/>
        <w:ind w:firstLine="420"/>
      </w:pPr>
      <w:r>
        <w:rPr>
          <w:sz w:val="21"/>
        </w:rPr>
        <w:t xml:space="preserve">12.1 </w:t>
      </w:r>
      <w:r>
        <w:rPr>
          <w:sz w:val="21"/>
        </w:rPr>
        <w:t>合同价款支付按照国库集中支付制度及财政管理相关规定执行。</w:t>
      </w:r>
    </w:p>
    <w:p>
      <w:pPr>
        <w:pStyle w:val="null3"/>
      </w:pPr>
      <w:r>
        <w:rPr>
          <w:sz w:val="21"/>
          <w:b/>
        </w:rPr>
        <w:t xml:space="preserve">12.2 </w:t>
      </w:r>
      <w:r>
        <w:rPr>
          <w:sz w:val="21"/>
          <w:b/>
        </w:rPr>
        <w:t>对于满足合同约定支付条件的，甲方原则上应当自收到发票后</w:t>
      </w:r>
      <w:r>
        <w:rPr>
          <w:sz w:val="21"/>
          <w:b/>
        </w:rPr>
        <w:t>10</w:t>
      </w:r>
      <w:r>
        <w:rPr>
          <w:sz w:val="21"/>
          <w:b/>
        </w:rPr>
        <w:t>个工作日内将资金支付到合同约定的乙方账户，不得以机构变动、人员更替、政策调整等为由迟延付款，不得将采购文件和合同中未规定的义务作为向乙方付款的条件。具体合同价款支付时间在【政府采购合同专用条款】中约定。</w:t>
      </w:r>
    </w:p>
    <w:p>
      <w:pPr>
        <w:pStyle w:val="null3"/>
        <w:jc w:val="both"/>
      </w:pPr>
      <w:r>
        <w:rPr>
          <w:sz w:val="24"/>
          <w:b/>
        </w:rPr>
        <w:t xml:space="preserve">13. </w:t>
      </w:r>
      <w:r>
        <w:rPr>
          <w:sz w:val="24"/>
          <w:b/>
        </w:rPr>
        <w:t>履约保证金</w:t>
      </w:r>
    </w:p>
    <w:p>
      <w:pPr>
        <w:pStyle w:val="null3"/>
        <w:ind w:firstLine="420"/>
      </w:pPr>
      <w:r>
        <w:rPr>
          <w:sz w:val="21"/>
        </w:rPr>
        <w:t xml:space="preserve">13.1 </w:t>
      </w:r>
      <w:r>
        <w:rPr>
          <w:sz w:val="21"/>
        </w:rPr>
        <w:t>乙方应当以支票、汇票、本票或者金融机构、担保机构出具的保函等非现金形式提交。</w:t>
      </w:r>
    </w:p>
    <w:p>
      <w:pPr>
        <w:pStyle w:val="null3"/>
        <w:ind w:firstLine="420"/>
      </w:pPr>
      <w:r>
        <w:rPr>
          <w:sz w:val="21"/>
        </w:rPr>
        <w:t xml:space="preserve">13.2 </w:t>
      </w:r>
      <w:r>
        <w:rPr>
          <w:sz w:val="21"/>
        </w:rPr>
        <w:t>如果乙方出现</w:t>
      </w:r>
      <w:r>
        <w:rPr>
          <w:sz w:val="21"/>
          <w:b/>
        </w:rPr>
        <w:t>【政府采购合同专用条款】</w:t>
      </w:r>
      <w:r>
        <w:rPr>
          <w:sz w:val="21"/>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ind w:firstLine="420"/>
        <w:jc w:val="both"/>
      </w:pPr>
      <w:r>
        <w:rPr>
          <w:sz w:val="21"/>
        </w:rPr>
        <w:t xml:space="preserve">13.3 </w:t>
      </w:r>
      <w:r>
        <w:rPr>
          <w:sz w:val="21"/>
        </w:rPr>
        <w:t>甲方在项目通过验收后按照</w:t>
      </w:r>
      <w:r>
        <w:rPr>
          <w:sz w:val="21"/>
          <w:b/>
        </w:rPr>
        <w:t>【政府采购合同专用条款】</w:t>
      </w:r>
      <w:r>
        <w:rPr>
          <w:sz w:val="21"/>
        </w:rPr>
        <w:t>规定的时间内将履约保证金退还乙方；逾期退还的，乙方可要求甲方支付违约金，违约金按照</w:t>
      </w:r>
      <w:r>
        <w:rPr>
          <w:sz w:val="21"/>
          <w:b/>
        </w:rPr>
        <w:t>【政府采购合同专用条款】</w:t>
      </w:r>
      <w:r>
        <w:rPr>
          <w:sz w:val="21"/>
        </w:rPr>
        <w:t>规定支付。</w:t>
      </w:r>
    </w:p>
    <w:p>
      <w:pPr>
        <w:pStyle w:val="null3"/>
      </w:pPr>
      <w:r>
        <w:rPr>
          <w:sz w:val="24"/>
          <w:b/>
        </w:rPr>
        <w:t xml:space="preserve">14. </w:t>
      </w:r>
      <w:r>
        <w:rPr>
          <w:sz w:val="24"/>
          <w:b/>
        </w:rPr>
        <w:t>售后服务</w:t>
      </w:r>
    </w:p>
    <w:p>
      <w:pPr>
        <w:pStyle w:val="null3"/>
        <w:ind w:firstLine="420"/>
      </w:pPr>
      <w:r>
        <w:rPr>
          <w:sz w:val="21"/>
        </w:rPr>
        <w:t xml:space="preserve">14.1 </w:t>
      </w:r>
      <w:r>
        <w:rPr>
          <w:sz w:val="21"/>
        </w:rPr>
        <w:t>除项目不涉及或采购活动中明确约定无须承担外，乙方还应提供下列服务：</w:t>
      </w:r>
    </w:p>
    <w:p>
      <w:pPr>
        <w:pStyle w:val="null3"/>
        <w:ind w:firstLine="420"/>
      </w:pPr>
      <w:r>
        <w:rPr>
          <w:sz w:val="21"/>
        </w:rPr>
        <w:t>（</w:t>
      </w:r>
      <w:r>
        <w:rPr>
          <w:sz w:val="21"/>
        </w:rPr>
        <w:t>1</w:t>
      </w:r>
      <w:r>
        <w:rPr>
          <w:sz w:val="21"/>
        </w:rPr>
        <w:t>）货物的现场移动、安装、调试、启动监督及技术支持；</w:t>
      </w:r>
    </w:p>
    <w:p>
      <w:pPr>
        <w:pStyle w:val="null3"/>
        <w:ind w:firstLine="420"/>
      </w:pPr>
      <w:r>
        <w:rPr>
          <w:sz w:val="21"/>
        </w:rPr>
        <w:t>（</w:t>
      </w:r>
      <w:r>
        <w:rPr>
          <w:sz w:val="21"/>
        </w:rPr>
        <w:t>2</w:t>
      </w:r>
      <w:r>
        <w:rPr>
          <w:sz w:val="21"/>
        </w:rPr>
        <w:t>）提供货物组装和维修所需的专用工具和辅助材料；</w:t>
      </w:r>
    </w:p>
    <w:p>
      <w:pPr>
        <w:pStyle w:val="null3"/>
        <w:ind w:firstLine="420"/>
      </w:pPr>
      <w:r>
        <w:rPr>
          <w:sz w:val="21"/>
        </w:rPr>
        <w:t>（</w:t>
      </w:r>
      <w:r>
        <w:rPr>
          <w:sz w:val="21"/>
        </w:rPr>
        <w:t>3</w:t>
      </w:r>
      <w:r>
        <w:rPr>
          <w:sz w:val="21"/>
        </w:rPr>
        <w:t>）在</w:t>
      </w:r>
      <w:r>
        <w:rPr>
          <w:sz w:val="21"/>
          <w:b/>
        </w:rPr>
        <w:t>【政府采购合同专用条款】</w:t>
      </w:r>
      <w:r>
        <w:rPr>
          <w:sz w:val="21"/>
        </w:rPr>
        <w:t>约定的期限内对所有的货物实施运行监督、维修，但前提条件是该服务并不能免除乙方在质量保证期内所承担的义务；</w:t>
      </w:r>
    </w:p>
    <w:p>
      <w:pPr>
        <w:pStyle w:val="null3"/>
        <w:ind w:firstLine="420"/>
      </w:pPr>
      <w:r>
        <w:rPr>
          <w:sz w:val="21"/>
        </w:rPr>
        <w:t>（</w:t>
      </w:r>
      <w:r>
        <w:rPr>
          <w:sz w:val="21"/>
        </w:rPr>
        <w:t>4</w:t>
      </w:r>
      <w:r>
        <w:rPr>
          <w:sz w:val="21"/>
        </w:rPr>
        <w:t>）在制造商所在地或指定现场就货物的安装、启动、运营、维护、废弃处置等对甲方操作人员进行培训；</w:t>
      </w:r>
    </w:p>
    <w:p>
      <w:pPr>
        <w:pStyle w:val="null3"/>
        <w:ind w:firstLine="420"/>
      </w:pPr>
      <w:r>
        <w:rPr>
          <w:sz w:val="21"/>
        </w:rPr>
        <w:t>（</w:t>
      </w:r>
      <w:r>
        <w:rPr>
          <w:sz w:val="21"/>
        </w:rPr>
        <w:t>5</w:t>
      </w:r>
      <w:r>
        <w:rPr>
          <w:sz w:val="21"/>
        </w:rPr>
        <w:t>）依照法律、行政法规的规定或者按照</w:t>
      </w:r>
      <w:r>
        <w:rPr>
          <w:sz w:val="21"/>
          <w:b/>
        </w:rPr>
        <w:t>【政府采购合同专用条款】</w:t>
      </w:r>
      <w:r>
        <w:rPr>
          <w:sz w:val="21"/>
        </w:rPr>
        <w:t>约定，货物在有效使用年限届满后应予回收的，乙方负有自行或者委托第三人对货物予以回收的义务；</w:t>
      </w:r>
    </w:p>
    <w:p>
      <w:pPr>
        <w:pStyle w:val="null3"/>
        <w:ind w:firstLine="420"/>
      </w:pPr>
      <w:r>
        <w:rPr>
          <w:sz w:val="21"/>
        </w:rPr>
        <w:t>（</w:t>
      </w:r>
      <w:r>
        <w:rPr>
          <w:sz w:val="21"/>
        </w:rPr>
        <w:t>6</w:t>
      </w:r>
      <w:r>
        <w:rPr>
          <w:sz w:val="21"/>
        </w:rPr>
        <w:t>）</w:t>
      </w:r>
      <w:r>
        <w:rPr>
          <w:sz w:val="21"/>
          <w:b/>
        </w:rPr>
        <w:t>【政府采购合同专用条款】</w:t>
      </w:r>
      <w:r>
        <w:rPr>
          <w:sz w:val="21"/>
        </w:rPr>
        <w:t>规定由乙方提供的其他服务。</w:t>
      </w:r>
    </w:p>
    <w:p>
      <w:pPr>
        <w:pStyle w:val="null3"/>
        <w:ind w:firstLine="420"/>
      </w:pPr>
      <w:r>
        <w:rPr>
          <w:sz w:val="21"/>
        </w:rPr>
        <w:t xml:space="preserve">14.2 </w:t>
      </w:r>
      <w:r>
        <w:rPr>
          <w:sz w:val="21"/>
        </w:rPr>
        <w:t>乙方提供的售后服务的费用已包含在合同价款中，甲方不再另行支付。</w:t>
      </w:r>
    </w:p>
    <w:p>
      <w:pPr>
        <w:pStyle w:val="null3"/>
      </w:pPr>
      <w:r>
        <w:rPr>
          <w:sz w:val="24"/>
          <w:b/>
        </w:rPr>
        <w:t xml:space="preserve">15. </w:t>
      </w:r>
      <w:r>
        <w:rPr>
          <w:sz w:val="24"/>
          <w:b/>
        </w:rPr>
        <w:t>违约责任</w:t>
      </w:r>
    </w:p>
    <w:p>
      <w:pPr>
        <w:pStyle w:val="null3"/>
        <w:ind w:firstLine="420"/>
      </w:pPr>
      <w:r>
        <w:rPr>
          <w:sz w:val="21"/>
        </w:rPr>
        <w:t>15.1</w:t>
      </w:r>
      <w:r>
        <w:rPr>
          <w:sz w:val="21"/>
        </w:rPr>
        <w:t>质量瑕疵的违约责任</w:t>
      </w:r>
    </w:p>
    <w:p>
      <w:pPr>
        <w:pStyle w:val="null3"/>
        <w:ind w:firstLine="420"/>
      </w:pPr>
      <w:r>
        <w:rPr>
          <w:sz w:val="21"/>
        </w:rPr>
        <w:t>乙方提供的产品不符合合同约定的质量标准或存在产品质量缺陷，甲方有权要求乙方根据</w:t>
      </w:r>
      <w:r>
        <w:rPr>
          <w:sz w:val="21"/>
          <w:b/>
        </w:rPr>
        <w:t>【政府采购合同专用条款】</w:t>
      </w:r>
      <w:r>
        <w:rPr>
          <w:sz w:val="21"/>
        </w:rPr>
        <w:t>要求及时修理、重作、更换，并承担由此给甲方造成的损失。</w:t>
      </w:r>
    </w:p>
    <w:p>
      <w:pPr>
        <w:pStyle w:val="null3"/>
        <w:ind w:firstLine="420"/>
      </w:pPr>
      <w:r>
        <w:rPr>
          <w:sz w:val="21"/>
        </w:rPr>
        <w:t xml:space="preserve">15.2 </w:t>
      </w:r>
      <w:r>
        <w:rPr>
          <w:sz w:val="21"/>
        </w:rPr>
        <w:t>迟延交货的违约责任</w:t>
      </w:r>
    </w:p>
    <w:p>
      <w:pPr>
        <w:pStyle w:val="null3"/>
        <w:ind w:firstLine="420"/>
      </w:pPr>
      <w:r>
        <w:rPr>
          <w:sz w:val="21"/>
        </w:rPr>
        <w:t>（</w:t>
      </w:r>
      <w:r>
        <w:rPr>
          <w:sz w:val="21"/>
        </w:rPr>
        <w:t>1</w:t>
      </w:r>
      <w:r>
        <w:rPr>
          <w:sz w:val="21"/>
        </w:rPr>
        <w:t>）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ind w:firstLine="420"/>
      </w:pPr>
      <w:r>
        <w:rPr>
          <w:sz w:val="21"/>
        </w:rPr>
        <w:t>（</w:t>
      </w:r>
      <w:r>
        <w:rPr>
          <w:sz w:val="21"/>
        </w:rPr>
        <w:t>2</w:t>
      </w:r>
      <w:r>
        <w:rPr>
          <w:sz w:val="21"/>
        </w:rPr>
        <w:t>）如果乙方没有按照合同规定的时间交货和提供相关服务，甲方有权从货款中扣除误期赔偿费而不影响合同项下的其他补救方法，赔偿费按</w:t>
      </w:r>
      <w:r>
        <w:rPr>
          <w:sz w:val="21"/>
          <w:b/>
        </w:rPr>
        <w:t>【政府采购合同专用条款】</w:t>
      </w:r>
      <w:r>
        <w:rPr>
          <w:sz w:val="21"/>
        </w:rPr>
        <w:t>规定执行。如果涉及公共利益，且赔偿金额无法弥补公共利益损失，甲方可要求继续履行或者采取其他补救措施。</w:t>
      </w:r>
    </w:p>
    <w:p>
      <w:pPr>
        <w:pStyle w:val="null3"/>
        <w:ind w:firstLine="420"/>
      </w:pPr>
      <w:r>
        <w:rPr>
          <w:sz w:val="21"/>
        </w:rPr>
        <w:t xml:space="preserve">15.3 </w:t>
      </w:r>
      <w:r>
        <w:rPr>
          <w:sz w:val="21"/>
        </w:rPr>
        <w:t>迟延支付的违约责任</w:t>
      </w:r>
    </w:p>
    <w:p>
      <w:pPr>
        <w:pStyle w:val="null3"/>
        <w:ind w:firstLine="420"/>
      </w:pPr>
      <w:r>
        <w:rPr>
          <w:sz w:val="21"/>
        </w:rPr>
        <w:t>甲方存在迟延支付乙方合同款项的，应当承担</w:t>
      </w:r>
      <w:r>
        <w:rPr>
          <w:sz w:val="21"/>
          <w:b/>
        </w:rPr>
        <w:t>【政府采购合同专用条款】</w:t>
      </w:r>
      <w:r>
        <w:rPr>
          <w:sz w:val="21"/>
        </w:rPr>
        <w:t>规定的逾期付款利息。</w:t>
      </w:r>
    </w:p>
    <w:p>
      <w:pPr>
        <w:pStyle w:val="null3"/>
        <w:ind w:firstLine="420"/>
      </w:pPr>
      <w:r>
        <w:rPr>
          <w:sz w:val="21"/>
        </w:rPr>
        <w:t>15.4</w:t>
      </w:r>
      <w:r>
        <w:rPr>
          <w:sz w:val="21"/>
        </w:rPr>
        <w:t>其他违约责任根据项目实际需要按</w:t>
      </w:r>
      <w:r>
        <w:rPr>
          <w:sz w:val="21"/>
          <w:b/>
        </w:rPr>
        <w:t>【政府采购合同专用条款】</w:t>
      </w:r>
      <w:r>
        <w:rPr>
          <w:sz w:val="21"/>
        </w:rPr>
        <w:t>规定执行。</w:t>
      </w:r>
    </w:p>
    <w:p>
      <w:pPr>
        <w:pStyle w:val="null3"/>
      </w:pPr>
      <w:r>
        <w:rPr>
          <w:sz w:val="24"/>
          <w:b/>
        </w:rPr>
        <w:t xml:space="preserve">16. </w:t>
      </w:r>
      <w:r>
        <w:rPr>
          <w:sz w:val="24"/>
          <w:b/>
        </w:rPr>
        <w:t>合同变更、中止与终止</w:t>
      </w:r>
    </w:p>
    <w:p>
      <w:pPr>
        <w:pStyle w:val="null3"/>
      </w:pPr>
      <w:r>
        <w:rPr>
          <w:sz w:val="21"/>
        </w:rPr>
        <w:t xml:space="preserve">    16.1</w:t>
      </w:r>
      <w:r>
        <w:rPr>
          <w:sz w:val="21"/>
        </w:rPr>
        <w:t>合同的变更</w:t>
      </w:r>
    </w:p>
    <w:p>
      <w:pPr>
        <w:pStyle w:val="null3"/>
        <w:ind w:firstLine="420"/>
      </w:pPr>
      <w:r>
        <w:rPr>
          <w:sz w:val="21"/>
        </w:rPr>
        <w:t>政府采购合同履行中，在不改变合同其他条款的前提下，甲方可以在合同价款</w:t>
      </w:r>
      <w:r>
        <w:rPr>
          <w:sz w:val="21"/>
        </w:rPr>
        <w:t>10%</w:t>
      </w:r>
      <w:r>
        <w:rPr>
          <w:sz w:val="21"/>
        </w:rPr>
        <w:t>的范围内追加与合同标的相同的货物，并就此与乙方协商一致后签订补充协议。</w:t>
      </w:r>
    </w:p>
    <w:p>
      <w:pPr>
        <w:pStyle w:val="null3"/>
        <w:ind w:firstLine="420"/>
      </w:pPr>
      <w:r>
        <w:rPr>
          <w:sz w:val="21"/>
        </w:rPr>
        <w:t>16.2</w:t>
      </w:r>
      <w:r>
        <w:rPr>
          <w:sz w:val="21"/>
        </w:rPr>
        <w:t>合同的中止</w:t>
      </w:r>
    </w:p>
    <w:p>
      <w:pPr>
        <w:pStyle w:val="null3"/>
        <w:ind w:firstLine="420"/>
      </w:pPr>
      <w:r>
        <w:rPr>
          <w:sz w:val="21"/>
        </w:rPr>
        <w:t>（</w:t>
      </w:r>
      <w:r>
        <w:rPr>
          <w:sz w:val="21"/>
        </w:rPr>
        <w:t>1</w:t>
      </w:r>
      <w:r>
        <w:rPr>
          <w:sz w:val="21"/>
        </w:rPr>
        <w:t>）合同履行过程中因供应商就采购文件、采购过程或结果提起投诉的，甲方认为有必要的，可以中止合同的履行。</w:t>
      </w:r>
    </w:p>
    <w:p>
      <w:pPr>
        <w:pStyle w:val="null3"/>
        <w:ind w:firstLine="420"/>
      </w:pPr>
      <w:r>
        <w:rPr>
          <w:sz w:val="21"/>
        </w:rPr>
        <w:t>（</w:t>
      </w:r>
      <w:r>
        <w:rPr>
          <w:sz w:val="21"/>
        </w:rPr>
        <w:t>2</w:t>
      </w:r>
      <w:r>
        <w:rPr>
          <w:sz w:val="21"/>
        </w:rPr>
        <w:t>）合同履行过程中，如果乙方出现以下情形之一的：</w:t>
      </w:r>
      <w:r>
        <w:rPr>
          <w:sz w:val="21"/>
        </w:rPr>
        <w:t>1</w:t>
      </w:r>
      <w:r>
        <w:rPr>
          <w:sz w:val="21"/>
        </w:rPr>
        <w:t>．经营状况严重恶化；</w:t>
      </w:r>
      <w:r>
        <w:rPr>
          <w:sz w:val="21"/>
        </w:rPr>
        <w:t>2</w:t>
      </w:r>
      <w:r>
        <w:rPr>
          <w:sz w:val="21"/>
        </w:rPr>
        <w:t>．转移财产、抽逃资金，以逃避债务；</w:t>
      </w:r>
      <w:r>
        <w:rPr>
          <w:sz w:val="21"/>
        </w:rPr>
        <w:t>3</w:t>
      </w:r>
      <w:r>
        <w:rPr>
          <w:sz w:val="21"/>
        </w:rPr>
        <w:t>．丧失商业信誉；</w:t>
      </w:r>
      <w:r>
        <w:rPr>
          <w:sz w:val="21"/>
        </w:rPr>
        <w:t>4</w:t>
      </w:r>
      <w:r>
        <w:rPr>
          <w:sz w:val="21"/>
        </w:rPr>
        <w:t>．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ind w:firstLine="420"/>
        <w:jc w:val="both"/>
      </w:pPr>
      <w:r>
        <w:rPr>
          <w:sz w:val="21"/>
        </w:rPr>
        <w:t>（</w:t>
      </w:r>
      <w:r>
        <w:rPr>
          <w:sz w:val="21"/>
        </w:rPr>
        <w:t>3</w:t>
      </w:r>
      <w:r>
        <w:rPr>
          <w:sz w:val="21"/>
        </w:rPr>
        <w:t>）乙方分立、合并或者变更住所的，应当及时以书面形式告知甲方。乙方没有及时告知甲方，致使合同履行发生困难的，甲方可以中止合同履行并要求乙方承担由此给甲方造成的损失。</w:t>
      </w:r>
    </w:p>
    <w:p>
      <w:pPr>
        <w:pStyle w:val="null3"/>
        <w:ind w:firstLine="420"/>
      </w:pPr>
      <w:r>
        <w:rPr>
          <w:sz w:val="21"/>
        </w:rPr>
        <w:t>（</w:t>
      </w:r>
      <w:r>
        <w:rPr>
          <w:sz w:val="21"/>
        </w:rPr>
        <w:t>4</w:t>
      </w:r>
      <w:r>
        <w:rPr>
          <w:sz w:val="21"/>
        </w:rPr>
        <w:t>）甲方不得以行政区划调整、政府换届、机构或者职能调整以及相关责任人更替为由中止合同。</w:t>
      </w:r>
    </w:p>
    <w:p>
      <w:pPr>
        <w:pStyle w:val="null3"/>
        <w:ind w:firstLine="420"/>
      </w:pPr>
      <w:r>
        <w:rPr>
          <w:sz w:val="21"/>
        </w:rPr>
        <w:t>16.3</w:t>
      </w:r>
      <w:r>
        <w:rPr>
          <w:sz w:val="21"/>
        </w:rPr>
        <w:t>合同的终止</w:t>
      </w:r>
    </w:p>
    <w:p>
      <w:pPr>
        <w:pStyle w:val="null3"/>
        <w:ind w:firstLine="420"/>
      </w:pPr>
      <w:r>
        <w:rPr>
          <w:sz w:val="21"/>
        </w:rPr>
        <w:t>（</w:t>
      </w:r>
      <w:r>
        <w:rPr>
          <w:sz w:val="21"/>
        </w:rPr>
        <w:t>1</w:t>
      </w:r>
      <w:r>
        <w:rPr>
          <w:sz w:val="21"/>
        </w:rPr>
        <w:t>）合同因有效期限届满而终止；</w:t>
      </w:r>
    </w:p>
    <w:p>
      <w:pPr>
        <w:pStyle w:val="null3"/>
        <w:ind w:firstLine="420"/>
        <w:jc w:val="both"/>
      </w:pPr>
      <w:r>
        <w:rPr>
          <w:sz w:val="21"/>
        </w:rPr>
        <w:t>（</w:t>
      </w:r>
      <w:r>
        <w:rPr>
          <w:sz w:val="21"/>
        </w:rPr>
        <w:t>2</w:t>
      </w:r>
      <w:r>
        <w:rPr>
          <w:sz w:val="21"/>
        </w:rPr>
        <w:t>）乙方未按合同约定履行，构成根本性违约的，甲方有权终止合同，并追究乙方的违约责任。</w:t>
      </w:r>
    </w:p>
    <w:p>
      <w:pPr>
        <w:pStyle w:val="null3"/>
        <w:ind w:firstLine="440"/>
      </w:pPr>
      <w:r>
        <w:rPr>
          <w:sz w:val="22"/>
        </w:rPr>
        <w:t xml:space="preserve">16.4 </w:t>
      </w:r>
      <w:r>
        <w:rPr>
          <w:sz w:val="21"/>
        </w:rPr>
        <w:t>涉及国家利益、社会公共利益的情形</w:t>
      </w:r>
    </w:p>
    <w:p>
      <w:pPr>
        <w:pStyle w:val="null3"/>
        <w:ind w:firstLine="420"/>
        <w:jc w:val="both"/>
      </w:pPr>
      <w:r>
        <w:rPr>
          <w:sz w:val="21"/>
        </w:rPr>
        <w:t>政府采购合同继续履行将损害国家利益和社会公共利益的，双方当事人应当变更、中止或者终止合同。有过错的一方应当承担赔偿责任，双方都有过错的，各自承担相应的责任。</w:t>
      </w:r>
    </w:p>
    <w:p>
      <w:pPr>
        <w:pStyle w:val="null3"/>
      </w:pPr>
      <w:r>
        <w:rPr>
          <w:sz w:val="24"/>
          <w:b/>
        </w:rPr>
        <w:t xml:space="preserve">17. </w:t>
      </w:r>
      <w:r>
        <w:rPr>
          <w:sz w:val="24"/>
          <w:b/>
        </w:rPr>
        <w:t>合同分包</w:t>
      </w:r>
    </w:p>
    <w:p>
      <w:pPr>
        <w:pStyle w:val="null3"/>
        <w:ind w:firstLine="420"/>
      </w:pPr>
      <w:r>
        <w:rPr>
          <w:sz w:val="21"/>
        </w:rPr>
        <w:t xml:space="preserve">17.1 </w:t>
      </w:r>
      <w:r>
        <w:rPr>
          <w:sz w:val="21"/>
        </w:rPr>
        <w:t>乙方不得将合同转包给其他供应商。涉及合同分包的，乙方应根据采购文件和投标（响应）文件规定进行合同分包。</w:t>
      </w:r>
    </w:p>
    <w:p>
      <w:pPr>
        <w:pStyle w:val="null3"/>
        <w:ind w:firstLine="420"/>
      </w:pPr>
      <w:r>
        <w:rPr>
          <w:sz w:val="21"/>
        </w:rPr>
        <w:t xml:space="preserve">17.2 </w:t>
      </w:r>
      <w:r>
        <w:rPr>
          <w:sz w:val="21"/>
        </w:rPr>
        <w:t>乙方执行政府采购政策向中小企业依法分包的，乙方应当按采购文件和投标（响应）文件签订分包意向协议，分包意向协议属于本合同组成部分。</w:t>
      </w:r>
    </w:p>
    <w:p>
      <w:pPr>
        <w:pStyle w:val="null3"/>
      </w:pPr>
      <w:r>
        <w:rPr>
          <w:sz w:val="24"/>
          <w:b/>
        </w:rPr>
        <w:t xml:space="preserve">18. </w:t>
      </w:r>
      <w:r>
        <w:rPr>
          <w:sz w:val="24"/>
          <w:b/>
        </w:rPr>
        <w:t>不可抗力</w:t>
      </w:r>
    </w:p>
    <w:p>
      <w:pPr>
        <w:pStyle w:val="null3"/>
        <w:ind w:firstLine="420"/>
      </w:pPr>
      <w:r>
        <w:rPr>
          <w:sz w:val="21"/>
        </w:rPr>
        <w:t xml:space="preserve">18.1 </w:t>
      </w:r>
      <w:r>
        <w:rPr>
          <w:sz w:val="21"/>
        </w:rPr>
        <w:t>不可抗力是指合同双方不能预见、不能避免且不能克服的客观情况。</w:t>
      </w:r>
    </w:p>
    <w:p>
      <w:pPr>
        <w:pStyle w:val="null3"/>
        <w:ind w:firstLine="420"/>
      </w:pPr>
      <w:r>
        <w:rPr>
          <w:sz w:val="21"/>
        </w:rPr>
        <w:t xml:space="preserve">18.2 </w:t>
      </w:r>
      <w:r>
        <w:rPr>
          <w:sz w:val="21"/>
        </w:rPr>
        <w:t>任何一方对由于不可抗力造成的部分或全部不能履行合同不承担违约责任。但迟延履行后发生不可抗力的，不能免除责任。</w:t>
      </w:r>
    </w:p>
    <w:p>
      <w:pPr>
        <w:pStyle w:val="null3"/>
        <w:ind w:firstLine="420"/>
      </w:pPr>
      <w:r>
        <w:rPr>
          <w:sz w:val="21"/>
        </w:rPr>
        <w:t xml:space="preserve">18.3 </w:t>
      </w:r>
      <w:r>
        <w:rPr>
          <w:sz w:val="21"/>
        </w:rPr>
        <w:t>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pPr>
      <w:r>
        <w:rPr>
          <w:sz w:val="24"/>
          <w:b/>
        </w:rPr>
        <w:t xml:space="preserve">19. </w:t>
      </w:r>
      <w:r>
        <w:rPr>
          <w:sz w:val="24"/>
          <w:b/>
        </w:rPr>
        <w:t>解决争议的方法</w:t>
      </w:r>
    </w:p>
    <w:p>
      <w:pPr>
        <w:pStyle w:val="null3"/>
        <w:ind w:firstLine="420"/>
        <w:jc w:val="both"/>
      </w:pPr>
      <w:r>
        <w:rPr>
          <w:sz w:val="21"/>
        </w:rPr>
        <w:t xml:space="preserve">19.1 </w:t>
      </w:r>
      <w:r>
        <w:rPr>
          <w:sz w:val="21"/>
        </w:rPr>
        <w:t>因本合同及合同有关事项发生的争议，由甲乙双方友好协商解决。协商不成时，可以向有关组织申请调解。合同一方或双方不愿调解或调解不成的，可以通过仲裁或诉讼的方式解决争议。</w:t>
      </w:r>
    </w:p>
    <w:p>
      <w:pPr>
        <w:pStyle w:val="null3"/>
        <w:ind w:firstLine="420"/>
        <w:jc w:val="both"/>
      </w:pPr>
      <w:r>
        <w:rPr>
          <w:sz w:val="21"/>
        </w:rPr>
        <w:t xml:space="preserve">19.2 </w:t>
      </w:r>
      <w:r>
        <w:rPr>
          <w:sz w:val="21"/>
        </w:rPr>
        <w:t>选择仲裁的，应在</w:t>
      </w:r>
      <w:r>
        <w:rPr>
          <w:sz w:val="21"/>
          <w:b/>
        </w:rPr>
        <w:t>【政府采购合同专用条款】</w:t>
      </w:r>
      <w:r>
        <w:rPr>
          <w:sz w:val="21"/>
        </w:rPr>
        <w:t>中明确仲裁机构及仲裁地；通过诉讼方式解决的，可以在</w:t>
      </w:r>
      <w:r>
        <w:rPr>
          <w:sz w:val="21"/>
          <w:b/>
        </w:rPr>
        <w:t>【政府采购合同专用条款】</w:t>
      </w:r>
      <w:r>
        <w:rPr>
          <w:sz w:val="21"/>
        </w:rPr>
        <w:t>中进一步约定选择与争议有实际联系的地点的人民法院管辖，但管辖法院的约定不得违反级别管辖和专属管辖的规定。</w:t>
      </w:r>
    </w:p>
    <w:p>
      <w:pPr>
        <w:pStyle w:val="null3"/>
        <w:ind w:firstLine="420"/>
        <w:jc w:val="both"/>
      </w:pPr>
      <w:r>
        <w:rPr>
          <w:sz w:val="21"/>
        </w:rPr>
        <w:t xml:space="preserve">19.3 </w:t>
      </w:r>
      <w:r>
        <w:rPr>
          <w:sz w:val="21"/>
        </w:rPr>
        <w:t>如甲乙双方有争议的事项不影响合同其他部分的履行，在争议解决期间，合同其他部分应当继续履行。</w:t>
      </w:r>
    </w:p>
    <w:p>
      <w:pPr>
        <w:pStyle w:val="null3"/>
      </w:pPr>
      <w:r>
        <w:rPr>
          <w:sz w:val="24"/>
          <w:b/>
        </w:rPr>
        <w:t xml:space="preserve">20. </w:t>
      </w:r>
      <w:r>
        <w:rPr>
          <w:sz w:val="24"/>
          <w:b/>
        </w:rPr>
        <w:t>政府采购政策</w:t>
      </w:r>
    </w:p>
    <w:p>
      <w:pPr>
        <w:pStyle w:val="null3"/>
        <w:ind w:firstLine="420"/>
      </w:pPr>
      <w:r>
        <w:rPr>
          <w:sz w:val="21"/>
        </w:rPr>
        <w:t xml:space="preserve">20.1 </w:t>
      </w:r>
      <w:r>
        <w:rPr>
          <w:sz w:val="21"/>
        </w:rPr>
        <w:t>本合同应当按照规定执行政府采购政策。</w:t>
      </w:r>
    </w:p>
    <w:p>
      <w:pPr>
        <w:pStyle w:val="null3"/>
        <w:ind w:firstLine="420"/>
      </w:pPr>
      <w:r>
        <w:rPr>
          <w:sz w:val="21"/>
        </w:rPr>
        <w:t xml:space="preserve">20.2 </w:t>
      </w:r>
      <w:r>
        <w:rPr>
          <w:sz w:val="21"/>
        </w:rPr>
        <w:t>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ind w:firstLine="420"/>
        <w:jc w:val="both"/>
      </w:pPr>
      <w:r>
        <w:rPr>
          <w:sz w:val="21"/>
        </w:rPr>
        <w:t xml:space="preserve">20.3 </w:t>
      </w:r>
      <w:r>
        <w:rPr>
          <w:sz w:val="21"/>
        </w:rPr>
        <w:t>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pPr>
      <w:r>
        <w:rPr>
          <w:sz w:val="24"/>
          <w:b/>
        </w:rPr>
        <w:t xml:space="preserve">21. </w:t>
      </w:r>
      <w:r>
        <w:rPr>
          <w:sz w:val="24"/>
          <w:b/>
        </w:rPr>
        <w:t>法律适用</w:t>
      </w:r>
    </w:p>
    <w:p>
      <w:pPr>
        <w:pStyle w:val="null3"/>
        <w:ind w:firstLine="420"/>
        <w:jc w:val="both"/>
      </w:pPr>
      <w:r>
        <w:rPr>
          <w:sz w:val="21"/>
        </w:rPr>
        <w:t xml:space="preserve">21.1 </w:t>
      </w:r>
      <w:r>
        <w:rPr>
          <w:sz w:val="21"/>
        </w:rPr>
        <w:t>本合同的订立、生效、解释、履行及与本合同有关的争议解决，均适用法律、行政法规。</w:t>
      </w:r>
    </w:p>
    <w:p>
      <w:pPr>
        <w:pStyle w:val="null3"/>
        <w:ind w:firstLine="420"/>
        <w:jc w:val="both"/>
      </w:pPr>
      <w:r>
        <w:rPr>
          <w:sz w:val="21"/>
        </w:rPr>
        <w:t xml:space="preserve">21.2 </w:t>
      </w:r>
      <w:r>
        <w:rPr>
          <w:sz w:val="21"/>
        </w:rPr>
        <w:t>本合同条款与法律、行政法规的强制性规定不一致的，双方当事人应按照法律、行政法规的强制性规定修改本合同的相关条款。</w:t>
      </w:r>
    </w:p>
    <w:p>
      <w:pPr>
        <w:pStyle w:val="null3"/>
      </w:pPr>
      <w:r>
        <w:rPr>
          <w:sz w:val="24"/>
          <w:b/>
        </w:rPr>
        <w:t xml:space="preserve">22. </w:t>
      </w:r>
      <w:r>
        <w:rPr>
          <w:sz w:val="24"/>
          <w:b/>
        </w:rPr>
        <w:t>通知</w:t>
      </w:r>
    </w:p>
    <w:p>
      <w:pPr>
        <w:pStyle w:val="null3"/>
        <w:ind w:firstLine="420"/>
        <w:jc w:val="both"/>
      </w:pPr>
      <w:r>
        <w:rPr>
          <w:sz w:val="21"/>
        </w:rPr>
        <w:t xml:space="preserve">22.1 </w:t>
      </w:r>
      <w:r>
        <w:rPr>
          <w:sz w:val="21"/>
        </w:rPr>
        <w:t>本合同任何一方向对方发出的通知、信件、数据电文等，应当发送至本合同第一部分《政府采购合同协议书》所约定的通讯地址、联系人、联系电话或电子邮箱。</w:t>
      </w:r>
    </w:p>
    <w:p>
      <w:pPr>
        <w:pStyle w:val="null3"/>
        <w:jc w:val="both"/>
      </w:pPr>
      <w:r>
        <w:rPr>
          <w:sz w:val="21"/>
        </w:rPr>
        <w:t xml:space="preserve">    22.2 </w:t>
      </w:r>
      <w:r>
        <w:rPr>
          <w:sz w:val="21"/>
        </w:rPr>
        <w:t>一方当事人变更名称、住所、联系人、联系电话或电子邮箱等信息的，应当在变更后</w:t>
      </w:r>
      <w:r>
        <w:rPr>
          <w:sz w:val="21"/>
        </w:rPr>
        <w:t>3</w:t>
      </w:r>
      <w:r>
        <w:rPr>
          <w:sz w:val="21"/>
        </w:rPr>
        <w:t>日内及时书面通知对方，对方实际收到变更通知前的送达仍为有效送达。</w:t>
      </w:r>
    </w:p>
    <w:p>
      <w:pPr>
        <w:pStyle w:val="null3"/>
        <w:ind w:firstLine="420"/>
      </w:pPr>
      <w:r>
        <w:rPr>
          <w:sz w:val="21"/>
        </w:rPr>
        <w:t>22.3</w:t>
      </w:r>
      <w:r>
        <w:rPr>
          <w:sz w:val="21"/>
        </w:rPr>
        <w:t>本合同一方给另一方的通知均应采用书面形式，传真或快递送到本合同中规定的对方的地址和办理签收手续。</w:t>
      </w:r>
    </w:p>
    <w:p>
      <w:pPr>
        <w:pStyle w:val="null3"/>
        <w:ind w:firstLine="420"/>
      </w:pPr>
      <w:r>
        <w:rPr>
          <w:sz w:val="21"/>
        </w:rPr>
        <w:t>22.4</w:t>
      </w:r>
      <w:r>
        <w:rPr>
          <w:sz w:val="21"/>
        </w:rPr>
        <w:t>通知以送达之日或通知书中规定的生效之日起生效，两者中以较迟之日为准。</w:t>
      </w:r>
    </w:p>
    <w:p>
      <w:pPr>
        <w:pStyle w:val="null3"/>
      </w:pPr>
      <w:r>
        <w:rPr>
          <w:sz w:val="24"/>
          <w:b/>
        </w:rPr>
        <w:t xml:space="preserve">23. </w:t>
      </w:r>
      <w:r>
        <w:rPr>
          <w:sz w:val="24"/>
          <w:b/>
        </w:rPr>
        <w:t>合同未尽事项</w:t>
      </w:r>
    </w:p>
    <w:p>
      <w:pPr>
        <w:pStyle w:val="null3"/>
        <w:ind w:firstLine="420"/>
      </w:pPr>
      <w:r>
        <w:rPr>
          <w:sz w:val="21"/>
        </w:rPr>
        <w:t>23.1</w:t>
      </w:r>
      <w:r>
        <w:rPr>
          <w:sz w:val="21"/>
        </w:rPr>
        <w:t>合同未尽事项见</w:t>
      </w:r>
      <w:r>
        <w:rPr>
          <w:sz w:val="21"/>
          <w:b/>
        </w:rPr>
        <w:t>【政府采购合同专用条款】</w:t>
      </w:r>
      <w:r>
        <w:rPr>
          <w:sz w:val="21"/>
        </w:rPr>
        <w:t>。</w:t>
      </w:r>
    </w:p>
    <w:p>
      <w:pPr>
        <w:pStyle w:val="null3"/>
      </w:pPr>
      <w:r>
        <w:rPr>
          <w:sz w:val="21"/>
        </w:rPr>
        <w:t xml:space="preserve">    23.2 </w:t>
      </w:r>
      <w:r>
        <w:rPr>
          <w:sz w:val="21"/>
        </w:rPr>
        <w:t>合同附件与合同正文具有同等的法律效力。</w:t>
      </w:r>
    </w:p>
    <w:p>
      <w:pPr>
        <w:pStyle w:val="null3"/>
        <w:jc w:val="center"/>
      </w:pPr>
      <w:r>
        <w:rPr>
          <w:sz w:val="28"/>
          <w:b/>
        </w:rPr>
        <w:t>第三节</w:t>
      </w:r>
      <w:r>
        <w:rPr>
          <w:sz w:val="28"/>
          <w:b/>
        </w:rPr>
        <w:t>政府采购合同专用条款</w:t>
      </w:r>
    </w:p>
    <w:tbl>
      <w:tblPr>
        <w:tblW w:w="0" w:type="auto"/>
        <w:tblBorders>
          <w:top w:val="none" w:color="000000" w:sz="4"/>
          <w:left w:val="none" w:color="000000" w:sz="4"/>
          <w:bottom w:val="none" w:color="000000" w:sz="4"/>
          <w:right w:val="none" w:color="000000" w:sz="4"/>
          <w:insideH w:val="none"/>
          <w:insideV w:val="none"/>
        </w:tblBorders>
      </w:tblPr>
      <w:tblGrid>
        <w:gridCol w:w="1526"/>
        <w:gridCol w:w="1695"/>
        <w:gridCol w:w="5085"/>
      </w:tblGrid>
      <w:tr>
        <w:tc>
          <w:tcPr>
            <w:tcW w:type="dxa" w:w="1526"/>
            <w:tcBorders>
              <w:top w:val="double" w:color="000000" w:sz="12"/>
              <w:left w:val="double" w:color="000000" w:sz="12"/>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1.2</w:t>
            </w:r>
            <w:r>
              <w:rPr>
                <w:sz w:val="21"/>
              </w:rPr>
              <w:t>（</w:t>
            </w:r>
            <w:r>
              <w:rPr>
                <w:sz w:val="21"/>
              </w:rPr>
              <w:t>6</w:t>
            </w:r>
            <w:r>
              <w:rPr>
                <w:sz w:val="21"/>
              </w:rPr>
              <w:t>）项</w:t>
            </w:r>
          </w:p>
        </w:tc>
        <w:tc>
          <w:tcPr>
            <w:tcW w:type="dxa" w:w="1695"/>
            <w:tcBorders>
              <w:top w:val="double" w:color="000000" w:sz="12"/>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联合体具体要求</w:t>
            </w:r>
          </w:p>
        </w:tc>
        <w:tc>
          <w:tcPr>
            <w:tcW w:type="dxa" w:w="5085"/>
            <w:tcBorders>
              <w:top w:val="double" w:color="000000" w:sz="12"/>
              <w:left w:val="none" w:color="000000" w:sz="4"/>
              <w:bottom w:val="single" w:color="000000" w:sz="4"/>
              <w:right w:val="double" w:color="000000" w:sz="12"/>
            </w:tcBorders>
            <w:tcMar>
              <w:top w:type="dxa" w:w="0"/>
              <w:left w:type="dxa" w:w="105"/>
              <w:bottom w:type="dxa" w:w="0"/>
              <w:right w:type="dxa" w:w="105"/>
            </w:tcMar>
            <w:vAlign w:val="top"/>
          </w:tcPr>
          <w:p>
            <w:pPr>
              <w:pStyle w:val="null3"/>
            </w:pPr>
            <w:r>
              <w:rPr>
                <w:sz w:val="21"/>
              </w:rPr>
              <w:t>/</w:t>
            </w:r>
          </w:p>
        </w:tc>
      </w:tr>
      <w:tr>
        <w:tc>
          <w:tcPr>
            <w:tcW w:type="dxa" w:w="1526"/>
            <w:tcBorders>
              <w:top w:val="none" w:color="000000" w:sz="4"/>
              <w:left w:val="double" w:color="000000" w:sz="12"/>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1.2</w:t>
            </w:r>
            <w:r>
              <w:rPr>
                <w:sz w:val="21"/>
              </w:rPr>
              <w:t>（</w:t>
            </w:r>
            <w:r>
              <w:rPr>
                <w:sz w:val="21"/>
              </w:rPr>
              <w:t>7</w:t>
            </w:r>
            <w:r>
              <w:rPr>
                <w:sz w:val="21"/>
              </w:rPr>
              <w:t>）项</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其他术语解释</w:t>
            </w:r>
          </w:p>
        </w:tc>
        <w:tc>
          <w:tcPr>
            <w:tcW w:type="dxa" w:w="5085"/>
            <w:tcBorders>
              <w:top w:val="none" w:color="000000" w:sz="4"/>
              <w:left w:val="none" w:color="000000" w:sz="4"/>
              <w:bottom w:val="single" w:color="000000" w:sz="4"/>
              <w:right w:val="double" w:color="000000" w:sz="12"/>
            </w:tcBorders>
            <w:tcMar>
              <w:top w:type="dxa" w:w="0"/>
              <w:left w:type="dxa" w:w="105"/>
              <w:bottom w:type="dxa" w:w="0"/>
              <w:right w:type="dxa" w:w="105"/>
            </w:tcMar>
            <w:vAlign w:val="top"/>
          </w:tcPr>
          <w:p>
            <w:pPr>
              <w:pStyle w:val="null3"/>
            </w:pPr>
            <w:r>
              <w:rPr>
                <w:sz w:val="21"/>
              </w:rPr>
              <w:t>/</w:t>
            </w:r>
          </w:p>
        </w:tc>
      </w:tr>
      <w:tr>
        <w:tc>
          <w:tcPr>
            <w:tcW w:type="dxa" w:w="1526"/>
            <w:tcBorders>
              <w:top w:val="none" w:color="000000" w:sz="4"/>
              <w:left w:val="double" w:color="000000" w:sz="12"/>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4.4</w:t>
            </w:r>
            <w:r>
              <w:rPr>
                <w:sz w:val="21"/>
              </w:rPr>
              <w:t>款</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履约验收中甲方提出异议或作出说明的期限</w:t>
            </w:r>
          </w:p>
        </w:tc>
        <w:tc>
          <w:tcPr>
            <w:tcW w:type="dxa" w:w="5085"/>
            <w:tcBorders>
              <w:top w:val="none" w:color="000000" w:sz="4"/>
              <w:left w:val="none" w:color="000000" w:sz="4"/>
              <w:bottom w:val="single" w:color="000000" w:sz="4"/>
              <w:right w:val="double" w:color="000000" w:sz="12"/>
            </w:tcBorders>
            <w:tcMar>
              <w:top w:type="dxa" w:w="0"/>
              <w:left w:type="dxa" w:w="105"/>
              <w:bottom w:type="dxa" w:w="0"/>
              <w:right w:type="dxa" w:w="105"/>
            </w:tcMar>
            <w:vAlign w:val="top"/>
          </w:tcPr>
          <w:p>
            <w:pPr>
              <w:pStyle w:val="null3"/>
            </w:pPr>
            <w:r>
              <w:rPr>
                <w:sz w:val="21"/>
              </w:rPr>
              <w:t>验收中甲方发现所供设备不符合本合同要求或不能正常运行的，甲方当场与乙方参与验收的代表反馈，乙方需在</w:t>
            </w:r>
            <w:r>
              <w:rPr>
                <w:sz w:val="21"/>
              </w:rPr>
              <w:t>5</w:t>
            </w:r>
            <w:r>
              <w:rPr>
                <w:sz w:val="21"/>
              </w:rPr>
              <w:t>个自然日内更换为符合要求本合同要求且正常运行的设备，逾期或更换后的设备仍不符合本合同要求或不能正常运行的，作退货处理，</w:t>
            </w:r>
            <w:r>
              <w:rPr>
                <w:sz w:val="21"/>
              </w:rPr>
              <w:t>2</w:t>
            </w:r>
            <w:r>
              <w:rPr>
                <w:sz w:val="21"/>
              </w:rPr>
              <w:t>期款项支付时扣除退货处理设备所占比例款项的</w:t>
            </w:r>
            <w:r>
              <w:rPr>
                <w:sz w:val="21"/>
              </w:rPr>
              <w:t>120%</w:t>
            </w:r>
            <w:r>
              <w:rPr>
                <w:sz w:val="21"/>
              </w:rPr>
              <w:t>。</w:t>
            </w:r>
          </w:p>
        </w:tc>
      </w:tr>
      <w:tr>
        <w:tc>
          <w:tcPr>
            <w:tcW w:type="dxa" w:w="1526"/>
            <w:tcBorders>
              <w:top w:val="none" w:color="000000" w:sz="4"/>
              <w:left w:val="double" w:color="000000" w:sz="12"/>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4.6</w:t>
            </w:r>
            <w:r>
              <w:rPr>
                <w:sz w:val="21"/>
              </w:rPr>
              <w:t>款</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约定甲方承担的其他义务和责任</w:t>
            </w:r>
          </w:p>
        </w:tc>
        <w:tc>
          <w:tcPr>
            <w:tcW w:type="dxa" w:w="5085"/>
            <w:tcBorders>
              <w:top w:val="none" w:color="000000" w:sz="4"/>
              <w:left w:val="none" w:color="000000" w:sz="4"/>
              <w:bottom w:val="single" w:color="000000" w:sz="4"/>
              <w:right w:val="double" w:color="000000" w:sz="12"/>
            </w:tcBorders>
            <w:tcMar>
              <w:top w:type="dxa" w:w="0"/>
              <w:left w:type="dxa" w:w="105"/>
              <w:bottom w:type="dxa" w:w="0"/>
              <w:right w:type="dxa" w:w="105"/>
            </w:tcMar>
            <w:vAlign w:val="top"/>
          </w:tcPr>
          <w:p>
            <w:pPr>
              <w:pStyle w:val="null3"/>
            </w:pPr>
            <w:r>
              <w:rPr>
                <w:sz w:val="21"/>
              </w:rPr>
              <w:t>/</w:t>
            </w:r>
          </w:p>
        </w:tc>
      </w:tr>
      <w:tr>
        <w:tc>
          <w:tcPr>
            <w:tcW w:type="dxa" w:w="1526"/>
            <w:tcBorders>
              <w:top w:val="none" w:color="000000" w:sz="4"/>
              <w:left w:val="double" w:color="000000" w:sz="12"/>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5.4</w:t>
            </w:r>
            <w:r>
              <w:rPr>
                <w:sz w:val="21"/>
              </w:rPr>
              <w:t>款</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约定乙方承担的其他义务和责任</w:t>
            </w:r>
          </w:p>
        </w:tc>
        <w:tc>
          <w:tcPr>
            <w:tcW w:type="dxa" w:w="5085"/>
            <w:tcBorders>
              <w:top w:val="none" w:color="000000" w:sz="4"/>
              <w:left w:val="none" w:color="000000" w:sz="4"/>
              <w:bottom w:val="single" w:color="000000" w:sz="4"/>
              <w:right w:val="double" w:color="000000" w:sz="12"/>
            </w:tcBorders>
            <w:tcMar>
              <w:top w:type="dxa" w:w="0"/>
              <w:left w:type="dxa" w:w="105"/>
              <w:bottom w:type="dxa" w:w="0"/>
              <w:right w:type="dxa" w:w="105"/>
            </w:tcMar>
            <w:vAlign w:val="top"/>
          </w:tcPr>
          <w:p>
            <w:pPr>
              <w:pStyle w:val="null3"/>
              <w:jc w:val="both"/>
            </w:pPr>
            <w:r>
              <w:rPr>
                <w:sz w:val="21"/>
              </w:rPr>
              <w:t>/</w:t>
            </w:r>
          </w:p>
        </w:tc>
      </w:tr>
      <w:tr>
        <w:tc>
          <w:tcPr>
            <w:tcW w:type="dxa" w:w="1526"/>
            <w:tcBorders>
              <w:top w:val="none" w:color="000000" w:sz="4"/>
              <w:left w:val="double" w:color="000000" w:sz="12"/>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6.1</w:t>
            </w:r>
            <w:r>
              <w:rPr>
                <w:sz w:val="21"/>
              </w:rPr>
              <w:t>款</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履行合同义务的顺序</w:t>
            </w:r>
          </w:p>
        </w:tc>
        <w:tc>
          <w:tcPr>
            <w:tcW w:type="dxa" w:w="5085"/>
            <w:tcBorders>
              <w:top w:val="none" w:color="000000" w:sz="4"/>
              <w:left w:val="none" w:color="000000" w:sz="4"/>
              <w:bottom w:val="single" w:color="000000" w:sz="4"/>
              <w:right w:val="double" w:color="000000" w:sz="12"/>
            </w:tcBorders>
            <w:tcMar>
              <w:top w:type="dxa" w:w="0"/>
              <w:left w:type="dxa" w:w="105"/>
              <w:bottom w:type="dxa" w:w="0"/>
              <w:right w:type="dxa" w:w="105"/>
            </w:tcMar>
            <w:vAlign w:val="top"/>
          </w:tcPr>
          <w:p>
            <w:pPr>
              <w:pStyle w:val="null3"/>
            </w:pPr>
            <w:r>
              <w:rPr>
                <w:sz w:val="21"/>
              </w:rPr>
              <w:t>/</w:t>
            </w:r>
          </w:p>
        </w:tc>
      </w:tr>
      <w:tr>
        <w:tc>
          <w:tcPr>
            <w:tcW w:type="dxa" w:w="1526"/>
            <w:vMerge w:val="restart"/>
            <w:tcBorders>
              <w:top w:val="none" w:color="000000" w:sz="4"/>
              <w:left w:val="double" w:color="000000" w:sz="12"/>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7.1</w:t>
            </w:r>
            <w:r>
              <w:rPr>
                <w:sz w:val="21"/>
              </w:rPr>
              <w:t>款</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包装特殊要求</w:t>
            </w:r>
          </w:p>
        </w:tc>
        <w:tc>
          <w:tcPr>
            <w:tcW w:type="dxa" w:w="5085"/>
            <w:tcBorders>
              <w:top w:val="none" w:color="000000" w:sz="4"/>
              <w:left w:val="none" w:color="000000" w:sz="4"/>
              <w:bottom w:val="single" w:color="000000" w:sz="4"/>
              <w:right w:val="double" w:color="000000" w:sz="12"/>
            </w:tcBorders>
            <w:tcMar>
              <w:top w:type="dxa" w:w="0"/>
              <w:left w:type="dxa" w:w="105"/>
              <w:bottom w:type="dxa" w:w="0"/>
              <w:right w:type="dxa" w:w="105"/>
            </w:tcMar>
            <w:vAlign w:val="top"/>
          </w:tcPr>
          <w:p>
            <w:pPr>
              <w:pStyle w:val="null3"/>
              <w:jc w:val="both"/>
            </w:pPr>
            <w:r>
              <w:rPr>
                <w:sz w:val="21"/>
              </w:rPr>
              <w:t>/</w:t>
            </w:r>
          </w:p>
        </w:tc>
      </w:tr>
      <w:tr>
        <w:tc>
          <w:tcPr>
            <w:tcW w:type="dxa" w:w="1526"/>
            <w:vMerge/>
            <w:tcBorders>
              <w:top w:val="none" w:color="000000" w:sz="4"/>
              <w:left w:val="double" w:color="000000" w:sz="12"/>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指定现场</w:t>
            </w:r>
          </w:p>
        </w:tc>
        <w:tc>
          <w:tcPr>
            <w:tcW w:type="dxa" w:w="5085"/>
            <w:tcBorders>
              <w:top w:val="none" w:color="000000" w:sz="4"/>
              <w:left w:val="none" w:color="000000" w:sz="4"/>
              <w:bottom w:val="single" w:color="000000" w:sz="4"/>
              <w:right w:val="double" w:color="000000" w:sz="12"/>
            </w:tcBorders>
            <w:tcMar>
              <w:top w:type="dxa" w:w="0"/>
              <w:left w:type="dxa" w:w="105"/>
              <w:bottom w:type="dxa" w:w="0"/>
              <w:right w:type="dxa" w:w="105"/>
            </w:tcMar>
            <w:vAlign w:val="top"/>
          </w:tcPr>
          <w:p>
            <w:pPr>
              <w:pStyle w:val="null3"/>
              <w:jc w:val="both"/>
            </w:pPr>
            <w:r>
              <w:rPr>
                <w:sz w:val="21"/>
              </w:rPr>
              <w:t>/</w:t>
            </w:r>
          </w:p>
        </w:tc>
      </w:tr>
      <w:tr>
        <w:tc>
          <w:tcPr>
            <w:tcW w:type="dxa" w:w="1526"/>
            <w:tcBorders>
              <w:top w:val="none" w:color="000000" w:sz="4"/>
              <w:left w:val="double" w:color="000000" w:sz="12"/>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7.2</w:t>
            </w:r>
            <w:r>
              <w:rPr>
                <w:sz w:val="21"/>
              </w:rPr>
              <w:t>款</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运输特殊要求</w:t>
            </w:r>
          </w:p>
        </w:tc>
        <w:tc>
          <w:tcPr>
            <w:tcW w:type="dxa" w:w="5085"/>
            <w:tcBorders>
              <w:top w:val="none" w:color="000000" w:sz="4"/>
              <w:left w:val="none" w:color="000000" w:sz="4"/>
              <w:bottom w:val="single" w:color="000000" w:sz="4"/>
              <w:right w:val="double" w:color="000000" w:sz="12"/>
            </w:tcBorders>
            <w:tcMar>
              <w:top w:type="dxa" w:w="0"/>
              <w:left w:type="dxa" w:w="105"/>
              <w:bottom w:type="dxa" w:w="0"/>
              <w:right w:type="dxa" w:w="105"/>
            </w:tcMar>
            <w:vAlign w:val="top"/>
          </w:tcPr>
          <w:p>
            <w:pPr>
              <w:pStyle w:val="null3"/>
              <w:jc w:val="both"/>
            </w:pPr>
            <w:r>
              <w:rPr>
                <w:sz w:val="21"/>
              </w:rPr>
              <w:t>/</w:t>
            </w:r>
          </w:p>
        </w:tc>
      </w:tr>
      <w:tr>
        <w:tc>
          <w:tcPr>
            <w:tcW w:type="dxa" w:w="1526"/>
            <w:tcBorders>
              <w:top w:val="none" w:color="000000" w:sz="4"/>
              <w:left w:val="double" w:color="000000" w:sz="12"/>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7.3</w:t>
            </w:r>
            <w:r>
              <w:rPr>
                <w:sz w:val="21"/>
              </w:rPr>
              <w:t>款</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保险要求</w:t>
            </w:r>
          </w:p>
        </w:tc>
        <w:tc>
          <w:tcPr>
            <w:tcW w:type="dxa" w:w="5085"/>
            <w:tcBorders>
              <w:top w:val="none" w:color="000000" w:sz="4"/>
              <w:left w:val="none" w:color="000000" w:sz="4"/>
              <w:bottom w:val="single" w:color="000000" w:sz="4"/>
              <w:right w:val="double" w:color="000000" w:sz="12"/>
            </w:tcBorders>
            <w:tcMar>
              <w:top w:type="dxa" w:w="0"/>
              <w:left w:type="dxa" w:w="105"/>
              <w:bottom w:type="dxa" w:w="0"/>
              <w:right w:type="dxa" w:w="105"/>
            </w:tcMar>
            <w:vAlign w:val="top"/>
          </w:tcPr>
          <w:p>
            <w:pPr>
              <w:pStyle w:val="null3"/>
              <w:jc w:val="both"/>
            </w:pPr>
            <w:r>
              <w:rPr>
                <w:sz w:val="21"/>
              </w:rPr>
              <w:t>甲方对所收到的货物在验收前不作开箱检查，故在验收前因生产、包装、运输、装卸等原因导致的货物损毁、缺失、丢失或者品质下降由乙方完全承担其风险和保险责任。</w:t>
            </w:r>
          </w:p>
        </w:tc>
      </w:tr>
      <w:tr>
        <w:tc>
          <w:tcPr>
            <w:tcW w:type="dxa" w:w="1526"/>
            <w:tcBorders>
              <w:top w:val="none" w:color="000000" w:sz="4"/>
              <w:left w:val="double" w:color="000000" w:sz="12"/>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8.2</w:t>
            </w:r>
            <w:r>
              <w:rPr>
                <w:sz w:val="21"/>
              </w:rPr>
              <w:t>（</w:t>
            </w:r>
            <w:r>
              <w:rPr>
                <w:sz w:val="21"/>
              </w:rPr>
              <w:t>1</w:t>
            </w:r>
            <w:r>
              <w:rPr>
                <w:sz w:val="21"/>
              </w:rPr>
              <w:t>）项</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质量保证期</w:t>
            </w:r>
          </w:p>
        </w:tc>
        <w:tc>
          <w:tcPr>
            <w:tcW w:type="dxa" w:w="5085"/>
            <w:tcBorders>
              <w:top w:val="none" w:color="000000" w:sz="4"/>
              <w:left w:val="none" w:color="000000" w:sz="4"/>
              <w:bottom w:val="single" w:color="000000" w:sz="4"/>
              <w:right w:val="double" w:color="000000" w:sz="12"/>
            </w:tcBorders>
            <w:tcMar>
              <w:top w:type="dxa" w:w="0"/>
              <w:left w:type="dxa" w:w="105"/>
              <w:bottom w:type="dxa" w:w="0"/>
              <w:right w:type="dxa" w:w="105"/>
            </w:tcMar>
            <w:vAlign w:val="top"/>
          </w:tcPr>
          <w:p>
            <w:pPr>
              <w:pStyle w:val="null3"/>
            </w:pPr>
            <w:r>
              <w:rPr>
                <w:sz w:val="21"/>
              </w:rPr>
              <w:t>免费质量保证期为年，自验收合格通过之日起计。</w:t>
            </w:r>
            <w:r>
              <w:rPr>
                <w:sz w:val="21"/>
                <w:i/>
              </w:rPr>
              <w:t>（根据乙方响应情况修改）</w:t>
            </w:r>
          </w:p>
        </w:tc>
      </w:tr>
      <w:tr>
        <w:tc>
          <w:tcPr>
            <w:tcW w:type="dxa" w:w="1526"/>
            <w:tcBorders>
              <w:top w:val="none" w:color="000000" w:sz="4"/>
              <w:left w:val="double" w:color="000000" w:sz="12"/>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8.2</w:t>
            </w:r>
            <w:r>
              <w:rPr>
                <w:sz w:val="21"/>
              </w:rPr>
              <w:t>（</w:t>
            </w:r>
            <w:r>
              <w:rPr>
                <w:sz w:val="21"/>
              </w:rPr>
              <w:t>3</w:t>
            </w:r>
            <w:r>
              <w:rPr>
                <w:sz w:val="21"/>
              </w:rPr>
              <w:t>）项</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货物质量缺陷</w:t>
            </w:r>
          </w:p>
          <w:p>
            <w:pPr>
              <w:pStyle w:val="null3"/>
            </w:pPr>
            <w:r>
              <w:rPr>
                <w:sz w:val="21"/>
              </w:rPr>
              <w:t>响应时间</w:t>
            </w:r>
          </w:p>
        </w:tc>
        <w:tc>
          <w:tcPr>
            <w:tcW w:type="dxa" w:w="5085"/>
            <w:tcBorders>
              <w:top w:val="none" w:color="000000" w:sz="4"/>
              <w:left w:val="none" w:color="000000" w:sz="4"/>
              <w:bottom w:val="single" w:color="000000" w:sz="4"/>
              <w:right w:val="double" w:color="000000" w:sz="12"/>
            </w:tcBorders>
            <w:tcMar>
              <w:top w:type="dxa" w:w="0"/>
              <w:left w:type="dxa" w:w="105"/>
              <w:bottom w:type="dxa" w:w="0"/>
              <w:right w:type="dxa" w:w="105"/>
            </w:tcMar>
            <w:vAlign w:val="top"/>
          </w:tcPr>
          <w:p>
            <w:pPr>
              <w:pStyle w:val="null3"/>
            </w:pPr>
            <w:r>
              <w:rPr>
                <w:sz w:val="21"/>
              </w:rPr>
              <w:t>1.</w:t>
            </w:r>
            <w:r>
              <w:rPr>
                <w:sz w:val="21"/>
              </w:rPr>
              <w:t>质量保障服务内容：质保期内乙方需对本项目所有软硬件设备及其集成功能提供维修维护服务</w:t>
            </w:r>
            <w:r>
              <w:rPr>
                <w:sz w:val="21"/>
              </w:rPr>
              <w:t>(</w:t>
            </w:r>
            <w:r>
              <w:rPr>
                <w:sz w:val="21"/>
              </w:rPr>
              <w:t>含备件</w:t>
            </w:r>
            <w:r>
              <w:rPr>
                <w:sz w:val="21"/>
              </w:rPr>
              <w:t>)</w:t>
            </w:r>
            <w:r>
              <w:rPr>
                <w:sz w:val="21"/>
              </w:rPr>
              <w:t>，硬盘损坏更换免回收，所有设备维修服务均为上门服务，由此产生的费用包含在此次投标总报价中。</w:t>
            </w:r>
          </w:p>
          <w:p>
            <w:pPr>
              <w:pStyle w:val="null3"/>
            </w:pPr>
            <w:r>
              <w:rPr>
                <w:sz w:val="21"/>
              </w:rPr>
              <w:t>2.</w:t>
            </w:r>
            <w:r>
              <w:rPr>
                <w:sz w:val="21"/>
              </w:rPr>
              <w:t>质量保障服务要求：在质量保障服务期内，对所采购的软硬件设备提供技术支持和服务，不得另加收费。</w:t>
            </w:r>
          </w:p>
          <w:p>
            <w:pPr>
              <w:pStyle w:val="null3"/>
            </w:pPr>
            <w:r>
              <w:rPr>
                <w:sz w:val="21"/>
              </w:rPr>
              <w:t>3.</w:t>
            </w:r>
            <w:r>
              <w:rPr>
                <w:sz w:val="21"/>
              </w:rPr>
              <w:t>质量保障期内，如因设备质量问题导致设备停止使用超过</w:t>
            </w:r>
            <w:r>
              <w:rPr>
                <w:sz w:val="21"/>
              </w:rPr>
              <w:t>24</w:t>
            </w:r>
            <w:r>
              <w:rPr>
                <w:sz w:val="21"/>
              </w:rPr>
              <w:t>小时的，质量保障期相应顺延。如果设备停止使用时间累计超过</w:t>
            </w:r>
            <w:r>
              <w:rPr>
                <w:sz w:val="21"/>
              </w:rPr>
              <w:t>30</w:t>
            </w:r>
            <w:r>
              <w:rPr>
                <w:sz w:val="21"/>
              </w:rPr>
              <w:t>个自然日的，则免费质量保证期从</w:t>
            </w:r>
            <w:r>
              <w:rPr>
                <w:sz w:val="21"/>
              </w:rPr>
              <w:t>0</w:t>
            </w:r>
            <w:r>
              <w:rPr>
                <w:sz w:val="21"/>
              </w:rPr>
              <w:t>开始重新计算；如果设备停止使用时间累计超过</w:t>
            </w:r>
            <w:r>
              <w:rPr>
                <w:sz w:val="21"/>
              </w:rPr>
              <w:t>60</w:t>
            </w:r>
            <w:r>
              <w:rPr>
                <w:sz w:val="21"/>
              </w:rPr>
              <w:t>个自然日的，则需将故障设备更换为同型号同配置的全新设备，更换的设备免费质保期从</w:t>
            </w:r>
            <w:r>
              <w:rPr>
                <w:sz w:val="21"/>
              </w:rPr>
              <w:t>0</w:t>
            </w:r>
            <w:r>
              <w:rPr>
                <w:sz w:val="21"/>
              </w:rPr>
              <w:t>开始重新计算。</w:t>
            </w:r>
          </w:p>
          <w:p>
            <w:pPr>
              <w:pStyle w:val="null3"/>
            </w:pPr>
            <w:r>
              <w:rPr>
                <w:sz w:val="21"/>
              </w:rPr>
              <w:t>4.</w:t>
            </w:r>
            <w:r>
              <w:rPr>
                <w:sz w:val="21"/>
              </w:rPr>
              <w:t>质量保障期内，如果出现紧急技术问题，乙方提供同城</w:t>
            </w:r>
            <w:r>
              <w:rPr>
                <w:sz w:val="21"/>
              </w:rPr>
              <w:t>4</w:t>
            </w:r>
            <w:r>
              <w:rPr>
                <w:sz w:val="21"/>
              </w:rPr>
              <w:t>小时、异地</w:t>
            </w:r>
            <w:r>
              <w:rPr>
                <w:sz w:val="21"/>
              </w:rPr>
              <w:t>12</w:t>
            </w:r>
            <w:r>
              <w:rPr>
                <w:sz w:val="21"/>
              </w:rPr>
              <w:t>小时技术响应服务（服务响应以现场为主，远程协助），</w:t>
            </w:r>
            <w:r>
              <w:rPr>
                <w:sz w:val="21"/>
              </w:rPr>
              <w:t>2</w:t>
            </w:r>
            <w:r>
              <w:rPr>
                <w:sz w:val="21"/>
              </w:rPr>
              <w:t>个工作日解决问题，对于未能解决的问题和故障应提供可行的升级方案，并提供周转设备或更换全新设备，更换的设备免费质保期从</w:t>
            </w:r>
            <w:r>
              <w:rPr>
                <w:sz w:val="21"/>
              </w:rPr>
              <w:t>0</w:t>
            </w:r>
            <w:r>
              <w:rPr>
                <w:sz w:val="21"/>
              </w:rPr>
              <w:t>开始重新计算。</w:t>
            </w:r>
          </w:p>
          <w:p>
            <w:pPr>
              <w:pStyle w:val="null3"/>
            </w:pPr>
            <w:r>
              <w:rPr>
                <w:sz w:val="21"/>
              </w:rPr>
              <w:t>5.</w:t>
            </w:r>
            <w:r>
              <w:rPr>
                <w:sz w:val="21"/>
              </w:rPr>
              <w:t>乙方提供电话、电子邮件、远程连接等多种形式政企专线，以保证能够提供每天</w:t>
            </w:r>
            <w:r>
              <w:rPr>
                <w:sz w:val="21"/>
              </w:rPr>
              <w:t>24</w:t>
            </w:r>
            <w:r>
              <w:rPr>
                <w:sz w:val="21"/>
              </w:rPr>
              <w:t>小时、每周</w:t>
            </w:r>
            <w:r>
              <w:rPr>
                <w:sz w:val="21"/>
              </w:rPr>
              <w:t>7</w:t>
            </w:r>
            <w:r>
              <w:rPr>
                <w:sz w:val="21"/>
              </w:rPr>
              <w:t>天的响应服务</w:t>
            </w:r>
            <w:r>
              <w:rPr>
                <w:sz w:val="21"/>
              </w:rPr>
              <w:t>(</w:t>
            </w:r>
            <w:r>
              <w:rPr>
                <w:sz w:val="21"/>
              </w:rPr>
              <w:t>“</w:t>
            </w:r>
            <w:r>
              <w:rPr>
                <w:sz w:val="21"/>
              </w:rPr>
              <w:t>7x24</w:t>
            </w:r>
            <w:r>
              <w:rPr>
                <w:sz w:val="21"/>
              </w:rPr>
              <w:t>小时响应服务”</w:t>
            </w:r>
            <w:r>
              <w:rPr>
                <w:sz w:val="21"/>
              </w:rPr>
              <w:t>)</w:t>
            </w:r>
            <w:r>
              <w:rPr>
                <w:sz w:val="21"/>
              </w:rPr>
              <w:t>。</w:t>
            </w:r>
          </w:p>
        </w:tc>
      </w:tr>
      <w:tr>
        <w:tc>
          <w:tcPr>
            <w:tcW w:type="dxa" w:w="1526"/>
            <w:tcBorders>
              <w:top w:val="none" w:color="000000" w:sz="4"/>
              <w:left w:val="double" w:color="000000" w:sz="12"/>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2"/>
              </w:rPr>
              <w:t>第</w:t>
            </w:r>
            <w:r>
              <w:rPr>
                <w:sz w:val="22"/>
              </w:rPr>
              <w:t>11.1</w:t>
            </w:r>
            <w:r>
              <w:rPr>
                <w:sz w:val="22"/>
              </w:rPr>
              <w:t>款</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其他应当保密的信息</w:t>
            </w:r>
          </w:p>
        </w:tc>
        <w:tc>
          <w:tcPr>
            <w:tcW w:type="dxa" w:w="5085"/>
            <w:tcBorders>
              <w:top w:val="none" w:color="000000" w:sz="4"/>
              <w:left w:val="none" w:color="000000" w:sz="4"/>
              <w:bottom w:val="single" w:color="000000" w:sz="4"/>
              <w:right w:val="double" w:color="000000" w:sz="12"/>
            </w:tcBorders>
            <w:tcMar>
              <w:top w:type="dxa" w:w="0"/>
              <w:left w:type="dxa" w:w="105"/>
              <w:bottom w:type="dxa" w:w="0"/>
              <w:right w:type="dxa" w:w="105"/>
            </w:tcMar>
            <w:vAlign w:val="top"/>
          </w:tcPr>
          <w:p>
            <w:pPr>
              <w:pStyle w:val="null3"/>
            </w:pPr>
            <w:r>
              <w:rPr>
                <w:sz w:val="21"/>
              </w:rPr>
              <w:t>/</w:t>
            </w:r>
          </w:p>
        </w:tc>
      </w:tr>
      <w:tr>
        <w:tc>
          <w:tcPr>
            <w:tcW w:type="dxa" w:w="1526"/>
            <w:tcBorders>
              <w:top w:val="none" w:color="000000" w:sz="4"/>
              <w:left w:val="double" w:color="000000" w:sz="12"/>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12.2</w:t>
            </w:r>
            <w:r>
              <w:rPr>
                <w:sz w:val="21"/>
              </w:rPr>
              <w:t>款</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合同价款支付时间</w:t>
            </w:r>
          </w:p>
        </w:tc>
        <w:tc>
          <w:tcPr>
            <w:tcW w:type="dxa" w:w="5085"/>
            <w:tcBorders>
              <w:top w:val="none" w:color="000000" w:sz="4"/>
              <w:left w:val="none" w:color="000000" w:sz="4"/>
              <w:bottom w:val="single" w:color="000000" w:sz="4"/>
              <w:right w:val="double" w:color="000000" w:sz="12"/>
            </w:tcBorders>
            <w:tcMar>
              <w:top w:type="dxa" w:w="0"/>
              <w:left w:type="dxa" w:w="105"/>
              <w:bottom w:type="dxa" w:w="0"/>
              <w:right w:type="dxa" w:w="105"/>
            </w:tcMar>
            <w:vAlign w:val="top"/>
          </w:tcPr>
          <w:p>
            <w:pPr>
              <w:pStyle w:val="null3"/>
            </w:pPr>
            <w:r>
              <w:rPr>
                <w:sz w:val="21"/>
              </w:rPr>
              <w:t>本项目签订合同生效后，甲方在收到乙方提供的本项目招标文件要求的所有原厂盖章证明材料和税务部门认可的</w:t>
            </w:r>
            <w:r>
              <w:rPr>
                <w:sz w:val="20"/>
              </w:rPr>
              <w:t>相应金额</w:t>
            </w:r>
            <w:r>
              <w:rPr>
                <w:sz w:val="21"/>
              </w:rPr>
              <w:t>有效增值税普通发票之日起</w:t>
            </w:r>
            <w:r>
              <w:rPr>
                <w:sz w:val="21"/>
              </w:rPr>
              <w:t>10</w:t>
            </w:r>
            <w:r>
              <w:rPr>
                <w:sz w:val="21"/>
              </w:rPr>
              <w:t>个工作日内支付第</w:t>
            </w:r>
            <w:r>
              <w:rPr>
                <w:sz w:val="21"/>
              </w:rPr>
              <w:t>1</w:t>
            </w:r>
            <w:r>
              <w:rPr>
                <w:sz w:val="21"/>
              </w:rPr>
              <w:t>期款项；</w:t>
            </w:r>
          </w:p>
          <w:p>
            <w:pPr>
              <w:pStyle w:val="null3"/>
            </w:pPr>
            <w:r>
              <w:rPr>
                <w:sz w:val="21"/>
              </w:rPr>
              <w:t>本项目通过验收后，甲方在收到乙方提供的税务部门认可的</w:t>
            </w:r>
            <w:r>
              <w:rPr>
                <w:sz w:val="20"/>
              </w:rPr>
              <w:t>相应金额</w:t>
            </w:r>
            <w:r>
              <w:rPr>
                <w:sz w:val="21"/>
              </w:rPr>
              <w:t>有效增值税普通发票之日起</w:t>
            </w:r>
            <w:r>
              <w:rPr>
                <w:sz w:val="21"/>
              </w:rPr>
              <w:t>10</w:t>
            </w:r>
            <w:r>
              <w:rPr>
                <w:sz w:val="21"/>
              </w:rPr>
              <w:t>个工作日内支付第</w:t>
            </w:r>
            <w:r>
              <w:rPr>
                <w:sz w:val="21"/>
              </w:rPr>
              <w:t>2</w:t>
            </w:r>
            <w:r>
              <w:rPr>
                <w:sz w:val="21"/>
              </w:rPr>
              <w:t>期款项。</w:t>
            </w:r>
          </w:p>
        </w:tc>
      </w:tr>
      <w:tr>
        <w:tc>
          <w:tcPr>
            <w:tcW w:type="dxa" w:w="1526"/>
            <w:tcBorders>
              <w:top w:val="none" w:color="000000" w:sz="4"/>
              <w:left w:val="double" w:color="000000" w:sz="12"/>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13.2</w:t>
            </w:r>
            <w:r>
              <w:rPr>
                <w:sz w:val="21"/>
              </w:rPr>
              <w:t>款</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履约保证金不予退还的情形</w:t>
            </w:r>
          </w:p>
        </w:tc>
        <w:tc>
          <w:tcPr>
            <w:tcW w:type="dxa" w:w="5085"/>
            <w:tcBorders>
              <w:top w:val="none" w:color="000000" w:sz="4"/>
              <w:left w:val="none" w:color="000000" w:sz="4"/>
              <w:bottom w:val="single" w:color="000000" w:sz="4"/>
              <w:right w:val="double" w:color="000000" w:sz="12"/>
            </w:tcBorders>
            <w:tcMar>
              <w:top w:type="dxa" w:w="0"/>
              <w:left w:type="dxa" w:w="105"/>
              <w:bottom w:type="dxa" w:w="0"/>
              <w:right w:type="dxa" w:w="105"/>
            </w:tcMar>
            <w:vAlign w:val="top"/>
          </w:tcPr>
          <w:p>
            <w:pPr>
              <w:pStyle w:val="null3"/>
            </w:pPr>
            <w:r>
              <w:rPr>
                <w:sz w:val="21"/>
              </w:rPr>
              <w:t>/</w:t>
            </w:r>
          </w:p>
        </w:tc>
      </w:tr>
      <w:tr>
        <w:tc>
          <w:tcPr>
            <w:tcW w:type="dxa" w:w="1526"/>
            <w:tcBorders>
              <w:top w:val="none" w:color="000000" w:sz="4"/>
              <w:left w:val="double" w:color="000000" w:sz="12"/>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13.3</w:t>
            </w:r>
            <w:r>
              <w:rPr>
                <w:sz w:val="21"/>
              </w:rPr>
              <w:t>款</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履约保证金退还时间及逾期退还的违约金</w:t>
            </w:r>
          </w:p>
        </w:tc>
        <w:tc>
          <w:tcPr>
            <w:tcW w:type="dxa" w:w="5085"/>
            <w:tcBorders>
              <w:top w:val="none" w:color="000000" w:sz="4"/>
              <w:left w:val="none" w:color="000000" w:sz="4"/>
              <w:bottom w:val="single" w:color="000000" w:sz="4"/>
              <w:right w:val="double" w:color="000000" w:sz="12"/>
            </w:tcBorders>
            <w:tcMar>
              <w:top w:type="dxa" w:w="0"/>
              <w:left w:type="dxa" w:w="105"/>
              <w:bottom w:type="dxa" w:w="0"/>
              <w:right w:type="dxa" w:w="105"/>
            </w:tcMar>
            <w:vAlign w:val="top"/>
          </w:tcPr>
          <w:p>
            <w:pPr>
              <w:pStyle w:val="null3"/>
            </w:pPr>
            <w:r>
              <w:rPr>
                <w:sz w:val="21"/>
              </w:rPr>
              <w:t>/</w:t>
            </w:r>
          </w:p>
        </w:tc>
      </w:tr>
      <w:tr>
        <w:tc>
          <w:tcPr>
            <w:tcW w:type="dxa" w:w="1526"/>
            <w:tcBorders>
              <w:top w:val="none" w:color="000000" w:sz="4"/>
              <w:left w:val="double" w:color="000000" w:sz="12"/>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14.1</w:t>
            </w:r>
            <w:r>
              <w:rPr>
                <w:sz w:val="21"/>
              </w:rPr>
              <w:t>（</w:t>
            </w:r>
            <w:r>
              <w:rPr>
                <w:sz w:val="21"/>
              </w:rPr>
              <w:t>3</w:t>
            </w:r>
            <w:r>
              <w:rPr>
                <w:sz w:val="21"/>
              </w:rPr>
              <w:t>）项</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运行监督、维修期限</w:t>
            </w:r>
          </w:p>
        </w:tc>
        <w:tc>
          <w:tcPr>
            <w:tcW w:type="dxa" w:w="5085"/>
            <w:tcBorders>
              <w:top w:val="none" w:color="000000" w:sz="4"/>
              <w:left w:val="none" w:color="000000" w:sz="4"/>
              <w:bottom w:val="single" w:color="000000" w:sz="4"/>
              <w:right w:val="double" w:color="000000" w:sz="12"/>
            </w:tcBorders>
            <w:tcMar>
              <w:top w:type="dxa" w:w="0"/>
              <w:left w:type="dxa" w:w="105"/>
              <w:bottom w:type="dxa" w:w="0"/>
              <w:right w:type="dxa" w:w="105"/>
            </w:tcMar>
            <w:vAlign w:val="top"/>
          </w:tcPr>
          <w:p>
            <w:pPr>
              <w:pStyle w:val="null3"/>
            </w:pPr>
            <w:r>
              <w:rPr>
                <w:sz w:val="21"/>
              </w:rPr>
              <w:t>/</w:t>
            </w:r>
          </w:p>
        </w:tc>
      </w:tr>
      <w:tr>
        <w:tc>
          <w:tcPr>
            <w:tcW w:type="dxa" w:w="1526"/>
            <w:tcBorders>
              <w:top w:val="none" w:color="000000" w:sz="4"/>
              <w:left w:val="double" w:color="000000" w:sz="12"/>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14.1</w:t>
            </w:r>
            <w:r>
              <w:rPr>
                <w:sz w:val="21"/>
              </w:rPr>
              <w:t>（</w:t>
            </w:r>
            <w:r>
              <w:rPr>
                <w:sz w:val="21"/>
              </w:rPr>
              <w:t>5</w:t>
            </w:r>
            <w:r>
              <w:rPr>
                <w:sz w:val="21"/>
              </w:rPr>
              <w:t>）项</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货物回收的约定</w:t>
            </w:r>
          </w:p>
        </w:tc>
        <w:tc>
          <w:tcPr>
            <w:tcW w:type="dxa" w:w="5085"/>
            <w:tcBorders>
              <w:top w:val="none" w:color="000000" w:sz="4"/>
              <w:left w:val="none" w:color="000000" w:sz="4"/>
              <w:bottom w:val="single" w:color="000000" w:sz="4"/>
              <w:right w:val="double" w:color="000000" w:sz="12"/>
            </w:tcBorders>
            <w:tcMar>
              <w:top w:type="dxa" w:w="0"/>
              <w:left w:type="dxa" w:w="105"/>
              <w:bottom w:type="dxa" w:w="0"/>
              <w:right w:type="dxa" w:w="105"/>
            </w:tcMar>
            <w:vAlign w:val="top"/>
          </w:tcPr>
          <w:p>
            <w:pPr>
              <w:pStyle w:val="null3"/>
            </w:pPr>
            <w:r>
              <w:rPr>
                <w:sz w:val="21"/>
              </w:rPr>
              <w:t>/</w:t>
            </w:r>
          </w:p>
        </w:tc>
      </w:tr>
      <w:tr>
        <w:tc>
          <w:tcPr>
            <w:tcW w:type="dxa" w:w="1526"/>
            <w:tcBorders>
              <w:top w:val="none" w:color="000000" w:sz="4"/>
              <w:left w:val="double" w:color="000000" w:sz="12"/>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14.1</w:t>
            </w:r>
            <w:r>
              <w:rPr>
                <w:sz w:val="21"/>
              </w:rPr>
              <w:t>（</w:t>
            </w:r>
            <w:r>
              <w:rPr>
                <w:sz w:val="21"/>
              </w:rPr>
              <w:t>6</w:t>
            </w:r>
            <w:r>
              <w:rPr>
                <w:sz w:val="21"/>
              </w:rPr>
              <w:t>）项</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乙方提供的其他服务</w:t>
            </w:r>
          </w:p>
        </w:tc>
        <w:tc>
          <w:tcPr>
            <w:tcW w:type="dxa" w:w="5085"/>
            <w:tcBorders>
              <w:top w:val="none" w:color="000000" w:sz="4"/>
              <w:left w:val="none" w:color="000000" w:sz="4"/>
              <w:bottom w:val="single" w:color="000000" w:sz="4"/>
              <w:right w:val="double" w:color="000000" w:sz="12"/>
            </w:tcBorders>
            <w:tcMar>
              <w:top w:type="dxa" w:w="0"/>
              <w:left w:type="dxa" w:w="105"/>
              <w:bottom w:type="dxa" w:w="0"/>
              <w:right w:type="dxa" w:w="105"/>
            </w:tcMar>
            <w:vAlign w:val="top"/>
          </w:tcPr>
          <w:p>
            <w:pPr>
              <w:pStyle w:val="null3"/>
            </w:pPr>
            <w:r>
              <w:rPr>
                <w:sz w:val="21"/>
              </w:rPr>
              <w:t>验收合格后</w:t>
            </w:r>
            <w:r>
              <w:rPr>
                <w:sz w:val="21"/>
              </w:rPr>
              <w:t>1</w:t>
            </w:r>
            <w:r>
              <w:rPr>
                <w:sz w:val="21"/>
              </w:rPr>
              <w:t>年内，甲方如需乙方提供本项目配套的国产操作系统使用方面的培训，乙方需在收到电话、微信或书面通知后</w:t>
            </w:r>
            <w:r>
              <w:rPr>
                <w:sz w:val="21"/>
              </w:rPr>
              <w:t>10</w:t>
            </w:r>
            <w:r>
              <w:rPr>
                <w:sz w:val="21"/>
              </w:rPr>
              <w:t>个自然日内派培训老师到甲方现场提供本项目配套国产操作系统的使用、升级、故障排除、组网等培训，培训时间不少于</w:t>
            </w:r>
            <w:r>
              <w:rPr>
                <w:sz w:val="21"/>
              </w:rPr>
              <w:t>1</w:t>
            </w:r>
            <w:r>
              <w:rPr>
                <w:sz w:val="21"/>
              </w:rPr>
              <w:t>天，并提供相应的培训资料给甲方。培训老师应具有相应的技术水平和培训经验，以保证培训效果。因培训产生的费用已包含在报价中，供应商不得另加收费。</w:t>
            </w:r>
          </w:p>
        </w:tc>
      </w:tr>
      <w:tr>
        <w:tc>
          <w:tcPr>
            <w:tcW w:type="dxa" w:w="1526"/>
            <w:tcBorders>
              <w:top w:val="none" w:color="000000" w:sz="4"/>
              <w:left w:val="double" w:color="000000" w:sz="12"/>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15.1</w:t>
            </w:r>
            <w:r>
              <w:rPr>
                <w:sz w:val="21"/>
              </w:rPr>
              <w:t>款</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修理、重作、更换相关具体规定</w:t>
            </w:r>
          </w:p>
        </w:tc>
        <w:tc>
          <w:tcPr>
            <w:tcW w:type="dxa" w:w="5085"/>
            <w:tcBorders>
              <w:top w:val="none" w:color="000000" w:sz="4"/>
              <w:left w:val="none" w:color="000000" w:sz="4"/>
              <w:bottom w:val="single" w:color="000000" w:sz="4"/>
              <w:right w:val="double" w:color="000000" w:sz="12"/>
            </w:tcBorders>
            <w:tcMar>
              <w:top w:type="dxa" w:w="0"/>
              <w:left w:type="dxa" w:w="105"/>
              <w:bottom w:type="dxa" w:w="0"/>
              <w:right w:type="dxa" w:w="105"/>
            </w:tcMar>
            <w:vAlign w:val="top"/>
          </w:tcPr>
          <w:p>
            <w:pPr>
              <w:pStyle w:val="null3"/>
            </w:pPr>
            <w:r>
              <w:rPr>
                <w:sz w:val="21"/>
              </w:rPr>
              <w:t>详见前面“货物质量缺陷响应时间”条款约定。</w:t>
            </w:r>
          </w:p>
        </w:tc>
      </w:tr>
      <w:tr>
        <w:tc>
          <w:tcPr>
            <w:tcW w:type="dxa" w:w="1526"/>
            <w:tcBorders>
              <w:top w:val="none" w:color="000000" w:sz="4"/>
              <w:left w:val="double" w:color="000000" w:sz="12"/>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15.2</w:t>
            </w:r>
            <w:r>
              <w:rPr>
                <w:sz w:val="21"/>
              </w:rPr>
              <w:t>（</w:t>
            </w:r>
            <w:r>
              <w:rPr>
                <w:sz w:val="21"/>
              </w:rPr>
              <w:t>2</w:t>
            </w:r>
            <w:r>
              <w:rPr>
                <w:sz w:val="21"/>
              </w:rPr>
              <w:t>）项</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迟延交货赔偿费</w:t>
            </w:r>
          </w:p>
        </w:tc>
        <w:tc>
          <w:tcPr>
            <w:tcW w:type="dxa" w:w="5085"/>
            <w:tcBorders>
              <w:top w:val="none" w:color="000000" w:sz="4"/>
              <w:left w:val="none" w:color="000000" w:sz="4"/>
              <w:bottom w:val="single" w:color="000000" w:sz="4"/>
              <w:right w:val="double" w:color="000000" w:sz="12"/>
            </w:tcBorders>
            <w:tcMar>
              <w:top w:type="dxa" w:w="0"/>
              <w:left w:type="dxa" w:w="105"/>
              <w:bottom w:type="dxa" w:w="0"/>
              <w:right w:type="dxa" w:w="105"/>
            </w:tcMar>
            <w:vAlign w:val="top"/>
          </w:tcPr>
          <w:p>
            <w:pPr>
              <w:pStyle w:val="null3"/>
            </w:pPr>
            <w:r>
              <w:rPr>
                <w:sz w:val="21"/>
              </w:rPr>
              <w:t>乙方逾期交货的，从逾期之日起每日按本合同总金额的</w:t>
            </w:r>
            <w:r>
              <w:rPr>
                <w:sz w:val="21"/>
              </w:rPr>
              <w:t>3</w:t>
            </w:r>
            <w:r>
              <w:rPr>
                <w:sz w:val="21"/>
              </w:rPr>
              <w:t>‰向甲方偿付违约金；逾期交货超过</w:t>
            </w:r>
            <w:r>
              <w:rPr>
                <w:sz w:val="21"/>
              </w:rPr>
              <w:t>10</w:t>
            </w:r>
            <w:r>
              <w:rPr>
                <w:sz w:val="21"/>
              </w:rPr>
              <w:t>天的，甲方有权终止合同，乙方在逾期交货</w:t>
            </w:r>
            <w:r>
              <w:rPr>
                <w:sz w:val="21"/>
              </w:rPr>
              <w:t>10</w:t>
            </w:r>
            <w:r>
              <w:rPr>
                <w:sz w:val="21"/>
              </w:rPr>
              <w:t>天之日起</w:t>
            </w:r>
            <w:r>
              <w:rPr>
                <w:sz w:val="21"/>
              </w:rPr>
              <w:t>5</w:t>
            </w:r>
            <w:r>
              <w:rPr>
                <w:sz w:val="21"/>
              </w:rPr>
              <w:t>天内将甲方已支付的第</w:t>
            </w:r>
            <w:r>
              <w:rPr>
                <w:sz w:val="21"/>
              </w:rPr>
              <w:t>1</w:t>
            </w:r>
            <w:r>
              <w:rPr>
                <w:sz w:val="21"/>
              </w:rPr>
              <w:t>期款项全部退回给甲方，并按照合同总金额的</w:t>
            </w:r>
            <w:r>
              <w:rPr>
                <w:sz w:val="21"/>
              </w:rPr>
              <w:t>20%</w:t>
            </w:r>
            <w:r>
              <w:rPr>
                <w:sz w:val="21"/>
              </w:rPr>
              <w:t>偿付违约金给甲方。</w:t>
            </w:r>
          </w:p>
          <w:p>
            <w:pPr>
              <w:pStyle w:val="null3"/>
            </w:pPr>
            <w:r>
              <w:rPr>
                <w:sz w:val="21"/>
              </w:rPr>
              <w:t>乙方不按合同要求的时间内供货造成甲方不能在财政部门要求的本年度财政资金支付时限内支付本项目合同尾款而导致相应的年度财政资金被财政部门收回的，甲方不承担相应支付义务，相应的责任和后果由乙方承担。</w:t>
            </w:r>
          </w:p>
        </w:tc>
      </w:tr>
      <w:tr>
        <w:tc>
          <w:tcPr>
            <w:tcW w:type="dxa" w:w="1526"/>
            <w:tcBorders>
              <w:top w:val="none" w:color="000000" w:sz="4"/>
              <w:left w:val="double" w:color="000000" w:sz="12"/>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15.3</w:t>
            </w:r>
            <w:r>
              <w:rPr>
                <w:sz w:val="21"/>
              </w:rPr>
              <w:t>款</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逾期付款利息</w:t>
            </w:r>
          </w:p>
        </w:tc>
        <w:tc>
          <w:tcPr>
            <w:tcW w:type="dxa" w:w="5085"/>
            <w:tcBorders>
              <w:top w:val="none" w:color="000000" w:sz="4"/>
              <w:left w:val="none" w:color="000000" w:sz="4"/>
              <w:bottom w:val="single" w:color="000000" w:sz="4"/>
              <w:right w:val="double" w:color="000000" w:sz="12"/>
            </w:tcBorders>
            <w:tcMar>
              <w:top w:type="dxa" w:w="0"/>
              <w:left w:type="dxa" w:w="105"/>
              <w:bottom w:type="dxa" w:w="0"/>
              <w:right w:type="dxa" w:w="105"/>
            </w:tcMar>
            <w:vAlign w:val="top"/>
          </w:tcPr>
          <w:p>
            <w:pPr>
              <w:pStyle w:val="null3"/>
            </w:pPr>
            <w:r>
              <w:rPr>
                <w:sz w:val="21"/>
              </w:rPr>
              <w:t>甲方逾期付款，则每日按本合同总价的</w:t>
            </w:r>
            <w:r>
              <w:rPr>
                <w:sz w:val="21"/>
              </w:rPr>
              <w:t>3</w:t>
            </w:r>
            <w:r>
              <w:rPr>
                <w:sz w:val="21"/>
              </w:rPr>
              <w:t>‰向乙方偿付违约金（因乙方逾期交货造成的甲方不能在财政部门要求的本年度财政资金支付时限内支付本项目合同尾款的情况除外）。</w:t>
            </w:r>
          </w:p>
        </w:tc>
      </w:tr>
      <w:tr>
        <w:tc>
          <w:tcPr>
            <w:tcW w:type="dxa" w:w="1526"/>
            <w:tcBorders>
              <w:top w:val="none" w:color="000000" w:sz="4"/>
              <w:left w:val="double" w:color="000000" w:sz="12"/>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15.4</w:t>
            </w:r>
            <w:r>
              <w:rPr>
                <w:sz w:val="21"/>
              </w:rPr>
              <w:t>款</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其他违约责任</w:t>
            </w:r>
          </w:p>
        </w:tc>
        <w:tc>
          <w:tcPr>
            <w:tcW w:type="dxa" w:w="5085"/>
            <w:tcBorders>
              <w:top w:val="none" w:color="000000" w:sz="4"/>
              <w:left w:val="none" w:color="000000" w:sz="4"/>
              <w:bottom w:val="single" w:color="000000" w:sz="4"/>
              <w:right w:val="double" w:color="000000" w:sz="12"/>
            </w:tcBorders>
            <w:tcMar>
              <w:top w:type="dxa" w:w="0"/>
              <w:left w:type="dxa" w:w="105"/>
              <w:bottom w:type="dxa" w:w="0"/>
              <w:right w:type="dxa" w:w="105"/>
            </w:tcMar>
            <w:vAlign w:val="top"/>
          </w:tcPr>
          <w:p>
            <w:pPr>
              <w:pStyle w:val="null3"/>
            </w:pPr>
            <w:r>
              <w:rPr>
                <w:sz w:val="21"/>
              </w:rPr>
              <w:t>1.</w:t>
            </w:r>
            <w:r>
              <w:rPr>
                <w:sz w:val="21"/>
              </w:rPr>
              <w:t>免费质保期内，本项目下设备发生故障，甲方通知乙方或设备制造商维修却不能按照本合同要求得到有效解决的，甲方有权聘请第三方予以维修，产生的费用全部由乙方负责在维修后</w:t>
            </w:r>
            <w:r>
              <w:rPr>
                <w:sz w:val="21"/>
              </w:rPr>
              <w:t>15</w:t>
            </w:r>
            <w:r>
              <w:rPr>
                <w:sz w:val="21"/>
              </w:rPr>
              <w:t>天内支付。</w:t>
            </w:r>
          </w:p>
          <w:p>
            <w:pPr>
              <w:pStyle w:val="null3"/>
            </w:pPr>
            <w:r>
              <w:rPr>
                <w:sz w:val="21"/>
              </w:rPr>
              <w:t>2.</w:t>
            </w:r>
            <w:r>
              <w:rPr>
                <w:sz w:val="21"/>
              </w:rPr>
              <w:t>乙方同意：如果不能在签订合同后</w:t>
            </w:r>
            <w:r>
              <w:rPr>
                <w:sz w:val="21"/>
              </w:rPr>
              <w:t>2</w:t>
            </w:r>
            <w:r>
              <w:rPr>
                <w:sz w:val="21"/>
              </w:rPr>
              <w:t>个工作日内提供本项目招标文件要求的所有原厂盖章证明材料，则视作乙方违约，本项目合同作废，乙方需在违约之日起</w:t>
            </w:r>
            <w:r>
              <w:rPr>
                <w:sz w:val="21"/>
              </w:rPr>
              <w:t>10</w:t>
            </w:r>
            <w:r>
              <w:rPr>
                <w:sz w:val="21"/>
              </w:rPr>
              <w:t>个工作日内向甲方赔付本合同总价的</w:t>
            </w:r>
            <w:r>
              <w:rPr>
                <w:sz w:val="21"/>
              </w:rPr>
              <w:t>50%</w:t>
            </w:r>
            <w:r>
              <w:rPr>
                <w:sz w:val="21"/>
              </w:rPr>
              <w:t>作为违约金，逾期则每日按本合同总金额的</w:t>
            </w:r>
            <w:r>
              <w:rPr>
                <w:sz w:val="21"/>
              </w:rPr>
              <w:t>3</w:t>
            </w:r>
            <w:r>
              <w:rPr>
                <w:sz w:val="21"/>
              </w:rPr>
              <w:t>‰向甲方另行偿付违约金。甲方同时按照《中华人民共和国政府采购法》第七十七条第一款规定“提供虚假材料谋取中标、成交的”情况，将情况上报政府采购监管部门。</w:t>
            </w:r>
          </w:p>
        </w:tc>
      </w:tr>
      <w:tr>
        <w:tc>
          <w:tcPr>
            <w:tcW w:type="dxa" w:w="1526"/>
            <w:tcBorders>
              <w:top w:val="none" w:color="000000" w:sz="4"/>
              <w:left w:val="double" w:color="000000" w:sz="12"/>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19.2</w:t>
            </w:r>
            <w:r>
              <w:rPr>
                <w:sz w:val="21"/>
              </w:rPr>
              <w:t>款</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解决争议的方法</w:t>
            </w:r>
          </w:p>
        </w:tc>
        <w:tc>
          <w:tcPr>
            <w:tcW w:type="dxa" w:w="5085"/>
            <w:tcBorders>
              <w:top w:val="none" w:color="000000" w:sz="4"/>
              <w:left w:val="none" w:color="000000" w:sz="4"/>
              <w:bottom w:val="single" w:color="000000" w:sz="4"/>
              <w:right w:val="double" w:color="000000" w:sz="12"/>
            </w:tcBorders>
            <w:tcMar>
              <w:top w:type="dxa" w:w="0"/>
              <w:left w:type="dxa" w:w="105"/>
              <w:bottom w:type="dxa" w:w="0"/>
              <w:right w:type="dxa" w:w="105"/>
            </w:tcMar>
            <w:vAlign w:val="top"/>
          </w:tcPr>
          <w:p>
            <w:pPr>
              <w:pStyle w:val="null3"/>
            </w:pPr>
            <w:r>
              <w:rPr>
                <w:sz w:val="21"/>
              </w:rPr>
              <w:t>因本合同及合同有关事项发生的争议，按下列第</w:t>
            </w:r>
            <w:r>
              <w:rPr>
                <w:sz w:val="21"/>
                <w:u w:val="single"/>
              </w:rPr>
              <w:t xml:space="preserve"> 2 </w:t>
            </w:r>
            <w:r>
              <w:rPr>
                <w:sz w:val="21"/>
              </w:rPr>
              <w:t>种方式解决：</w:t>
            </w:r>
          </w:p>
          <w:p>
            <w:pPr>
              <w:pStyle w:val="null3"/>
            </w:pPr>
            <w:r>
              <w:rPr>
                <w:sz w:val="21"/>
              </w:rPr>
              <w:t>（</w:t>
            </w:r>
            <w:r>
              <w:rPr>
                <w:sz w:val="21"/>
              </w:rPr>
              <w:t>1</w:t>
            </w:r>
            <w:r>
              <w:rPr>
                <w:sz w:val="21"/>
              </w:rPr>
              <w:t>）向仲裁委员会申请仲裁，仲裁地点为；</w:t>
            </w:r>
          </w:p>
          <w:p>
            <w:pPr>
              <w:pStyle w:val="null3"/>
            </w:pPr>
            <w:r>
              <w:rPr>
                <w:sz w:val="21"/>
              </w:rPr>
              <w:t>（</w:t>
            </w:r>
            <w:r>
              <w:rPr>
                <w:sz w:val="21"/>
              </w:rPr>
              <w:t>2</w:t>
            </w:r>
            <w:r>
              <w:rPr>
                <w:sz w:val="21"/>
              </w:rPr>
              <w:t>）向</w:t>
            </w:r>
            <w:r>
              <w:rPr>
                <w:sz w:val="21"/>
                <w:u w:val="single"/>
              </w:rPr>
              <w:t>甲方所在地</w:t>
            </w:r>
            <w:r>
              <w:rPr>
                <w:sz w:val="21"/>
              </w:rPr>
              <w:t>人民法院起诉。</w:t>
            </w:r>
          </w:p>
        </w:tc>
      </w:tr>
      <w:tr>
        <w:tc>
          <w:tcPr>
            <w:tcW w:type="dxa" w:w="1526"/>
            <w:tcBorders>
              <w:top w:val="none" w:color="000000" w:sz="4"/>
              <w:left w:val="double" w:color="000000" w:sz="12"/>
              <w:bottom w:val="double" w:color="000000" w:sz="12"/>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23.1</w:t>
            </w:r>
            <w:r>
              <w:rPr>
                <w:sz w:val="21"/>
              </w:rPr>
              <w:t>款</w:t>
            </w:r>
          </w:p>
        </w:tc>
        <w:tc>
          <w:tcPr>
            <w:tcW w:type="dxa" w:w="1695"/>
            <w:tcBorders>
              <w:top w:val="none" w:color="000000" w:sz="4"/>
              <w:left w:val="none" w:color="000000" w:sz="4"/>
              <w:bottom w:val="double" w:color="000000" w:sz="12"/>
              <w:right w:val="single" w:color="000000" w:sz="4"/>
            </w:tcBorders>
            <w:tcMar>
              <w:top w:type="dxa" w:w="0"/>
              <w:left w:type="dxa" w:w="105"/>
              <w:bottom w:type="dxa" w:w="0"/>
              <w:right w:type="dxa" w:w="105"/>
            </w:tcMar>
            <w:vAlign w:val="top"/>
          </w:tcPr>
          <w:p>
            <w:pPr>
              <w:pStyle w:val="null3"/>
            </w:pPr>
            <w:r>
              <w:rPr>
                <w:sz w:val="21"/>
              </w:rPr>
              <w:t>其他专用条款</w:t>
            </w:r>
          </w:p>
        </w:tc>
        <w:tc>
          <w:tcPr>
            <w:tcW w:type="dxa" w:w="5085"/>
            <w:tcBorders>
              <w:top w:val="none" w:color="000000" w:sz="4"/>
              <w:left w:val="none" w:color="000000" w:sz="4"/>
              <w:bottom w:val="double" w:color="000000" w:sz="12"/>
              <w:right w:val="double" w:color="000000" w:sz="12"/>
            </w:tcBorders>
            <w:tcMar>
              <w:top w:type="dxa" w:w="0"/>
              <w:left w:type="dxa" w:w="105"/>
              <w:bottom w:type="dxa" w:w="0"/>
              <w:right w:type="dxa" w:w="105"/>
            </w:tcMar>
            <w:vAlign w:val="top"/>
          </w:tcPr>
          <w:p>
            <w:pPr>
              <w:pStyle w:val="null3"/>
            </w:pPr>
            <w:r>
              <w:rPr>
                <w:sz w:val="21"/>
                <w:b/>
              </w:rPr>
              <w:t>廉政责任：</w:t>
            </w:r>
          </w:p>
          <w:p>
            <w:pPr>
              <w:pStyle w:val="null3"/>
              <w:jc w:val="both"/>
            </w:pPr>
            <w:r>
              <w:rPr>
                <w:sz w:val="21"/>
              </w:rPr>
              <w:t>1.</w:t>
            </w:r>
            <w:r>
              <w:rPr>
                <w:sz w:val="21"/>
              </w:rPr>
              <w:t>甲乙双方的业务活动严格遵守党和国家有关的法律法规、廉洁自律规定，以及相关行业的有关规定。</w:t>
            </w:r>
          </w:p>
          <w:p>
            <w:pPr>
              <w:pStyle w:val="null3"/>
              <w:jc w:val="both"/>
            </w:pPr>
            <w:r>
              <w:rPr>
                <w:sz w:val="21"/>
              </w:rPr>
              <w:t>2.</w:t>
            </w:r>
            <w:r>
              <w:rPr>
                <w:sz w:val="21"/>
              </w:rPr>
              <w:t>甲乙双方的业务活动严格执行合同的条款，自觉履行合同双方的权利、义务和责任。</w:t>
            </w:r>
          </w:p>
          <w:p>
            <w:pPr>
              <w:pStyle w:val="null3"/>
              <w:jc w:val="both"/>
            </w:pPr>
            <w:r>
              <w:rPr>
                <w:sz w:val="21"/>
              </w:rPr>
              <w:t>3.</w:t>
            </w:r>
            <w:r>
              <w:rPr>
                <w:sz w:val="21"/>
              </w:rPr>
              <w:t>甲乙双方的业务活动坚持公开、公正、诚信、透明的原则（除法律认定的商业秘密和合同文件另有规定之外），不得损害国家和集体利益，违反相关行业管理的规章制度。</w:t>
            </w:r>
          </w:p>
          <w:p>
            <w:pPr>
              <w:pStyle w:val="null3"/>
              <w:jc w:val="both"/>
            </w:pPr>
            <w:r>
              <w:rPr>
                <w:sz w:val="21"/>
              </w:rPr>
              <w:t>4.</w:t>
            </w:r>
            <w:r>
              <w:rPr>
                <w:sz w:val="21"/>
              </w:rPr>
              <w:t>甲乙双方工作人员必须严格执行本合同的条款，不得与对方工作人员串通，损害己方的利益。</w:t>
            </w:r>
          </w:p>
          <w:p>
            <w:pPr>
              <w:pStyle w:val="null3"/>
              <w:jc w:val="both"/>
            </w:pPr>
            <w:r>
              <w:rPr>
                <w:sz w:val="21"/>
              </w:rPr>
              <w:t>5.</w:t>
            </w:r>
            <w:r>
              <w:rPr>
                <w:sz w:val="21"/>
              </w:rPr>
              <w:t>甲乙双方在双方合作过程中发现对方有违反本合同的行为倾向，有及时提醒对方纠正的权利和义务。</w:t>
            </w:r>
          </w:p>
          <w:p>
            <w:pPr>
              <w:pStyle w:val="null3"/>
              <w:jc w:val="both"/>
            </w:pPr>
            <w:r>
              <w:rPr>
                <w:sz w:val="21"/>
                <w:b/>
              </w:rPr>
              <w:t>6.</w:t>
            </w:r>
            <w:r>
              <w:rPr>
                <w:sz w:val="21"/>
                <w:b/>
              </w:rPr>
              <w:t>甲方：</w:t>
            </w:r>
          </w:p>
          <w:p>
            <w:pPr>
              <w:pStyle w:val="null3"/>
              <w:ind w:firstLine="600"/>
              <w:jc w:val="both"/>
            </w:pPr>
            <w:r>
              <w:rPr>
                <w:sz w:val="21"/>
              </w:rPr>
              <w:t>1</w:t>
            </w:r>
            <w:r>
              <w:rPr>
                <w:sz w:val="21"/>
              </w:rPr>
              <w:t>）甲方工作人员不得向乙方索要或收受乙方馈赠的礼品（包括现金、礼金、有价证券、支付凭证及贵重物品）；有责任教育自己的亲属不得接受乙方及其工作人员以各种名义赠送的上述礼品。</w:t>
            </w:r>
          </w:p>
          <w:p>
            <w:pPr>
              <w:pStyle w:val="null3"/>
              <w:ind w:firstLine="600"/>
              <w:jc w:val="both"/>
            </w:pPr>
            <w:r>
              <w:rPr>
                <w:sz w:val="21"/>
              </w:rPr>
              <w:t>2</w:t>
            </w:r>
            <w:r>
              <w:rPr>
                <w:sz w:val="21"/>
              </w:rPr>
              <w:t>）甲方工作人员不得要求或接受乙方为甲方单位或个人购置、提供通信工具、交通工具和办公用品。</w:t>
            </w:r>
          </w:p>
          <w:p>
            <w:pPr>
              <w:pStyle w:val="null3"/>
              <w:ind w:firstLine="600"/>
              <w:jc w:val="both"/>
            </w:pPr>
            <w:r>
              <w:rPr>
                <w:sz w:val="21"/>
              </w:rPr>
              <w:t>3</w:t>
            </w:r>
            <w:r>
              <w:rPr>
                <w:sz w:val="21"/>
              </w:rPr>
              <w:t>）甲方工作人员不得以任何理由要求乙方提供宴请、联谊活动、度假、出国（出境）旅游，以及到营业性娱乐场所（包括：歌厅、舞厅、卡拉</w:t>
            </w:r>
            <w:r>
              <w:rPr>
                <w:sz w:val="21"/>
              </w:rPr>
              <w:t>ok</w:t>
            </w:r>
            <w:r>
              <w:rPr>
                <w:sz w:val="21"/>
              </w:rPr>
              <w:t>厅、夜总会和高尔夫球场）活动。</w:t>
            </w:r>
          </w:p>
          <w:p>
            <w:pPr>
              <w:pStyle w:val="null3"/>
              <w:ind w:firstLine="600"/>
              <w:jc w:val="both"/>
            </w:pPr>
            <w:r>
              <w:rPr>
                <w:sz w:val="21"/>
              </w:rPr>
              <w:t>4</w:t>
            </w:r>
            <w:r>
              <w:rPr>
                <w:sz w:val="21"/>
              </w:rPr>
              <w:t>）甲方工作人员不得要求乙方为其配偶子女安排工作；以及为其个人及其家属支付应由个人自付的各种费用，包括住宅装修、婚丧嫁娶、旅游、度假、食宿、购物、学习、子女出国留学等费用。</w:t>
            </w:r>
          </w:p>
          <w:p>
            <w:pPr>
              <w:pStyle w:val="null3"/>
              <w:jc w:val="both"/>
            </w:pPr>
            <w:r>
              <w:rPr>
                <w:sz w:val="21"/>
                <w:b/>
              </w:rPr>
              <w:t>7.</w:t>
            </w:r>
            <w:r>
              <w:rPr>
                <w:sz w:val="21"/>
                <w:b/>
              </w:rPr>
              <w:t>乙方：</w:t>
            </w:r>
          </w:p>
          <w:p>
            <w:pPr>
              <w:pStyle w:val="null3"/>
              <w:ind w:firstLine="600"/>
              <w:jc w:val="both"/>
            </w:pPr>
            <w:r>
              <w:rPr>
                <w:sz w:val="21"/>
              </w:rPr>
              <w:t>1</w:t>
            </w:r>
            <w:r>
              <w:rPr>
                <w:sz w:val="21"/>
              </w:rPr>
              <w:t>）乙方不得向甲方工作人员行贿或馈赠礼品（包括现金、礼金、有价证券、支付凭证及贵重物品）；也不得以各种形式向甲方工作人员的亲属赠送上述礼品。</w:t>
            </w:r>
          </w:p>
          <w:p>
            <w:pPr>
              <w:pStyle w:val="null3"/>
              <w:ind w:firstLine="600"/>
              <w:jc w:val="both"/>
            </w:pPr>
            <w:r>
              <w:rPr>
                <w:sz w:val="21"/>
              </w:rPr>
              <w:t>2</w:t>
            </w:r>
            <w:r>
              <w:rPr>
                <w:sz w:val="21"/>
              </w:rPr>
              <w:t>）乙方不得为甲方单位和个人购置或提供通信工具、交通工具和办公用品等。</w:t>
            </w:r>
          </w:p>
          <w:p>
            <w:pPr>
              <w:pStyle w:val="null3"/>
              <w:ind w:firstLine="600"/>
              <w:jc w:val="both"/>
            </w:pPr>
            <w:r>
              <w:rPr>
                <w:sz w:val="21"/>
              </w:rPr>
              <w:t>3</w:t>
            </w:r>
            <w:r>
              <w:rPr>
                <w:sz w:val="21"/>
              </w:rPr>
              <w:t>）乙方不得向甲方工作人员提供宴请、联谊活动、度假、出国（出境）旅游，以及到营业性娱乐场所（包括：歌厅、舞厅、卡拉</w:t>
            </w:r>
            <w:r>
              <w:rPr>
                <w:sz w:val="21"/>
              </w:rPr>
              <w:t>ok</w:t>
            </w:r>
            <w:r>
              <w:rPr>
                <w:sz w:val="21"/>
              </w:rPr>
              <w:t>厅、夜总会和高尔夫球场）活动。</w:t>
            </w:r>
          </w:p>
          <w:p>
            <w:pPr>
              <w:pStyle w:val="null3"/>
              <w:ind w:firstLine="630"/>
            </w:pPr>
            <w:r>
              <w:rPr>
                <w:sz w:val="21"/>
              </w:rPr>
              <w:t>4</w:t>
            </w:r>
            <w:r>
              <w:rPr>
                <w:sz w:val="21"/>
              </w:rPr>
              <w:t>）乙方不得以任何名义为甲方工作人员的配偶子女安排工作，以及为甲方工作人员及其家属支付应由其个人自付的各种费用，包括住宅装修、婚丧嫁娶、旅游、度假、食宿、购物、学习、子女出国留学等费用。</w:t>
            </w: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440001-2025-01898</w:t>
      </w:r>
    </w:p>
    <w:p>
      <w:pPr>
        <w:pStyle w:val="null3"/>
        <w:jc w:val="center"/>
        <w:outlineLvl w:val="3"/>
      </w:pPr>
      <w:r>
        <w:rPr>
          <w:sz w:val="24"/>
          <w:b/>
        </w:rPr>
        <w:t>采购项目编号：</w:t>
      </w:r>
      <w:r>
        <w:rPr>
          <w:sz w:val="24"/>
          <w:b/>
        </w:rPr>
        <w:t>GPCGD253109HG013J</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广东省地图院计算机设备采购（2025年）</w:t>
      </w:r>
      <w:r>
        <w:rPr>
          <w:u w:val="single"/>
        </w:rPr>
        <w:t>”</w:t>
      </w:r>
      <w:r>
        <w:rPr/>
        <w:t>项目的招标[采购项目编号为：</w:t>
      </w:r>
      <w:r>
        <w:rPr>
          <w:u w:val="single"/>
        </w:rPr>
        <w:t>GPCGD253109HG013J</w:t>
      </w:r>
      <w:r>
        <w:rPr/>
        <w:t>]，我方愿参与投标。</w:t>
      </w:r>
    </w:p>
    <w:p>
      <w:pPr>
        <w:pStyle w:val="null3"/>
        <w:ind w:firstLine="480"/>
      </w:pPr>
      <w:r>
        <w:rPr/>
        <w:t>我方确认收到贵方提供的</w:t>
      </w:r>
      <w:r>
        <w:rPr>
          <w:u w:val="single"/>
        </w:rPr>
        <w:t>“</w:t>
      </w:r>
      <w:r>
        <w:rPr>
          <w:u w:val="single"/>
        </w:rPr>
        <w:t>广东省地图院计算机设备采购（2025年）</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广东省地图院计算机设备采购（2025年）</w:t>
      </w:r>
      <w:r>
        <w:rPr/>
        <w:t>”项目采购[采购项目编号为</w:t>
      </w:r>
      <w:r>
        <w:rPr/>
        <w:t>GPCGD253109HG013J</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广东省地图院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广东省地图院计算机设备采购（2025年）</w:t>
      </w:r>
      <w:r>
        <w:rPr/>
        <w:t>招标中获中标（采购项目编号：</w:t>
      </w:r>
      <w:r>
        <w:rPr/>
        <w:t>GPCGD253109HG013J</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广东省地图院计算机设备采购（2025年）</w:t>
      </w:r>
      <w:r>
        <w:rPr/>
        <w:t>”项目（采购项目编号：</w:t>
      </w:r>
      <w:r>
        <w:rPr/>
        <w:t>GPCGD253109HG013J</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