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440001-2024-58748</w:t>
      </w:r>
    </w:p>
    <w:p>
      <w:pPr>
        <w:pStyle w:val="null3"/>
        <w:jc w:val="center"/>
        <w:outlineLvl w:val="3"/>
      </w:pPr>
      <w:r>
        <w:rPr>
          <w:sz w:val="24"/>
          <w:b/>
        </w:rPr>
        <w:t>采购项目编号：</w:t>
      </w:r>
      <w:r>
        <w:rPr>
          <w:sz w:val="24"/>
          <w:b/>
        </w:rPr>
        <w:t>GPCGD243174HG231F</w:t>
      </w:r>
    </w:p>
    <w:p>
      <w:pPr>
        <w:pStyle w:val="null3"/>
        <w:jc w:val="center"/>
        <w:outlineLvl w:val="3"/>
      </w:pPr>
      <w:r>
        <w:rPr>
          <w:sz w:val="24"/>
          <w:b/>
        </w:rPr>
        <w:t>项目名称：</w:t>
      </w:r>
      <w:r>
        <w:rPr>
          <w:sz w:val="24"/>
          <w:b/>
        </w:rPr>
        <w:t>广东医科大学附属医院海东院区智能移动生命监测系统项目</w:t>
      </w:r>
    </w:p>
    <w:p>
      <w:pPr>
        <w:pStyle w:val="null3"/>
        <w:jc w:val="center"/>
        <w:outlineLvl w:val="3"/>
      </w:pPr>
      <w:r>
        <w:rPr>
          <w:sz w:val="24"/>
          <w:b/>
        </w:rPr>
        <w:t>采购人：</w:t>
      </w:r>
      <w:r>
        <w:rPr>
          <w:sz w:val="24"/>
          <w:b/>
        </w:rPr>
        <w:t>广东医科大学附属医院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广东医科大学附属医院</w:t>
      </w:r>
      <w:r>
        <w:rPr/>
        <w:t>的委托，采用</w:t>
      </w:r>
      <w:r>
        <w:rPr/>
        <w:t>公开招标</w:t>
      </w:r>
      <w:r>
        <w:rPr/>
        <w:t>方式组织采购</w:t>
      </w:r>
      <w:r>
        <w:rPr/>
        <w:t>广东医科大学附属医院海东院区智能移动生命监测系统项目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广东医科大学附属医院海东院区智能移动生命监测系统项目</w:t>
      </w:r>
    </w:p>
    <w:p>
      <w:pPr>
        <w:pStyle w:val="null3"/>
        <w:ind w:firstLine="480"/>
      </w:pPr>
      <w:r>
        <w:rPr/>
        <w:t>采购计划编号：</w:t>
      </w:r>
      <w:r>
        <w:rPr/>
        <w:t>440001-2024-58748</w:t>
      </w:r>
    </w:p>
    <w:p>
      <w:pPr>
        <w:pStyle w:val="null3"/>
        <w:ind w:firstLine="480"/>
      </w:pPr>
      <w:r>
        <w:rPr/>
        <w:t>采购项目编号：</w:t>
      </w:r>
      <w:r>
        <w:rPr/>
        <w:t>GPCGD243174HG231F</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采购包1(海东院区智能移动生命监测系统):</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计算机软件作品</w:t>
            </w:r>
          </w:p>
        </w:tc>
        <w:tc>
          <w:tcPr>
            <w:tcW w:type="dxa" w:w="2136"/>
          </w:tcPr>
          <w:p>
            <w:pPr>
              <w:pStyle w:val="null3"/>
            </w:pPr>
            <w:r>
              <w:rPr/>
              <w:t>体征软件管理系统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医用电子生理参数检测仪器设备</w:t>
            </w:r>
          </w:p>
        </w:tc>
        <w:tc>
          <w:tcPr>
            <w:tcW w:type="dxa" w:w="2136"/>
          </w:tcPr>
          <w:p>
            <w:pPr>
              <w:pStyle w:val="null3"/>
            </w:pPr>
            <w:r>
              <w:rPr/>
              <w:t>体征监测终端</w:t>
            </w:r>
          </w:p>
        </w:tc>
        <w:tc>
          <w:tcPr>
            <w:tcW w:type="dxa" w:w="1187"/>
          </w:tcPr>
          <w:p>
            <w:pPr>
              <w:pStyle w:val="null3"/>
            </w:pPr>
            <w:r>
              <w:rPr/>
              <w:t>80(套)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病房护理及医院设备</w:t>
            </w:r>
          </w:p>
        </w:tc>
        <w:tc>
          <w:tcPr>
            <w:tcW w:type="dxa" w:w="2136"/>
          </w:tcPr>
          <w:p>
            <w:pPr>
              <w:pStyle w:val="null3"/>
            </w:pPr>
            <w:r>
              <w:rPr/>
              <w:t>台车</w:t>
            </w:r>
          </w:p>
        </w:tc>
        <w:tc>
          <w:tcPr>
            <w:tcW w:type="dxa" w:w="1187"/>
          </w:tcPr>
          <w:p>
            <w:pPr>
              <w:pStyle w:val="null3"/>
            </w:pPr>
            <w:r>
              <w:rPr/>
              <w:t>80(套)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合同履行期限：合同签订后30个工作日内供货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采购包1（海东院区智能移动生命监测系统）：</w:t>
      </w:r>
    </w:p>
    <w:p>
      <w:pPr>
        <w:pStyle w:val="null3"/>
      </w:pPr>
      <w:r>
        <w:rPr/>
        <w:t>1)供应商必须满足以下条件之一： （1）供应商为所投医疗器械生产企业的，须具备药品监督管理部门签发的处于有效期的《医疗器械生产企业许可证》，投标时提供证书复印件。 （2）供应商为所投医疗器械经营企业，须具备药品监督管理部门签发的处于有效期的《医疗器械经营许可证》，投标时提供证书复印件。</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广东医科大学附属医院</w:t>
      </w:r>
    </w:p>
    <w:p>
      <w:pPr>
        <w:pStyle w:val="null3"/>
        <w:ind w:firstLine="480"/>
      </w:pPr>
      <w:r>
        <w:rPr/>
        <w:t xml:space="preserve"> 地址：</w:t>
      </w:r>
      <w:r>
        <w:rPr/>
        <w:t>人民大道南57号</w:t>
      </w:r>
    </w:p>
    <w:p>
      <w:pPr>
        <w:pStyle w:val="null3"/>
        <w:ind w:firstLine="480"/>
      </w:pPr>
      <w:r>
        <w:rPr/>
        <w:t xml:space="preserve"> 联系方式：</w:t>
      </w:r>
      <w:r>
        <w:rPr/>
        <w:t>0759-2369618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020-83186839/83187196（sczx3@gd.gov.cn推荐使用）</w:t>
      </w:r>
    </w:p>
    <w:p>
      <w:pPr>
        <w:pStyle w:val="null3"/>
        <w:outlineLvl w:val="3"/>
      </w:pPr>
      <w:r>
        <w:rPr>
          <w:sz w:val="24"/>
          <w:b/>
        </w:rPr>
        <w:t xml:space="preserve"> 3.项目联系方式</w:t>
      </w:r>
    </w:p>
    <w:p>
      <w:pPr>
        <w:pStyle w:val="null3"/>
        <w:ind w:firstLine="480"/>
      </w:pPr>
      <w:r>
        <w:rPr/>
        <w:t xml:space="preserve"> 项目联系人：</w:t>
      </w:r>
      <w:r>
        <w:rPr/>
        <w:t>胡工/龙工</w:t>
      </w:r>
    </w:p>
    <w:p>
      <w:pPr>
        <w:pStyle w:val="null3"/>
        <w:ind w:firstLine="480"/>
      </w:pPr>
      <w:r>
        <w:rPr/>
        <w:t xml:space="preserve"> 电话：</w:t>
      </w:r>
      <w:r>
        <w:rPr/>
        <w:t>020-83186839/83187196（sczx3@gd.gov.cn推荐使用）</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13"/>
        <w:jc w:val="both"/>
      </w:pPr>
      <w:r>
        <w:rPr>
          <w:sz w:val="21"/>
          <w:b/>
        </w:rPr>
        <w:t>★本项目不允许分包，如供应商在投标/响应文件中未出现《分包协议意向书》，则视为未采取分包。</w:t>
      </w:r>
    </w:p>
    <w:p>
      <w:pPr>
        <w:pStyle w:val="null3"/>
        <w:ind w:firstLine="413"/>
        <w:jc w:val="both"/>
      </w:pPr>
      <w:r>
        <w:rPr>
          <w:sz w:val="21"/>
          <w:b/>
        </w:rPr>
        <w:t>★投标人必须承诺响应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ind w:firstLine="413"/>
        <w:jc w:val="both"/>
      </w:pP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可参照“投标（响应）文件格式”中《承诺函》格式）。</w:t>
      </w:r>
    </w:p>
    <w:p>
      <w:pPr>
        <w:pStyle w:val="null3"/>
        <w:ind w:firstLine="413"/>
        <w:jc w:val="both"/>
      </w:pPr>
      <w:r>
        <w:rPr>
          <w:sz w:val="21"/>
          <w:b/>
        </w:rPr>
        <w:t>★供应商须承诺所投设备均符合国家强制性要求（提供承诺，可参照“投标（响应）文件格式”中《承诺函》格式）。</w:t>
      </w:r>
    </w:p>
    <w:p>
      <w:pPr>
        <w:pStyle w:val="null3"/>
        <w:jc w:val="both"/>
      </w:pPr>
      <w:r>
        <w:rPr>
          <w:sz w:val="21"/>
          <w:b/>
        </w:rPr>
        <w:t>一、项目清单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清单名称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是否核心产品</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体征软件管理系统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体征监测终端（含无创血压、血氧饱和度、非接触式红外耳式体温计、WiFi模块）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80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台车（含有大小立杆组件、托盘组件、推车底座组件、拉手、篮子）</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r>
    </w:tbl>
    <w:p>
      <w:pPr>
        <w:pStyle w:val="null3"/>
        <w:jc w:val="both"/>
      </w:pPr>
      <w:r>
        <w:rPr>
          <w:sz w:val="21"/>
          <w:b/>
        </w:rPr>
        <w:t>二、功能\技术参数</w:t>
      </w:r>
    </w:p>
    <w:p>
      <w:pPr>
        <w:pStyle w:val="null3"/>
        <w:jc w:val="both"/>
      </w:pPr>
      <w:r>
        <w:rPr>
          <w:sz w:val="21"/>
          <w:b/>
        </w:rPr>
        <w:t>（一）体征软件管理系统</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模块</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功能名称</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功能参数描述</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体征采集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体征数据采集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支持患者列表界面，同屏显示多病人窗口，同时管理不少于1000个病人。</w:t>
            </w:r>
          </w:p>
          <w:p>
            <w:pPr>
              <w:pStyle w:val="null3"/>
              <w:jc w:val="both"/>
            </w:pPr>
            <w:r>
              <w:rPr>
                <w:sz w:val="21"/>
              </w:rPr>
              <w:t>2.</w:t>
            </w:r>
            <w:r>
              <w:rPr>
                <w:sz w:val="21"/>
              </w:rPr>
              <w:t>支持在生命体征监测仪上采集体温。</w:t>
            </w:r>
          </w:p>
          <w:p>
            <w:pPr>
              <w:pStyle w:val="null3"/>
              <w:jc w:val="both"/>
            </w:pPr>
            <w:r>
              <w:rPr>
                <w:sz w:val="21"/>
              </w:rPr>
              <w:t>3.</w:t>
            </w:r>
            <w:r>
              <w:rPr>
                <w:sz w:val="21"/>
              </w:rPr>
              <w:t>支持在生命体征监测仪上采集血压。</w:t>
            </w:r>
          </w:p>
          <w:p>
            <w:pPr>
              <w:pStyle w:val="null3"/>
              <w:jc w:val="both"/>
            </w:pPr>
            <w:r>
              <w:rPr>
                <w:sz w:val="21"/>
              </w:rPr>
              <w:t>4.</w:t>
            </w:r>
            <w:r>
              <w:rPr>
                <w:sz w:val="21"/>
              </w:rPr>
              <w:t>支持在生命体征监测仪上采集血氧和脉率。</w:t>
            </w:r>
          </w:p>
          <w:p>
            <w:pPr>
              <w:pStyle w:val="null3"/>
              <w:jc w:val="both"/>
            </w:pPr>
            <w:r>
              <w:rPr>
                <w:sz w:val="21"/>
              </w:rPr>
              <w:t>5.</w:t>
            </w:r>
            <w:r>
              <w:rPr>
                <w:sz w:val="21"/>
              </w:rPr>
              <w:t>采集到体征数据后，点击设备上的“保存”按钮，数据被自动上传到体温单及相关系统。</w:t>
            </w:r>
          </w:p>
          <w:p>
            <w:pPr>
              <w:pStyle w:val="null3"/>
              <w:jc w:val="both"/>
            </w:pPr>
            <w:r>
              <w:rPr>
                <w:sz w:val="21"/>
              </w:rPr>
              <w:t>6.</w:t>
            </w:r>
            <w:r>
              <w:rPr>
                <w:sz w:val="21"/>
              </w:rPr>
              <w:t>支持其他手写体征项的录入和上传，如呼吸、尿量、大便次数、小便、疼痛、心率等。</w:t>
            </w:r>
          </w:p>
          <w:p>
            <w:pPr>
              <w:pStyle w:val="null3"/>
              <w:jc w:val="both"/>
            </w:pPr>
            <w:r>
              <w:rPr>
                <w:sz w:val="21"/>
              </w:rPr>
              <w:t>7.</w:t>
            </w:r>
            <w:r>
              <w:rPr>
                <w:sz w:val="21"/>
              </w:rPr>
              <w:t>同一时间支持多次重采和上传。</w:t>
            </w:r>
          </w:p>
          <w:p>
            <w:pPr>
              <w:pStyle w:val="null3"/>
              <w:jc w:val="both"/>
            </w:pPr>
            <w:r>
              <w:rPr>
                <w:sz w:val="21"/>
              </w:rPr>
              <w:t>8.</w:t>
            </w:r>
            <w:r>
              <w:rPr>
                <w:sz w:val="21"/>
              </w:rPr>
              <w:t>体征采集设备支持多组测量结果自由选择生成，或者选择删除。</w:t>
            </w:r>
          </w:p>
          <w:p>
            <w:pPr>
              <w:pStyle w:val="null3"/>
              <w:jc w:val="both"/>
            </w:pPr>
            <w:r>
              <w:rPr>
                <w:sz w:val="21"/>
              </w:rPr>
              <w:t>9.</w:t>
            </w:r>
            <w:r>
              <w:rPr>
                <w:sz w:val="21"/>
              </w:rPr>
              <w:t>体征采集设备支持数据管理界面：自由选择测量数据，一键上传，一键导出数据，或者一键删除。</w:t>
            </w:r>
          </w:p>
        </w:tc>
      </w:tr>
      <w:tr>
        <w:tc>
          <w:tcPr>
            <w:tcW w:type="dxa" w:w="2769"/>
            <w:vMerge/>
            <w:tcBorders>
              <w:top w:val="none" w:color="000000" w:sz="4"/>
              <w:left w:val="singl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病人同步</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支持网络查询病人信息,监测仪可通过手动输入病历号或扫描病人条形码向服务器查询病人信息。</w:t>
            </w:r>
          </w:p>
        </w:tc>
      </w:tr>
      <w:tr>
        <w:tc>
          <w:tcPr>
            <w:tcW w:type="dxa" w:w="2769"/>
            <w:vMerge/>
            <w:tcBorders>
              <w:top w:val="none" w:color="000000" w:sz="4"/>
              <w:left w:val="singl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操作者同步</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通过移动护理PDA扫描设备二维码绑定操作者信息。</w:t>
            </w:r>
          </w:p>
        </w:tc>
      </w:tr>
      <w:tr>
        <w:tc>
          <w:tcPr>
            <w:tcW w:type="dxa" w:w="2769"/>
            <w:vMerge/>
            <w:tcBorders>
              <w:top w:val="none" w:color="000000" w:sz="4"/>
              <w:left w:val="singl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体征数据自动上传</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保存后，该患者的体征测量或录入数据自动上传到系统。</w:t>
            </w:r>
          </w:p>
        </w:tc>
      </w:tr>
      <w:tr>
        <w:tc>
          <w:tcPr>
            <w:tcW w:type="dxa" w:w="2769"/>
            <w:vMerge/>
            <w:tcBorders>
              <w:top w:val="none" w:color="000000" w:sz="4"/>
              <w:left w:val="singl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体征测量数据查看</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支持根据各种过滤条件查看已经采集的体征测量数据。</w:t>
            </w:r>
          </w:p>
          <w:p>
            <w:pPr>
              <w:pStyle w:val="null3"/>
              <w:jc w:val="both"/>
            </w:pPr>
            <w:r>
              <w:rPr>
                <w:sz w:val="21"/>
              </w:rPr>
              <w:t>2.</w:t>
            </w:r>
            <w:r>
              <w:rPr>
                <w:sz w:val="21"/>
              </w:rPr>
              <w:t>同一时间点有多个体征测量值的单元格，有角标标记。</w:t>
            </w:r>
          </w:p>
        </w:tc>
      </w:tr>
      <w:tr>
        <w:tc>
          <w:tcPr>
            <w:tcW w:type="dxa" w:w="2769"/>
            <w:vMerge/>
            <w:tcBorders>
              <w:top w:val="none" w:color="000000" w:sz="4"/>
              <w:left w:val="singl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体征数据修改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支持修改体征测量数据。</w:t>
            </w:r>
          </w:p>
          <w:p>
            <w:pPr>
              <w:pStyle w:val="null3"/>
              <w:jc w:val="both"/>
            </w:pPr>
            <w:r>
              <w:rPr>
                <w:sz w:val="21"/>
              </w:rPr>
              <w:t>2.</w:t>
            </w:r>
            <w:r>
              <w:rPr>
                <w:sz w:val="21"/>
              </w:rPr>
              <w:t>支持手动输入体征数据。</w:t>
            </w:r>
          </w:p>
          <w:p>
            <w:pPr>
              <w:pStyle w:val="null3"/>
              <w:jc w:val="both"/>
            </w:pPr>
            <w:r>
              <w:rPr>
                <w:sz w:val="21"/>
              </w:rPr>
              <w:t>3.</w:t>
            </w:r>
            <w:r>
              <w:rPr>
                <w:sz w:val="21"/>
              </w:rPr>
              <w:t>可通过光标上下左右切换单元格。</w:t>
            </w:r>
          </w:p>
          <w:p>
            <w:pPr>
              <w:pStyle w:val="null3"/>
              <w:jc w:val="both"/>
            </w:pPr>
            <w:r>
              <w:rPr>
                <w:sz w:val="21"/>
              </w:rPr>
              <w:t>4.</w:t>
            </w:r>
            <w:r>
              <w:rPr>
                <w:sz w:val="21"/>
              </w:rPr>
              <w:t>单元格输入体征值，离开单元格，体征值即被保存。</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体征总表</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体征采集记录查看</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体征总表记录所有设备采集或手动录入的常规体征项（4小时和12小时制体征）以及其他体征（24小时制体征），显示采集时间，采集方式等。</w:t>
            </w:r>
          </w:p>
          <w:p>
            <w:pPr>
              <w:pStyle w:val="null3"/>
              <w:jc w:val="both"/>
            </w:pPr>
            <w:r>
              <w:rPr>
                <w:sz w:val="21"/>
              </w:rPr>
              <w:t>2.</w:t>
            </w:r>
            <w:r>
              <w:rPr>
                <w:sz w:val="21"/>
              </w:rPr>
              <w:t>支持根据床号查看体征采集记录。</w:t>
            </w:r>
          </w:p>
          <w:p>
            <w:pPr>
              <w:pStyle w:val="null3"/>
              <w:jc w:val="both"/>
            </w:pPr>
            <w:r>
              <w:rPr>
                <w:sz w:val="21"/>
              </w:rPr>
              <w:t>3.</w:t>
            </w:r>
            <w:r>
              <w:rPr>
                <w:sz w:val="21"/>
              </w:rPr>
              <w:t>支持根据患者姓名查看体征采集记录。</w:t>
            </w:r>
          </w:p>
          <w:p>
            <w:pPr>
              <w:pStyle w:val="null3"/>
              <w:jc w:val="both"/>
            </w:pPr>
            <w:r>
              <w:rPr>
                <w:sz w:val="21"/>
              </w:rPr>
              <w:t>4.</w:t>
            </w:r>
            <w:r>
              <w:rPr>
                <w:sz w:val="21"/>
              </w:rPr>
              <w:t>支持根据患者住院号查看体征采集记录。</w:t>
            </w:r>
          </w:p>
          <w:p>
            <w:pPr>
              <w:pStyle w:val="null3"/>
              <w:jc w:val="both"/>
            </w:pPr>
            <w:r>
              <w:rPr>
                <w:sz w:val="21"/>
              </w:rPr>
              <w:t>5.</w:t>
            </w:r>
            <w:r>
              <w:rPr>
                <w:sz w:val="21"/>
              </w:rPr>
              <w:t>支持根据采集日期查看体征采集记录。</w:t>
            </w:r>
          </w:p>
          <w:p>
            <w:pPr>
              <w:pStyle w:val="null3"/>
              <w:jc w:val="both"/>
            </w:pPr>
            <w:r>
              <w:rPr>
                <w:sz w:val="21"/>
              </w:rPr>
              <w:t>6.</w:t>
            </w:r>
            <w:r>
              <w:rPr>
                <w:sz w:val="21"/>
              </w:rPr>
              <w:t>支持根据采集时间点查看体征采集记录。</w:t>
            </w:r>
          </w:p>
          <w:p>
            <w:pPr>
              <w:pStyle w:val="null3"/>
              <w:jc w:val="both"/>
            </w:pPr>
            <w:r>
              <w:rPr>
                <w:sz w:val="21"/>
              </w:rPr>
              <w:t>7.</w:t>
            </w:r>
            <w:r>
              <w:rPr>
                <w:sz w:val="21"/>
              </w:rPr>
              <w:t>支持根据采集方式查看体征采集记录。</w:t>
            </w:r>
          </w:p>
          <w:p>
            <w:pPr>
              <w:pStyle w:val="null3"/>
              <w:jc w:val="both"/>
            </w:pPr>
            <w:r>
              <w:rPr>
                <w:sz w:val="21"/>
              </w:rPr>
              <w:t>8.</w:t>
            </w:r>
            <w:r>
              <w:rPr>
                <w:sz w:val="21"/>
              </w:rPr>
              <w:t>体征采集记录根据床号顺序以采集时间点倒叙排列。</w:t>
            </w:r>
          </w:p>
          <w:p>
            <w:pPr>
              <w:pStyle w:val="null3"/>
              <w:jc w:val="both"/>
            </w:pPr>
            <w:r>
              <w:rPr>
                <w:sz w:val="21"/>
              </w:rPr>
              <w:t>9.</w:t>
            </w:r>
            <w:r>
              <w:rPr>
                <w:sz w:val="21"/>
              </w:rPr>
              <w:t>支持数据打印。</w:t>
            </w:r>
          </w:p>
        </w:tc>
      </w:tr>
    </w:tbl>
    <w:p>
      <w:pPr>
        <w:pStyle w:val="null3"/>
        <w:spacing w:before="120"/>
        <w:jc w:val="both"/>
      </w:pPr>
      <w:r>
        <w:rPr>
          <w:sz w:val="21"/>
          <w:b/>
        </w:rPr>
        <w:t>（二）体征</w:t>
      </w:r>
      <w:r>
        <w:rPr>
          <w:sz w:val="21"/>
          <w:b/>
        </w:rPr>
        <w:t>监测终端</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253"/>
        <w:gridCol w:w="7052"/>
      </w:tblGrid>
      <w:tr>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设备类型</w:t>
            </w:r>
          </w:p>
        </w:tc>
        <w:tc>
          <w:tcPr>
            <w:tcW w:type="dxa" w:w="70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61"/>
              <w:jc w:val="center"/>
            </w:pPr>
            <w:r>
              <w:rPr>
                <w:sz w:val="21"/>
                <w:b/>
                <w:color w:val="000000"/>
              </w:rPr>
              <w:t>参数及功能描述</w:t>
            </w:r>
          </w:p>
        </w:tc>
      </w:tr>
      <w:tr>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监测终端</w:t>
            </w:r>
          </w:p>
        </w:tc>
        <w:tc>
          <w:tcPr>
            <w:tcW w:type="dxa" w:w="7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b/>
                <w:color w:val="000000"/>
              </w:rPr>
              <w:t>1.</w:t>
            </w:r>
            <w:r>
              <w:rPr>
                <w:sz w:val="21"/>
                <w:b/>
                <w:color w:val="000000"/>
              </w:rPr>
              <w:t>一体化快速查房监护仪，不含电池时整机重量≤2.1kg（提供第三方检测机构出具的检测报告复印件或产品说明书或产品彩页，并加盖投标人公章）。</w:t>
            </w:r>
          </w:p>
          <w:p>
            <w:pPr>
              <w:pStyle w:val="null3"/>
              <w:jc w:val="both"/>
            </w:pPr>
            <w:r>
              <w:rPr>
                <w:sz w:val="21"/>
              </w:rPr>
              <w:t>▲2.支持成人、小儿、新生儿无创血压（NIBP）、脉搏氧饱和度（SpO2）、脉率（PR）、体温（TEMP）进行监测</w:t>
            </w:r>
            <w:r>
              <w:rPr>
                <w:sz w:val="21"/>
                <w:color w:val="000000"/>
              </w:rPr>
              <w:t>（提供第三方检测机构出具的检测报告复印件或产品说明书或产品彩页，并加盖投标人公章）</w:t>
            </w:r>
            <w:r>
              <w:rPr>
                <w:sz w:val="21"/>
              </w:rPr>
              <w:t>；</w:t>
            </w:r>
          </w:p>
          <w:p>
            <w:pPr>
              <w:pStyle w:val="null3"/>
              <w:jc w:val="both"/>
            </w:pPr>
            <w:r>
              <w:rPr>
                <w:sz w:val="21"/>
              </w:rPr>
              <w:t>▲3.支持成人、小儿、新生儿的心电（ECG）监测</w:t>
            </w:r>
            <w:r>
              <w:rPr>
                <w:sz w:val="21"/>
                <w:color w:val="000000"/>
              </w:rPr>
              <w:t>（提供第三方检测机构出具的检测报告复印件或产品说明书或产品彩页，并加盖投标人公章）</w:t>
            </w:r>
            <w:r>
              <w:rPr>
                <w:sz w:val="21"/>
              </w:rPr>
              <w:t>；</w:t>
            </w:r>
          </w:p>
          <w:p>
            <w:pPr>
              <w:pStyle w:val="null3"/>
              <w:jc w:val="both"/>
            </w:pPr>
            <w:r>
              <w:rPr>
                <w:sz w:val="21"/>
                <w:color w:val="000000"/>
              </w:rPr>
              <w:t>4.</w:t>
            </w:r>
            <w:r>
              <w:rPr>
                <w:sz w:val="21"/>
                <w:color w:val="000000"/>
              </w:rPr>
              <w:t>≥8英寸TFT LED背光显示器，分辨率≥800x600，标配触摸屏；</w:t>
            </w:r>
          </w:p>
          <w:p>
            <w:pPr>
              <w:pStyle w:val="null3"/>
              <w:jc w:val="both"/>
            </w:pPr>
            <w:r>
              <w:rPr>
                <w:sz w:val="21"/>
                <w:color w:val="000000"/>
              </w:rPr>
              <w:t>5.</w:t>
            </w:r>
            <w:r>
              <w:rPr>
                <w:sz w:val="21"/>
                <w:color w:val="000000"/>
              </w:rPr>
              <w:t>显示屏为电容屏非电阻屏；</w:t>
            </w:r>
          </w:p>
          <w:p>
            <w:pPr>
              <w:pStyle w:val="null3"/>
              <w:jc w:val="both"/>
            </w:pPr>
            <w:r>
              <w:rPr>
                <w:sz w:val="21"/>
                <w:color w:val="000000"/>
              </w:rPr>
              <w:t>6.</w:t>
            </w:r>
            <w:r>
              <w:rPr>
                <w:sz w:val="21"/>
                <w:color w:val="000000"/>
              </w:rPr>
              <w:t>具有双报警灯，分为生理报警灯和技术报警灯，方便观察；</w:t>
            </w:r>
          </w:p>
          <w:p>
            <w:pPr>
              <w:pStyle w:val="null3"/>
              <w:jc w:val="both"/>
            </w:pPr>
            <w:r>
              <w:rPr>
                <w:sz w:val="21"/>
                <w:color w:val="000000"/>
              </w:rPr>
              <w:t>▲7.具有MEWS、EWS、NEWS预警评分系统（提供第三方检测机构出具的检测报告复印件或产品说明书或产品彩页，并加盖投标人公章）；</w:t>
            </w:r>
          </w:p>
          <w:p>
            <w:pPr>
              <w:pStyle w:val="null3"/>
              <w:jc w:val="both"/>
            </w:pPr>
            <w:r>
              <w:rPr>
                <w:sz w:val="21"/>
                <w:color w:val="000000"/>
              </w:rPr>
              <w:t>▲8.具有CCHD筛查功能（提供第三方检测机构出具的检测报告复印件或产品说明书或产品彩页，并加盖投标人公章）；</w:t>
            </w:r>
          </w:p>
          <w:p>
            <w:pPr>
              <w:pStyle w:val="null3"/>
              <w:jc w:val="both"/>
            </w:pPr>
            <w:r>
              <w:rPr>
                <w:sz w:val="21"/>
                <w:color w:val="000000"/>
              </w:rPr>
              <w:t>9.</w:t>
            </w:r>
            <w:r>
              <w:rPr>
                <w:sz w:val="21"/>
                <w:color w:val="000000"/>
              </w:rPr>
              <w:t>具有数据掉电存储功能：掉电存储≥160小时趋势图表、≥2000组血压列表，≥48小时波形回放；</w:t>
            </w:r>
          </w:p>
          <w:p>
            <w:pPr>
              <w:pStyle w:val="null3"/>
              <w:jc w:val="both"/>
            </w:pPr>
            <w:r>
              <w:rPr>
                <w:sz w:val="21"/>
                <w:color w:val="000000"/>
              </w:rPr>
              <w:t>10.</w:t>
            </w:r>
            <w:r>
              <w:rPr>
                <w:sz w:val="21"/>
                <w:color w:val="000000"/>
              </w:rPr>
              <w:t>无线连接，与红外耳温计无线连接，监护仪上可同步显示耳温计所测体温数值；</w:t>
            </w:r>
          </w:p>
          <w:p>
            <w:pPr>
              <w:pStyle w:val="null3"/>
              <w:jc w:val="both"/>
            </w:pPr>
            <w:r>
              <w:rPr>
                <w:sz w:val="21"/>
                <w:color w:val="000000"/>
              </w:rPr>
              <w:t>11.</w:t>
            </w:r>
            <w:r>
              <w:rPr>
                <w:sz w:val="21"/>
                <w:color w:val="000000"/>
              </w:rPr>
              <w:t>血氧：可选全球金标准的Masimo血氧，测量范围为1％～100％；在70％～100％范围内，成人/儿童测量精度为±2％（非运动状态下）、±3％（运动状态下），新生儿为±3％（非运动状态和运动状态下）；</w:t>
            </w:r>
          </w:p>
          <w:p>
            <w:pPr>
              <w:pStyle w:val="null3"/>
              <w:jc w:val="both"/>
            </w:pPr>
            <w:r>
              <w:rPr>
                <w:sz w:val="21"/>
                <w:color w:val="000000"/>
              </w:rPr>
              <w:t>▲12.支持心电测量功能；支持≥3导心电测量（提供第三方检测机构出具的检测报告复印件或产品说明书或产品彩页，并加盖投标人公章）；</w:t>
            </w:r>
          </w:p>
          <w:p>
            <w:pPr>
              <w:pStyle w:val="null3"/>
              <w:jc w:val="both"/>
            </w:pPr>
            <w:r>
              <w:rPr>
                <w:sz w:val="21"/>
                <w:color w:val="000000"/>
              </w:rPr>
              <w:t>▲13.支持≥26种心律失常分析功能（提供第三方检测机构出具的检测报告复印件或产品说明书或产品彩页，并加盖投标人公章）；</w:t>
            </w:r>
          </w:p>
          <w:p>
            <w:pPr>
              <w:pStyle w:val="null3"/>
              <w:jc w:val="both"/>
            </w:pPr>
            <w:r>
              <w:rPr>
                <w:sz w:val="21"/>
                <w:color w:val="000000"/>
              </w:rPr>
              <w:t>▲14.支持ST段分析功能（提供第三方检测机构出具的检测报告复印件或产品说明书或产品彩页，并加盖投标人公章）；</w:t>
            </w:r>
          </w:p>
          <w:p>
            <w:pPr>
              <w:pStyle w:val="null3"/>
              <w:jc w:val="both"/>
            </w:pPr>
            <w:r>
              <w:rPr>
                <w:sz w:val="21"/>
                <w:color w:val="000000"/>
              </w:rPr>
              <w:t>15.</w:t>
            </w:r>
            <w:r>
              <w:rPr>
                <w:sz w:val="21"/>
                <w:color w:val="000000"/>
              </w:rPr>
              <w:t>具有点测界面、常规界面切换；</w:t>
            </w:r>
          </w:p>
          <w:p>
            <w:pPr>
              <w:pStyle w:val="null3"/>
              <w:ind w:left="420"/>
              <w:jc w:val="both"/>
            </w:pPr>
            <w:r>
              <w:rPr>
                <w:sz w:val="21"/>
                <w:color w:val="000000"/>
              </w:rPr>
              <w:t>16.</w:t>
            </w:r>
            <w:r>
              <w:rPr>
                <w:sz w:val="21"/>
                <w:color w:val="000000"/>
              </w:rPr>
              <w:t>具有药物计算、血液动力学计算、通气计算、氧合计算、肾功能计算；</w:t>
            </w:r>
          </w:p>
          <w:p>
            <w:pPr>
              <w:pStyle w:val="null3"/>
              <w:jc w:val="both"/>
            </w:pPr>
            <w:r>
              <w:rPr>
                <w:sz w:val="21"/>
                <w:color w:val="000000"/>
              </w:rPr>
              <w:t>17.NIBP</w:t>
            </w:r>
            <w:r>
              <w:rPr>
                <w:sz w:val="21"/>
                <w:color w:val="000000"/>
              </w:rPr>
              <w:t>静态压力测量范围：0-300mmHg，精度±3mmHg；</w:t>
            </w:r>
          </w:p>
          <w:p>
            <w:pPr>
              <w:pStyle w:val="null3"/>
              <w:jc w:val="both"/>
            </w:pPr>
            <w:r>
              <w:rPr>
                <w:sz w:val="21"/>
                <w:color w:val="000000"/>
              </w:rPr>
              <w:t>18.NIBP</w:t>
            </w:r>
            <w:r>
              <w:rPr>
                <w:sz w:val="21"/>
                <w:color w:val="000000"/>
              </w:rPr>
              <w:t>具有手动、自动、连续测量模式；</w:t>
            </w:r>
          </w:p>
          <w:p>
            <w:pPr>
              <w:pStyle w:val="null3"/>
              <w:ind w:left="420"/>
              <w:jc w:val="both"/>
            </w:pPr>
            <w:r>
              <w:rPr>
                <w:sz w:val="21"/>
                <w:color w:val="000000"/>
              </w:rPr>
              <w:t>19.NIBP</w:t>
            </w:r>
            <w:r>
              <w:rPr>
                <w:sz w:val="21"/>
                <w:color w:val="000000"/>
              </w:rPr>
              <w:t>具有整点测量功能，更符合临床记录习惯，提高护理效率；</w:t>
            </w:r>
          </w:p>
          <w:p>
            <w:pPr>
              <w:pStyle w:val="null3"/>
              <w:jc w:val="both"/>
            </w:pPr>
            <w:r>
              <w:rPr>
                <w:sz w:val="21"/>
                <w:color w:val="000000"/>
              </w:rPr>
              <w:t>20.</w:t>
            </w:r>
            <w:r>
              <w:rPr>
                <w:sz w:val="21"/>
                <w:color w:val="000000"/>
              </w:rPr>
              <w:t>具有辅助静脉穿刺功能；</w:t>
            </w:r>
          </w:p>
          <w:p>
            <w:pPr>
              <w:pStyle w:val="null3"/>
              <w:jc w:val="both"/>
            </w:pPr>
            <w:r>
              <w:rPr>
                <w:sz w:val="21"/>
                <w:color w:val="000000"/>
              </w:rPr>
              <w:t>21.</w:t>
            </w:r>
            <w:r>
              <w:rPr>
                <w:sz w:val="21"/>
                <w:color w:val="000000"/>
              </w:rPr>
              <w:t>具有冻结回放查询，打印功能；</w:t>
            </w:r>
          </w:p>
          <w:p>
            <w:pPr>
              <w:pStyle w:val="null3"/>
              <w:jc w:val="both"/>
            </w:pPr>
            <w:r>
              <w:rPr>
                <w:sz w:val="21"/>
                <w:color w:val="000000"/>
              </w:rPr>
              <w:t>22.</w:t>
            </w:r>
            <w:r>
              <w:rPr>
                <w:sz w:val="21"/>
                <w:color w:val="000000"/>
              </w:rPr>
              <w:t>内置记录仪功能，至少可记录2道波形，记录波形可选；</w:t>
            </w:r>
          </w:p>
          <w:p>
            <w:pPr>
              <w:pStyle w:val="null3"/>
              <w:jc w:val="both"/>
            </w:pPr>
            <w:r>
              <w:rPr>
                <w:sz w:val="21"/>
                <w:color w:val="000000"/>
              </w:rPr>
              <w:t>23.</w:t>
            </w:r>
            <w:r>
              <w:rPr>
                <w:sz w:val="21"/>
                <w:color w:val="000000"/>
              </w:rPr>
              <w:t>能通过USB导出病人病例到工作站上进行打印和分析；</w:t>
            </w:r>
          </w:p>
          <w:p>
            <w:pPr>
              <w:pStyle w:val="null3"/>
              <w:jc w:val="both"/>
            </w:pPr>
            <w:r>
              <w:rPr>
                <w:sz w:val="21"/>
                <w:color w:val="000000"/>
              </w:rPr>
              <w:t>24.</w:t>
            </w:r>
            <w:r>
              <w:rPr>
                <w:sz w:val="21"/>
                <w:color w:val="000000"/>
              </w:rPr>
              <w:t>内置锂电池，工作时长大于8小时；</w:t>
            </w:r>
          </w:p>
          <w:p>
            <w:pPr>
              <w:pStyle w:val="null3"/>
              <w:jc w:val="both"/>
            </w:pPr>
            <w:r>
              <w:rPr>
                <w:sz w:val="21"/>
                <w:color w:val="000000"/>
              </w:rPr>
              <w:t>25.</w:t>
            </w:r>
            <w:r>
              <w:rPr>
                <w:sz w:val="21"/>
                <w:color w:val="000000"/>
              </w:rPr>
              <w:t>支持USB接口连接条形码扫描器；</w:t>
            </w:r>
          </w:p>
          <w:p>
            <w:pPr>
              <w:pStyle w:val="null3"/>
            </w:pPr>
            <w:r>
              <w:rPr>
                <w:sz w:val="21"/>
                <w:color w:val="000000"/>
              </w:rPr>
              <w:t>26.</w:t>
            </w:r>
            <w:r>
              <w:rPr>
                <w:sz w:val="21"/>
                <w:color w:val="000000"/>
              </w:rPr>
              <w:t>支持扫码枪连接，读取数据；</w:t>
            </w:r>
          </w:p>
          <w:p>
            <w:pPr>
              <w:pStyle w:val="null3"/>
            </w:pPr>
            <w:r>
              <w:rPr>
                <w:sz w:val="21"/>
                <w:b/>
                <w:color w:val="000000"/>
              </w:rPr>
              <w:t>★27.所投产品具有医疗器械注册证（三类）（提供证书复印件，并加盖投标人公章）</w:t>
            </w:r>
          </w:p>
        </w:tc>
      </w:tr>
      <w:tr>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红外耳式体温计</w:t>
            </w:r>
          </w:p>
        </w:tc>
        <w:tc>
          <w:tcPr>
            <w:tcW w:type="dxa" w:w="7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红外耳式体温计参数及功能描述：</w:t>
            </w:r>
          </w:p>
          <w:p>
            <w:pPr>
              <w:pStyle w:val="null3"/>
              <w:jc w:val="both"/>
            </w:pPr>
            <w:r>
              <w:rPr>
                <w:sz w:val="21"/>
                <w:color w:val="000000"/>
              </w:rPr>
              <w:t>1.</w:t>
            </w:r>
            <w:r>
              <w:rPr>
                <w:sz w:val="21"/>
                <w:color w:val="000000"/>
              </w:rPr>
              <w:t>工作环境：</w:t>
            </w:r>
          </w:p>
          <w:p>
            <w:pPr>
              <w:pStyle w:val="null3"/>
              <w:jc w:val="both"/>
            </w:pPr>
            <w:r>
              <w:rPr>
                <w:sz w:val="21"/>
                <w:color w:val="000000"/>
              </w:rPr>
              <w:t>（1）环境温度：15℃-36℃</w:t>
            </w:r>
          </w:p>
          <w:p>
            <w:pPr>
              <w:pStyle w:val="null3"/>
              <w:jc w:val="both"/>
            </w:pPr>
            <w:r>
              <w:rPr>
                <w:sz w:val="21"/>
                <w:color w:val="000000"/>
              </w:rPr>
              <w:t>（2）相对湿度：≤85%</w:t>
            </w:r>
          </w:p>
          <w:p>
            <w:pPr>
              <w:pStyle w:val="null3"/>
              <w:jc w:val="both"/>
            </w:pPr>
            <w:r>
              <w:rPr>
                <w:sz w:val="21"/>
                <w:color w:val="000000"/>
              </w:rPr>
              <w:t>（3）大气压强：70kPa~106kPa</w:t>
            </w:r>
          </w:p>
          <w:p>
            <w:pPr>
              <w:pStyle w:val="null3"/>
              <w:jc w:val="both"/>
            </w:pPr>
            <w:r>
              <w:rPr>
                <w:sz w:val="21"/>
                <w:color w:val="000000"/>
              </w:rPr>
              <w:t>2.</w:t>
            </w:r>
            <w:r>
              <w:rPr>
                <w:sz w:val="21"/>
                <w:color w:val="000000"/>
              </w:rPr>
              <w:t>存储环境：</w:t>
            </w:r>
          </w:p>
          <w:p>
            <w:pPr>
              <w:pStyle w:val="null3"/>
              <w:jc w:val="both"/>
            </w:pPr>
            <w:r>
              <w:rPr>
                <w:sz w:val="21"/>
                <w:color w:val="000000"/>
              </w:rPr>
              <w:t>（1）环境温度：-20℃~55℃</w:t>
            </w:r>
          </w:p>
          <w:p>
            <w:pPr>
              <w:pStyle w:val="null3"/>
              <w:jc w:val="both"/>
            </w:pPr>
            <w:r>
              <w:rPr>
                <w:sz w:val="21"/>
                <w:color w:val="000000"/>
              </w:rPr>
              <w:t>（2）相对湿度：≤85%</w:t>
            </w:r>
          </w:p>
          <w:p>
            <w:pPr>
              <w:pStyle w:val="null3"/>
              <w:jc w:val="both"/>
            </w:pPr>
            <w:r>
              <w:rPr>
                <w:sz w:val="21"/>
                <w:color w:val="000000"/>
              </w:rPr>
              <w:t>（3）大气压强：70kPa~106kPa</w:t>
            </w:r>
          </w:p>
          <w:p>
            <w:pPr>
              <w:pStyle w:val="null3"/>
              <w:jc w:val="both"/>
            </w:pPr>
            <w:r>
              <w:rPr>
                <w:sz w:val="21"/>
                <w:color w:val="000000"/>
              </w:rPr>
              <w:t>3.</w:t>
            </w:r>
            <w:r>
              <w:rPr>
                <w:sz w:val="21"/>
                <w:color w:val="000000"/>
              </w:rPr>
              <w:t>电池类型：2节3VAAA碱性电池，。</w:t>
            </w:r>
          </w:p>
          <w:p>
            <w:pPr>
              <w:pStyle w:val="null3"/>
              <w:jc w:val="both"/>
            </w:pPr>
            <w:r>
              <w:rPr>
                <w:sz w:val="21"/>
                <w:color w:val="000000"/>
              </w:rPr>
              <w:t>4.</w:t>
            </w:r>
            <w:r>
              <w:rPr>
                <w:sz w:val="21"/>
                <w:color w:val="000000"/>
              </w:rPr>
              <w:t>电池续航时间：全新电池连续工作时间不小于12小时。</w:t>
            </w:r>
          </w:p>
          <w:p>
            <w:pPr>
              <w:pStyle w:val="null3"/>
              <w:jc w:val="both"/>
            </w:pPr>
            <w:r>
              <w:rPr>
                <w:sz w:val="21"/>
                <w:color w:val="000000"/>
              </w:rPr>
              <w:t>5.</w:t>
            </w:r>
            <w:r>
              <w:rPr>
                <w:sz w:val="21"/>
                <w:color w:val="000000"/>
              </w:rPr>
              <w:t>测量范围：34.0℃~42.2℃(93.2℉~108°℉)。</w:t>
            </w:r>
          </w:p>
          <w:p>
            <w:pPr>
              <w:pStyle w:val="null3"/>
              <w:jc w:val="both"/>
            </w:pPr>
            <w:r>
              <w:rPr>
                <w:sz w:val="21"/>
                <w:color w:val="000000"/>
              </w:rPr>
              <w:t>▲6.温度测量误差：±0.2℃(±0.4°℉)(35.0℃-42.0℃范围内），超出范围部分误差±0.3℃(±0.5℉)：变化环境条件下，温度计的测量误差为±0.2℃(±0.4°℉)(35.0℃-42.0℃范围内）。（提供第三方检测机构出具的检测报告复印件或产品说明书或产品彩页，并加盖投标人公章）</w:t>
            </w:r>
          </w:p>
          <w:p>
            <w:pPr>
              <w:pStyle w:val="null3"/>
              <w:jc w:val="both"/>
            </w:pPr>
            <w:r>
              <w:rPr>
                <w:sz w:val="21"/>
                <w:color w:val="000000"/>
              </w:rPr>
              <w:t>7.</w:t>
            </w:r>
            <w:r>
              <w:rPr>
                <w:sz w:val="21"/>
                <w:color w:val="000000"/>
              </w:rPr>
              <w:t>外形尺寸不大于：长140(mm)x宽65(mm)x高40(mm)。</w:t>
            </w:r>
          </w:p>
          <w:p>
            <w:pPr>
              <w:pStyle w:val="null3"/>
              <w:jc w:val="both"/>
            </w:pPr>
            <w:r>
              <w:rPr>
                <w:sz w:val="21"/>
                <w:color w:val="000000"/>
              </w:rPr>
              <w:t>8.</w:t>
            </w:r>
            <w:r>
              <w:rPr>
                <w:sz w:val="21"/>
                <w:color w:val="000000"/>
              </w:rPr>
              <w:t>整机重量：</w:t>
            </w:r>
            <w:r>
              <w:rPr>
                <w:sz w:val="21"/>
              </w:rPr>
              <w:t>≤</w:t>
            </w:r>
            <w:r>
              <w:rPr>
                <w:sz w:val="21"/>
                <w:color w:val="000000"/>
              </w:rPr>
              <w:t>85g</w:t>
            </w:r>
            <w:r>
              <w:rPr>
                <w:sz w:val="21"/>
                <w:color w:val="000000"/>
              </w:rPr>
              <w:t>（含电池）。</w:t>
            </w:r>
          </w:p>
          <w:p>
            <w:pPr>
              <w:pStyle w:val="null3"/>
              <w:jc w:val="both"/>
            </w:pPr>
            <w:r>
              <w:rPr>
                <w:sz w:val="21"/>
                <w:color w:val="000000"/>
              </w:rPr>
              <w:t>9.</w:t>
            </w:r>
            <w:r>
              <w:rPr>
                <w:sz w:val="21"/>
                <w:color w:val="000000"/>
              </w:rPr>
              <w:t>显示：耳式体温计显示器上的数值高度＞4mm。</w:t>
            </w:r>
          </w:p>
          <w:p>
            <w:pPr>
              <w:pStyle w:val="null3"/>
              <w:jc w:val="both"/>
            </w:pPr>
            <w:r>
              <w:rPr>
                <w:sz w:val="21"/>
                <w:color w:val="000000"/>
              </w:rPr>
              <w:t>▲10. 提示／报警功能：</w:t>
            </w:r>
          </w:p>
          <w:p>
            <w:pPr>
              <w:pStyle w:val="null3"/>
              <w:jc w:val="both"/>
            </w:pPr>
            <w:r>
              <w:rPr>
                <w:sz w:val="21"/>
                <w:color w:val="000000"/>
              </w:rPr>
              <w:t>（1）</w:t>
            </w:r>
            <w:r>
              <w:rPr>
                <w:sz w:val="21"/>
                <w:color w:val="000000"/>
              </w:rPr>
              <w:t>电池电压不足（低于2.3V）时，耳式体温计显示屏上电池符号闪烁，提示电量不足，并且1分钟后自动关机，不再进行测量；</w:t>
            </w:r>
          </w:p>
          <w:p>
            <w:pPr>
              <w:pStyle w:val="null3"/>
              <w:jc w:val="both"/>
            </w:pPr>
            <w:r>
              <w:rPr>
                <w:sz w:val="21"/>
                <w:color w:val="000000"/>
              </w:rPr>
              <w:t>（2）显示范围超过34C~42.2℃(93.2℉~108°℉）规定时，耳式体温计提示超界信号；</w:t>
            </w:r>
          </w:p>
          <w:p>
            <w:pPr>
              <w:pStyle w:val="null3"/>
              <w:jc w:val="both"/>
            </w:pPr>
            <w:r>
              <w:rPr>
                <w:sz w:val="21"/>
                <w:color w:val="000000"/>
              </w:rPr>
              <w:t>（3）</w:t>
            </w:r>
            <w:r>
              <w:rPr>
                <w:sz w:val="21"/>
                <w:color w:val="000000"/>
              </w:rPr>
              <w:t>环境温度超过15℃~36℃要求时，耳式体温计提示环境温度超界信号。</w:t>
            </w:r>
          </w:p>
          <w:p>
            <w:pPr>
              <w:pStyle w:val="null3"/>
              <w:jc w:val="both"/>
            </w:pPr>
            <w:r>
              <w:rPr>
                <w:sz w:val="21"/>
                <w:color w:val="000000"/>
              </w:rPr>
              <w:t>11.</w:t>
            </w:r>
            <w:r>
              <w:rPr>
                <w:sz w:val="21"/>
                <w:color w:val="000000"/>
              </w:rPr>
              <w:t>自动关机时间：60s±10s。</w:t>
            </w:r>
          </w:p>
          <w:p>
            <w:pPr>
              <w:pStyle w:val="null3"/>
              <w:jc w:val="both"/>
            </w:pPr>
            <w:r>
              <w:rPr>
                <w:sz w:val="21"/>
                <w:color w:val="000000"/>
              </w:rPr>
              <w:t>▲12.测量时间：耳式体温计从按操作开关开始到测定结束的时间在4秒内（提供第三方检测机构出具的检测报告复印件或产品说明书或产品彩页，并加盖投标人公章）。</w:t>
            </w:r>
          </w:p>
          <w:p>
            <w:pPr>
              <w:pStyle w:val="null3"/>
              <w:jc w:val="both"/>
            </w:pPr>
            <w:r>
              <w:rPr>
                <w:sz w:val="21"/>
                <w:color w:val="000000"/>
              </w:rPr>
              <w:t>▲13.无线连接：耳式体温计应能与可兼容的仪器进行普通 2.4GHz 的无线连接，仪器与耳温计正常通信的最大距离不小于10m，连接成功后仪器可显示耳温计所测的体温（提供第三方检测机构出具的检测报告复印件或产品说明书或产品彩页，并加盖投标人公章）。</w:t>
            </w:r>
          </w:p>
          <w:p>
            <w:pPr>
              <w:pStyle w:val="null3"/>
              <w:jc w:val="both"/>
            </w:pPr>
            <w:r>
              <w:rPr>
                <w:sz w:val="21"/>
                <w:color w:val="000000"/>
              </w:rPr>
              <w:t>14.</w:t>
            </w:r>
            <w:r>
              <w:rPr>
                <w:sz w:val="21"/>
                <w:color w:val="000000"/>
              </w:rPr>
              <w:t>应用部分：探头，BF型。</w:t>
            </w:r>
          </w:p>
          <w:p>
            <w:pPr>
              <w:pStyle w:val="null3"/>
              <w:jc w:val="both"/>
            </w:pPr>
            <w:r>
              <w:rPr>
                <w:sz w:val="21"/>
                <w:color w:val="000000"/>
              </w:rPr>
              <w:t>15.</w:t>
            </w:r>
            <w:r>
              <w:rPr>
                <w:sz w:val="21"/>
                <w:color w:val="000000"/>
              </w:rPr>
              <w:t>设备运行方式：连续运行</w:t>
            </w:r>
          </w:p>
          <w:p>
            <w:pPr>
              <w:pStyle w:val="null3"/>
              <w:jc w:val="both"/>
            </w:pPr>
            <w:r>
              <w:rPr>
                <w:sz w:val="21"/>
                <w:color w:val="000000"/>
              </w:rPr>
              <w:t>16.</w:t>
            </w:r>
            <w:r>
              <w:rPr>
                <w:sz w:val="21"/>
                <w:color w:val="000000"/>
              </w:rPr>
              <w:t>测量方式：直接测量</w:t>
            </w:r>
          </w:p>
        </w:tc>
      </w:tr>
    </w:tbl>
    <w:p>
      <w:pPr>
        <w:pStyle w:val="null3"/>
      </w:pPr>
      <w:r>
        <w:rPr>
          <w:sz w:val="21"/>
          <w:b/>
        </w:rPr>
        <w:t>（三）</w:t>
      </w:r>
      <w:r>
        <w:rPr>
          <w:sz w:val="21"/>
          <w:b/>
        </w:rPr>
        <w:t>台车</w:t>
      </w:r>
    </w:p>
    <w:tbl>
      <w:tblPr>
        <w:tblW w:w="0" w:type="auto"/>
        <w:tblBorders>
          <w:top w:val="none" w:color="000000" w:sz="4"/>
          <w:left w:val="none" w:color="000000" w:sz="4"/>
          <w:bottom w:val="none" w:color="000000" w:sz="4"/>
          <w:right w:val="none" w:color="000000" w:sz="4"/>
          <w:insideH w:val="none"/>
          <w:insideV w:val="none"/>
        </w:tblBorders>
      </w:tblPr>
      <w:tblGrid>
        <w:gridCol w:w="1135"/>
        <w:gridCol w:w="7171"/>
      </w:tblGrid>
      <w:tr>
        <w:tc>
          <w:tcPr>
            <w:tcW w:type="dxa" w:w="11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设备类型</w:t>
            </w:r>
          </w:p>
        </w:tc>
        <w:tc>
          <w:tcPr>
            <w:tcW w:type="dxa" w:w="71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61"/>
              <w:jc w:val="center"/>
            </w:pPr>
            <w:r>
              <w:rPr>
                <w:sz w:val="21"/>
                <w:b/>
                <w:color w:val="000000"/>
              </w:rPr>
              <w:t>参数及功能描述</w:t>
            </w:r>
          </w:p>
        </w:tc>
      </w:tr>
      <w:tr>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台车</w:t>
            </w:r>
          </w:p>
        </w:tc>
        <w:tc>
          <w:tcPr>
            <w:tcW w:type="dxa" w:w="7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▲1.推车底座可以支撑立杆组件，万向脚轮可以随意移动，刹车可以固定在某一位置（提供产品说明书或产品彩页，并加盖投标人公章）。</w:t>
            </w:r>
          </w:p>
          <w:p>
            <w:pPr>
              <w:pStyle w:val="null3"/>
              <w:jc w:val="both"/>
            </w:pPr>
            <w:r>
              <w:rPr>
                <w:sz w:val="21"/>
                <w:color w:val="000000"/>
              </w:rPr>
              <w:t>▲2.大小立杆组件+托盘组件用于连接推车底座组件，可以调节合适高度可调节高度范围：880-1038mm（台面离地高度）；含托盘组件，托盘组件用于固定机器、可调节机器的可视角度（托盘台面角度调节范围：前后各 8度）。（提供产品说明书或产品彩页，并加盖投标人公章）</w:t>
            </w:r>
          </w:p>
        </w:tc>
      </w:tr>
    </w:tbl>
    <w:p>
      <w:pPr>
        <w:pStyle w:val="null3"/>
        <w:jc w:val="both"/>
      </w:pPr>
      <w:r>
        <w:rPr>
          <w:sz w:val="21"/>
          <w:b/>
          <w:color w:val="000000"/>
        </w:rPr>
        <w:t>三、</w:t>
      </w:r>
      <w:r>
        <w:rPr>
          <w:sz w:val="21"/>
          <w:b/>
          <w:color w:val="000000"/>
        </w:rPr>
        <w:t>保修维保期</w:t>
      </w:r>
    </w:p>
    <w:p>
      <w:pPr>
        <w:pStyle w:val="null3"/>
        <w:ind w:firstLine="422"/>
        <w:jc w:val="both"/>
      </w:pPr>
      <w:r>
        <w:rPr>
          <w:sz w:val="21"/>
          <w:b/>
        </w:rPr>
        <w:t>★1.保修期不低于36个月，保修期内非因采购人人为原因而出现产品质量及安装问题，由中标人负责包修、包换或包退，并承担因此而产生的一切费用（投标时提交承诺，承诺可参照“投标文件格式”中《承诺函》格式）。</w:t>
      </w:r>
    </w:p>
    <w:p>
      <w:pPr>
        <w:pStyle w:val="null3"/>
        <w:jc w:val="both"/>
      </w:pPr>
      <w:r>
        <w:rPr>
          <w:sz w:val="21"/>
          <w:b/>
        </w:rPr>
        <w:t>四、服务要求</w:t>
      </w:r>
    </w:p>
    <w:p>
      <w:pPr>
        <w:pStyle w:val="null3"/>
        <w:ind w:firstLine="420"/>
        <w:jc w:val="both"/>
      </w:pPr>
      <w:r>
        <w:rPr>
          <w:sz w:val="21"/>
        </w:rPr>
        <w:t>1.</w:t>
      </w:r>
      <w:r>
        <w:rPr>
          <w:sz w:val="21"/>
          <w:color w:val="000000"/>
        </w:rPr>
        <w:t>提供的货物、设备、软件、服务及配套配件，符合国家有关规范和采购人的技术要求，并提供货物的厂试测验报告（保修卡、合格证、出厂检验报告等质量相关证明文件）。</w:t>
      </w:r>
    </w:p>
    <w:p>
      <w:pPr>
        <w:pStyle w:val="null3"/>
        <w:ind w:firstLine="420"/>
        <w:jc w:val="both"/>
      </w:pPr>
      <w:r>
        <w:rPr>
          <w:sz w:val="21"/>
          <w:color w:val="000000"/>
        </w:rPr>
        <w:t>2.</w:t>
      </w:r>
      <w:r>
        <w:rPr>
          <w:sz w:val="21"/>
        </w:rPr>
        <w:t>服务响应时间为全年</w:t>
      </w:r>
      <w:r>
        <w:rPr>
          <w:sz w:val="21"/>
          <w:color w:val="000000"/>
        </w:rPr>
        <w:t>7*24</w:t>
      </w:r>
      <w:r>
        <w:rPr>
          <w:sz w:val="21"/>
        </w:rPr>
        <w:t>小时，中标人应在收到采购人报修通知后30分钟内响应，如无法解决须在24小时内派员到现场维修。</w:t>
      </w:r>
    </w:p>
    <w:p>
      <w:pPr>
        <w:pStyle w:val="null3"/>
        <w:ind w:firstLine="420"/>
        <w:jc w:val="both"/>
      </w:pPr>
      <w:r>
        <w:rPr>
          <w:sz w:val="21"/>
        </w:rPr>
        <w:t>3.</w:t>
      </w:r>
      <w:r>
        <w:rPr>
          <w:sz w:val="21"/>
        </w:rPr>
        <w:t>培训方案：提供包括但不限于培训计划、培训要求、培训文档方案等，包括但不限于制定培训目标、目的，培训内容，流程、前期准备、中期实施、后期考核评估与反馈</w:t>
      </w:r>
      <w:r>
        <w:rPr>
          <w:sz w:val="21"/>
        </w:rPr>
        <w:t>。</w:t>
      </w:r>
    </w:p>
    <w:p>
      <w:pPr>
        <w:pStyle w:val="null3"/>
        <w:ind w:firstLine="420"/>
        <w:jc w:val="both"/>
      </w:pPr>
      <w:r>
        <w:rPr>
          <w:sz w:val="21"/>
        </w:rPr>
        <w:t>4.</w:t>
      </w:r>
      <w:r>
        <w:rPr>
          <w:sz w:val="21"/>
        </w:rPr>
        <w:t>技术保障方案：提供包含但不限于专业的技术团队、完善的服务流程、健全的技术方案等，包括但不限于项目进度管理、控制方法、实施保障、质量管理。</w:t>
      </w:r>
    </w:p>
    <w:p>
      <w:pPr>
        <w:pStyle w:val="null3"/>
        <w:jc w:val="both"/>
      </w:pPr>
      <w:r>
        <w:rPr>
          <w:sz w:val="21"/>
          <w:b/>
        </w:rPr>
        <w:t>五、安装验收要求</w:t>
      </w:r>
    </w:p>
    <w:p>
      <w:pPr>
        <w:pStyle w:val="null3"/>
        <w:ind w:firstLine="420"/>
        <w:jc w:val="both"/>
      </w:pPr>
      <w:r>
        <w:rPr>
          <w:sz w:val="21"/>
        </w:rPr>
        <w:t>1.</w:t>
      </w:r>
      <w:r>
        <w:rPr>
          <w:sz w:val="21"/>
        </w:rPr>
        <w:t>中标人须配合采购人对口管理部门（信息技术部），根据海东院区使用部门提出的设备数量需求，将设备分发到各使用部门，并安排工程师安装调试好设备，并统一登记设备序号。</w:t>
      </w:r>
    </w:p>
    <w:p>
      <w:pPr>
        <w:pStyle w:val="null3"/>
        <w:jc w:val="both"/>
      </w:pPr>
      <w:r>
        <w:rPr>
          <w:sz w:val="21"/>
          <w:b/>
        </w:rPr>
        <w:t>六、供货期</w:t>
      </w:r>
    </w:p>
    <w:p>
      <w:pPr>
        <w:pStyle w:val="null3"/>
        <w:ind w:firstLine="420"/>
        <w:jc w:val="both"/>
      </w:pPr>
      <w:r>
        <w:rPr>
          <w:sz w:val="21"/>
        </w:rPr>
        <w:t>1.</w:t>
      </w:r>
      <w:r>
        <w:rPr>
          <w:sz w:val="21"/>
        </w:rPr>
        <w:t>合同签订后30个工作日内供货。</w:t>
      </w:r>
    </w:p>
    <w:p>
      <w:pPr>
        <w:pStyle w:val="null3"/>
        <w:ind w:firstLine="420"/>
        <w:jc w:val="both"/>
      </w:pPr>
      <w:r>
        <w:rPr>
          <w:sz w:val="21"/>
        </w:rPr>
        <w:t>2.</w:t>
      </w:r>
      <w:r>
        <w:rPr>
          <w:sz w:val="21"/>
        </w:rPr>
        <w:t>供货地点：广东省湛江市坡头区海湾大道以南、海东大道以西广东医科大学附属医院海东院区。</w:t>
      </w:r>
    </w:p>
    <w:p>
      <w:pPr>
        <w:pStyle w:val="null3"/>
        <w:jc w:val="both"/>
      </w:pPr>
      <w:r>
        <w:rPr>
          <w:sz w:val="21"/>
          <w:b/>
        </w:rPr>
        <w:t>七、合同履行期限</w:t>
      </w:r>
    </w:p>
    <w:p>
      <w:pPr>
        <w:pStyle w:val="null3"/>
        <w:ind w:firstLine="420"/>
        <w:jc w:val="both"/>
      </w:pPr>
      <w:r>
        <w:rPr>
          <w:sz w:val="21"/>
        </w:rPr>
        <w:t>1.</w:t>
      </w:r>
      <w:r>
        <w:rPr>
          <w:sz w:val="21"/>
        </w:rPr>
        <w:t>项目整体通过验收，并完成36个月保修服务。</w:t>
      </w:r>
    </w:p>
    <w:p>
      <w:pPr>
        <w:pStyle w:val="null3"/>
        <w:jc w:val="both"/>
      </w:pPr>
      <w:r>
        <w:rPr>
          <w:sz w:val="21"/>
          <w:b/>
        </w:rPr>
        <w:t>八、付款方式</w:t>
      </w:r>
    </w:p>
    <w:p>
      <w:pPr>
        <w:pStyle w:val="null3"/>
        <w:ind w:firstLine="420"/>
        <w:jc w:val="both"/>
      </w:pPr>
      <w:r>
        <w:rPr>
          <w:sz w:val="21"/>
        </w:rPr>
        <w:t>1.</w:t>
      </w:r>
      <w:r>
        <w:rPr>
          <w:sz w:val="21"/>
        </w:rPr>
        <w:t>支付比例30%,签订合同且收到发票后10个工作日内，采购人向中标人支付合同总额的30%，中标人应办理完开工手续，安排实施人员进场，出具《设备开箱检验单》。</w:t>
      </w:r>
    </w:p>
    <w:p>
      <w:pPr>
        <w:pStyle w:val="null3"/>
        <w:ind w:firstLine="420"/>
        <w:jc w:val="both"/>
      </w:pPr>
      <w:r>
        <w:rPr>
          <w:sz w:val="21"/>
        </w:rPr>
        <w:t>2.</w:t>
      </w:r>
      <w:r>
        <w:rPr>
          <w:sz w:val="21"/>
        </w:rPr>
        <w:t>支付比例20%,项目所有货物、软硬件设备安装调试部署完成，经采购人、中标人、监理（如有）三方确认，采购人在收到发票后10个工作日内向中标人支付合同总额的20%。</w:t>
      </w:r>
    </w:p>
    <w:p>
      <w:pPr>
        <w:pStyle w:val="null3"/>
        <w:ind w:firstLine="420"/>
        <w:jc w:val="both"/>
      </w:pPr>
      <w:r>
        <w:rPr>
          <w:sz w:val="21"/>
        </w:rPr>
        <w:t>3.</w:t>
      </w:r>
      <w:r>
        <w:rPr>
          <w:sz w:val="21"/>
        </w:rPr>
        <w:t>支付比例50%,项目整体正常运行60天，经采购人、中标人、监理（如有）三方确认，验收合格，并出具验收报告后，采购人在收到发票后10个工作日内向中标人支付合同总额的50%。</w:t>
      </w:r>
    </w:p>
    <w:p>
      <w:pPr>
        <w:pStyle w:val="null3"/>
        <w:jc w:val="both"/>
      </w:pPr>
      <w:r>
        <w:rPr>
          <w:sz w:val="21"/>
          <w:b/>
        </w:rPr>
        <w:t>九、履约担保</w:t>
      </w:r>
    </w:p>
    <w:p>
      <w:pPr>
        <w:pStyle w:val="null3"/>
        <w:jc w:val="both"/>
      </w:pPr>
      <w:r>
        <w:rPr>
          <w:sz w:val="21"/>
        </w:rPr>
        <w:t>1</w:t>
      </w:r>
      <w:r>
        <w:rPr>
          <w:sz w:val="21"/>
        </w:rPr>
        <w:t>、是否有履约担保：是。</w:t>
      </w:r>
    </w:p>
    <w:p>
      <w:pPr>
        <w:pStyle w:val="null3"/>
        <w:jc w:val="both"/>
      </w:pPr>
      <w:r>
        <w:rPr>
          <w:sz w:val="21"/>
        </w:rPr>
        <w:t>2</w:t>
      </w:r>
      <w:r>
        <w:rPr>
          <w:sz w:val="21"/>
        </w:rPr>
        <w:t>、履约担保金额：为中标金额的10%（符合《〈政府采购促进中小企业发展管理办法〉（财库〔2020〕46号）》的中小微企业为中标金额的5%）。</w:t>
      </w:r>
    </w:p>
    <w:p>
      <w:pPr>
        <w:pStyle w:val="null3"/>
        <w:jc w:val="both"/>
      </w:pPr>
      <w:r>
        <w:rPr>
          <w:sz w:val="21"/>
        </w:rPr>
        <w:t>3</w:t>
      </w:r>
      <w:r>
        <w:rPr>
          <w:sz w:val="21"/>
        </w:rPr>
        <w:t>、履约保证金形式：可以采用银行转账、支票、汇票、本票或者金融机构、担保机构出具的保函等非现金形式提交，以保函形式提交的保函有效期应不小于本项目合同期。</w:t>
      </w:r>
    </w:p>
    <w:p>
      <w:pPr>
        <w:pStyle w:val="null3"/>
        <w:jc w:val="both"/>
      </w:pPr>
      <w:r>
        <w:rPr>
          <w:sz w:val="21"/>
        </w:rPr>
        <w:t xml:space="preserve">（1）开户名称：广东医科大学附属医院                                </w:t>
      </w:r>
    </w:p>
    <w:p>
      <w:pPr>
        <w:pStyle w:val="null3"/>
        <w:jc w:val="both"/>
      </w:pPr>
      <w:r>
        <w:rPr>
          <w:sz w:val="21"/>
        </w:rPr>
        <w:t>（2）开户银行：广发银行湛江岭南支行</w:t>
      </w:r>
    </w:p>
    <w:p>
      <w:pPr>
        <w:pStyle w:val="null3"/>
        <w:jc w:val="both"/>
      </w:pPr>
      <w:r>
        <w:rPr>
          <w:sz w:val="21"/>
        </w:rPr>
        <w:t>（3）账号：109008516010000123</w:t>
      </w:r>
    </w:p>
    <w:p>
      <w:pPr>
        <w:pStyle w:val="null3"/>
        <w:jc w:val="both"/>
      </w:pPr>
      <w:r>
        <w:rPr>
          <w:sz w:val="21"/>
        </w:rPr>
        <w:t>4</w:t>
      </w:r>
      <w:r>
        <w:rPr>
          <w:sz w:val="21"/>
        </w:rPr>
        <w:t>、履约保证金提交时间：中标人在签订本合同前需递交履约保证金。</w:t>
      </w:r>
    </w:p>
    <w:p>
      <w:pPr>
        <w:pStyle w:val="null3"/>
        <w:jc w:val="both"/>
      </w:pPr>
      <w:r>
        <w:rPr>
          <w:sz w:val="21"/>
        </w:rPr>
        <w:t>5</w:t>
      </w:r>
      <w:r>
        <w:rPr>
          <w:sz w:val="21"/>
        </w:rPr>
        <w:t>、履约保证金退还：服务验收合格后，由中标人提出申请，经采购人、中标人确认，采购人收到中标人申请后30天内退还履约担保金额的100%（不计利息）。</w:t>
      </w:r>
      <w:r>
        <w:rPr>
          <w:sz w:val="21"/>
        </w:rPr>
        <w:t>采购人无正当理由逾期退还履约保证金，导致供应商权益受损的，采购人除应退还履约保证金外，赔偿供应商权益范围内损失。</w:t>
      </w:r>
    </w:p>
    <w:p>
      <w:pPr>
        <w:pStyle w:val="null3"/>
        <w:jc w:val="left"/>
      </w:pPr>
      <w:r>
        <w:rPr>
          <w:sz w:val="21"/>
        </w:rPr>
        <w:t>6</w:t>
      </w:r>
      <w:r>
        <w:rPr>
          <w:sz w:val="21"/>
        </w:rPr>
        <w:t>、履约保证金说明：若中标人在合同履行期间违约，采购人有权从履约担保中扣除违约金，扣除后中标人须在10日内补足履约保证金，履约保证金金额不足以扣除的部分采购人可向中标人进一步索赔。中标人不按合同规定提交履约保证金的，视为中标人违约，采购人有权单方面解除合同且不须承担任何违约责任。签订合同时中标人须提供银行转账凭证及广东医科大学附属医院出具的履约保证金收据作为附件。</w:t>
      </w:r>
    </w:p>
    <w:p>
      <w:pPr>
        <w:pStyle w:val="null3"/>
      </w:pPr>
      <w:r>
        <w:rPr/>
        <w:t>采购包1（海东院区智能移动生命监测系统）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合同签订后30个工作日内供货</w:t>
            </w:r>
          </w:p>
        </w:tc>
      </w:tr>
      <w:tr>
        <w:tc>
          <w:tcPr>
            <w:tcW w:type="dxa" w:w="4153"/>
          </w:tcPr>
          <w:p>
            <w:pPr>
              <w:pStyle w:val="null3"/>
            </w:pPr>
            <w:r>
              <w:rPr/>
              <w:t>标的提供的地点</w:t>
            </w:r>
          </w:p>
        </w:tc>
        <w:tc>
          <w:tcPr>
            <w:tcW w:type="dxa" w:w="4153"/>
          </w:tcPr>
          <w:p>
            <w:pPr>
              <w:pStyle w:val="null3"/>
            </w:pPr>
            <w:r>
              <w:rPr/>
              <w:t>广东省湛江市坡头区海湾大道以南、海东大道以西广东医科大学附属医院海东院区</w:t>
            </w:r>
          </w:p>
        </w:tc>
      </w:tr>
      <w:tr>
        <w:tc>
          <w:tcPr>
            <w:tcW w:type="dxa" w:w="4153"/>
          </w:tcPr>
          <w:p>
            <w:pPr>
              <w:pStyle w:val="null3"/>
            </w:pPr>
            <w:r>
              <w:rPr/>
              <w:t>付款方式</w:t>
            </w:r>
          </w:p>
        </w:tc>
        <w:tc>
          <w:tcPr>
            <w:tcW w:type="dxa" w:w="4153"/>
          </w:tcPr>
          <w:p>
            <w:pPr>
              <w:pStyle w:val="null3"/>
            </w:pPr>
            <w:r>
              <w:rPr/>
              <w:t>1期：支付比例30%,签订合同且收到发票后10个工作日内，采购人向中标人支付合同总额的30%，中标人应办理完开工手续，安排实施人员进场，出具《设备开箱检验单》。</w:t>
            </w:r>
          </w:p>
          <w:p>
            <w:pPr>
              <w:pStyle w:val="null3"/>
            </w:pPr>
            <w:r>
              <w:rPr/>
              <w:t>2期：支付比例20%,项目所有货物、软硬件设备安装调试部署完成，经采购人、中标人、监理（如有）三方确认，采购人在收到发票后10个工作日内向中标人支付合同总额的20%。</w:t>
            </w:r>
          </w:p>
          <w:p>
            <w:pPr>
              <w:pStyle w:val="null3"/>
            </w:pPr>
            <w:r>
              <w:rPr/>
              <w:t>3期：支付比例50%,项目整体正常运行60天，经采购人、中标人、监理（如有）三方确认，验收合格，并出具验收报告后，采购人在收到发票后10个工作日内向中标人支付合同总额的50%。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1期：中标人须配合采购人对口管理部门（信息技术部），根据海东院区使用部门提出的设备数量需求，将设备分发到各使用部门，并安排工程师安装调试好设备，并统一登记设备序号。</w:t>
            </w:r>
          </w:p>
        </w:tc>
      </w:tr>
      <w:tr>
        <w:tc>
          <w:tcPr>
            <w:tcW w:type="dxa" w:w="4153"/>
          </w:tcPr>
          <w:p>
            <w:pPr>
              <w:pStyle w:val="null3"/>
            </w:pPr>
            <w:r>
              <w:rPr/>
              <w:t>履约保证金</w:t>
            </w:r>
          </w:p>
        </w:tc>
        <w:tc>
          <w:tcPr>
            <w:tcW w:type="dxa" w:w="4153"/>
          </w:tcPr>
          <w:p>
            <w:pPr>
              <w:pStyle w:val="null3"/>
            </w:pPr>
            <w:r>
              <w:rPr/>
              <w:t>收取比例：10%,说明：1、是否有履约担保：是。 2、履约担保金额：为中标金额的10%（符合《〈政府采购促进中小企业发展管理办法〉（财库〔2020〕46号）》的中小微企业为中标金额的5%）。 3、履约保证金形式：可以采用银行转账、支票、汇票、本票或者金融机构、担保机构出具的保函等非现金形式提交，以保函形式提交的保函有效期应不小于本项目合同期。 （1）开户名称：广东医科大学附属医院 （2）开户银行：广发银行湛江岭南支行 （3）账号：109008516010000123 4、履约保证金提交时间：中标人在签订本合同前需递交履约保证金。 5、履约保证金退还：服务验收合格后，由中标人提出申请，经采购人、中标人确认，采购人收到中标人申请后30天内退还履约担保金额的100%（不计利息）。采购人无正当理由逾期退还履约保证金，导致供应商权益受损的，采购人除应退还履约保证金外，赔偿供应商权益范围内损失。 6、履约保证金说明：若中标人在合同履行期间违约，采购人有权从履约担保中扣除违约金，扣除后中标人须在10日内补足履约保证金，履约保证金金额不足以扣除的部分采购人可向中标人进一步索赔。中标人不按合同规定提交履约保证金的，视为中标人违约，采购人有权单方面解除合同且不须承担任何违约责任。签订合同时中标人须提供银行转账凭证及广东医科大学附属医院出具的履约保证金收据作为附件。</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计算机软件作品</w:t>
            </w:r>
          </w:p>
        </w:tc>
        <w:tc>
          <w:tcPr>
            <w:tcW w:type="dxa" w:w="831"/>
          </w:tcPr>
          <w:p>
            <w:pPr>
              <w:pStyle w:val="null3"/>
              <w:jc w:val="left"/>
            </w:pPr>
            <w:r>
              <w:rPr/>
              <w:t>体征软件管理系统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380,000.00</w:t>
            </w:r>
          </w:p>
        </w:tc>
        <w:tc>
          <w:tcPr>
            <w:tcW w:type="dxa" w:w="831"/>
          </w:tcPr>
          <w:p>
            <w:pPr>
              <w:pStyle w:val="null3"/>
              <w:jc w:val="right"/>
            </w:pPr>
            <w:r>
              <w:rPr/>
              <w:t>380,000.00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医用电子生理参数检测仪器设备</w:t>
            </w:r>
          </w:p>
        </w:tc>
        <w:tc>
          <w:tcPr>
            <w:tcW w:type="dxa" w:w="831"/>
          </w:tcPr>
          <w:p>
            <w:pPr>
              <w:pStyle w:val="null3"/>
              <w:jc w:val="left"/>
            </w:pPr>
            <w:r>
              <w:rPr/>
              <w:t>体征监测终端</w:t>
            </w:r>
          </w:p>
        </w:tc>
        <w:tc>
          <w:tcPr>
            <w:tcW w:type="dxa" w:w="831"/>
          </w:tcPr>
          <w:p>
            <w:pPr>
              <w:pStyle w:val="null3"/>
              <w:jc w:val="left"/>
            </w:pPr>
            <w:r>
              <w:rPr/>
              <w:t>套</w:t>
            </w:r>
          </w:p>
        </w:tc>
        <w:tc>
          <w:tcPr>
            <w:tcW w:type="dxa" w:w="831"/>
          </w:tcPr>
          <w:p>
            <w:pPr>
              <w:pStyle w:val="null3"/>
              <w:jc w:val="right"/>
            </w:pPr>
            <w:r>
              <w:rPr/>
              <w:t>80.00</w:t>
            </w:r>
          </w:p>
        </w:tc>
        <w:tc>
          <w:tcPr>
            <w:tcW w:type="dxa" w:w="831"/>
          </w:tcPr>
          <w:p>
            <w:pPr>
              <w:pStyle w:val="null3"/>
              <w:jc w:val="right"/>
            </w:pPr>
            <w:r>
              <w:rPr/>
              <w:t>13,500.00</w:t>
            </w:r>
          </w:p>
        </w:tc>
        <w:tc>
          <w:tcPr>
            <w:tcW w:type="dxa" w:w="831"/>
          </w:tcPr>
          <w:p>
            <w:pPr>
              <w:pStyle w:val="null3"/>
              <w:jc w:val="right"/>
            </w:pPr>
            <w:r>
              <w:rPr/>
              <w:t>1,080,000.00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病房护理及医院设备</w:t>
            </w:r>
          </w:p>
        </w:tc>
        <w:tc>
          <w:tcPr>
            <w:tcW w:type="dxa" w:w="831"/>
          </w:tcPr>
          <w:p>
            <w:pPr>
              <w:pStyle w:val="null3"/>
              <w:jc w:val="left"/>
            </w:pPr>
            <w:r>
              <w:rPr/>
              <w:t>台车</w:t>
            </w:r>
          </w:p>
        </w:tc>
        <w:tc>
          <w:tcPr>
            <w:tcW w:type="dxa" w:w="831"/>
          </w:tcPr>
          <w:p>
            <w:pPr>
              <w:pStyle w:val="null3"/>
              <w:jc w:val="left"/>
            </w:pPr>
            <w:r>
              <w:rPr/>
              <w:t>套</w:t>
            </w:r>
          </w:p>
        </w:tc>
        <w:tc>
          <w:tcPr>
            <w:tcW w:type="dxa" w:w="831"/>
          </w:tcPr>
          <w:p>
            <w:pPr>
              <w:pStyle w:val="null3"/>
              <w:jc w:val="right"/>
            </w:pPr>
            <w:r>
              <w:rPr/>
              <w:t>80.00</w:t>
            </w:r>
          </w:p>
        </w:tc>
        <w:tc>
          <w:tcPr>
            <w:tcW w:type="dxa" w:w="831"/>
          </w:tcPr>
          <w:p>
            <w:pPr>
              <w:pStyle w:val="null3"/>
              <w:jc w:val="right"/>
            </w:pPr>
            <w:r>
              <w:rPr/>
              <w:t>500.00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体征软件管理系统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b/>
              </w:rPr>
              <w:t>本项目不允许分包，如供应商在投标/响应文件中未出现《分包协议意向书》，则视为未采取分包。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b/>
              </w:rPr>
              <w:t>投标人必须承诺响应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可参照“投标（响应）文件格式”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b/>
              </w:rPr>
              <w:t>供应商须承诺所投设备均符合国家强制性要求。（提供承诺，可参照“投标（响应）文件格式”中《承诺函》格式）。</w:t>
            </w:r>
          </w:p>
        </w:tc>
      </w:tr>
      <w:tr>
        <w:tc>
          <w:tcPr>
            <w:tcW w:type="dxa" w:w="2076"/>
          </w:tcPr>
          <w:p/>
        </w:tc>
        <w:tc>
          <w:tcPr>
            <w:tcW w:type="dxa" w:w="415"/>
          </w:tcPr>
          <w:p>
            <w:pPr>
              <w:pStyle w:val="null3"/>
            </w:pPr>
            <w:r>
              <w:rPr/>
              <w:t>5</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Mar>
                    <w:top w:type="dxa" w:w="0"/>
                    <w:left w:type="dxa" w:w="105"/>
                    <w:bottom w:type="dxa" w:w="0"/>
                    <w:right w:type="dxa" w:w="105"/>
                  </w:tcMar>
                </w:tcPr>
                <w:p>
                  <w:pPr>
                    <w:pStyle w:val="null3"/>
                    <w:jc w:val="center"/>
                  </w:pPr>
                  <w:r>
                    <w:rPr>
                      <w:sz w:val="21"/>
                      <w:b/>
                    </w:rPr>
                    <w:t>模块</w:t>
                  </w:r>
                </w:p>
              </w:tc>
              <w:tc>
                <w:tcPr>
                  <w:tcW w:type="dxa" w:w="186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功能名称</w:t>
                  </w:r>
                </w:p>
              </w:tc>
              <w:tc>
                <w:tcPr>
                  <w:tcW w:type="dxa" w:w="1866"/>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center"/>
                  </w:pPr>
                  <w:r>
                    <w:rPr>
                      <w:sz w:val="21"/>
                      <w:b/>
                    </w:rPr>
                    <w:t>功能参数描述</w:t>
                  </w:r>
                </w:p>
              </w:tc>
            </w:tr>
            <w:tr>
              <w:tc>
                <w:tcPr>
                  <w:tcW w:type="dxa" w:w="1866"/>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both"/>
                  </w:pPr>
                  <w:r>
                    <w:rPr>
                      <w:sz w:val="21"/>
                    </w:rPr>
                    <w:t>体征采集</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体征数据采集</w:t>
                  </w:r>
                </w:p>
              </w:tc>
              <w:tc>
                <w:tcPr>
                  <w:tcW w:type="dxa" w:w="1866"/>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both"/>
                  </w:pPr>
                  <w:r>
                    <w:rPr>
                      <w:sz w:val="21"/>
                    </w:rPr>
                    <w:t>1.</w:t>
                  </w:r>
                  <w:r>
                    <w:rPr>
                      <w:sz w:val="21"/>
                    </w:rPr>
                    <w:t>支持患者列表界面，同屏显示多病人窗口，同时管理不少于1000个病人。</w:t>
                  </w:r>
                </w:p>
                <w:p>
                  <w:pPr>
                    <w:pStyle w:val="null3"/>
                    <w:jc w:val="both"/>
                  </w:pPr>
                  <w:r>
                    <w:rPr>
                      <w:sz w:val="21"/>
                    </w:rPr>
                    <w:t>2.</w:t>
                  </w:r>
                  <w:r>
                    <w:rPr>
                      <w:sz w:val="21"/>
                    </w:rPr>
                    <w:t>支持在生命体征监测仪上采集体温。</w:t>
                  </w:r>
                </w:p>
                <w:p>
                  <w:pPr>
                    <w:pStyle w:val="null3"/>
                    <w:jc w:val="both"/>
                  </w:pPr>
                  <w:r>
                    <w:rPr>
                      <w:sz w:val="21"/>
                    </w:rPr>
                    <w:t>3.</w:t>
                  </w:r>
                  <w:r>
                    <w:rPr>
                      <w:sz w:val="21"/>
                    </w:rPr>
                    <w:t>支持在生命体征监测仪上采集血压。</w:t>
                  </w:r>
                </w:p>
                <w:p>
                  <w:pPr>
                    <w:pStyle w:val="null3"/>
                    <w:jc w:val="both"/>
                  </w:pPr>
                  <w:r>
                    <w:rPr>
                      <w:sz w:val="21"/>
                    </w:rPr>
                    <w:t>4.</w:t>
                  </w:r>
                  <w:r>
                    <w:rPr>
                      <w:sz w:val="21"/>
                    </w:rPr>
                    <w:t>支持在生命体征监测仪上采集血氧和脉率。</w:t>
                  </w:r>
                </w:p>
                <w:p>
                  <w:pPr>
                    <w:pStyle w:val="null3"/>
                    <w:jc w:val="both"/>
                  </w:pPr>
                  <w:r>
                    <w:rPr>
                      <w:sz w:val="21"/>
                    </w:rPr>
                    <w:t>5.</w:t>
                  </w:r>
                  <w:r>
                    <w:rPr>
                      <w:sz w:val="21"/>
                    </w:rPr>
                    <w:t>采集到体征数据后，点击设备上的“保存”按钮，数据被自动上传到体温单及相关系统。</w:t>
                  </w:r>
                </w:p>
                <w:p>
                  <w:pPr>
                    <w:pStyle w:val="null3"/>
                    <w:jc w:val="both"/>
                  </w:pPr>
                  <w:r>
                    <w:rPr>
                      <w:sz w:val="21"/>
                    </w:rPr>
                    <w:t>6.</w:t>
                  </w:r>
                  <w:r>
                    <w:rPr>
                      <w:sz w:val="21"/>
                    </w:rPr>
                    <w:t>支持其他手写体征项的录入和上传，如呼吸、尿量、大便次数、小便、疼痛、心率等。</w:t>
                  </w:r>
                </w:p>
                <w:p>
                  <w:pPr>
                    <w:pStyle w:val="null3"/>
                    <w:jc w:val="both"/>
                  </w:pPr>
                  <w:r>
                    <w:rPr>
                      <w:sz w:val="21"/>
                    </w:rPr>
                    <w:t>7.</w:t>
                  </w:r>
                  <w:r>
                    <w:rPr>
                      <w:sz w:val="21"/>
                    </w:rPr>
                    <w:t>同一时间支持多次重采和上传。</w:t>
                  </w:r>
                </w:p>
                <w:p>
                  <w:pPr>
                    <w:pStyle w:val="null3"/>
                    <w:jc w:val="both"/>
                  </w:pPr>
                  <w:r>
                    <w:rPr>
                      <w:sz w:val="21"/>
                    </w:rPr>
                    <w:t>8.</w:t>
                  </w:r>
                  <w:r>
                    <w:rPr>
                      <w:sz w:val="21"/>
                    </w:rPr>
                    <w:t>体征采集设备支持多组测量结果自由选择生成，或者选择删除。</w:t>
                  </w:r>
                </w:p>
                <w:p>
                  <w:pPr>
                    <w:pStyle w:val="null3"/>
                    <w:jc w:val="both"/>
                  </w:pPr>
                  <w:r>
                    <w:rPr>
                      <w:sz w:val="21"/>
                    </w:rPr>
                    <w:t>9.</w:t>
                  </w:r>
                  <w:r>
                    <w:rPr>
                      <w:sz w:val="21"/>
                    </w:rPr>
                    <w:t>体征采集设备支持数据管理界面：自由选择测量数据，一键上传，一键导出数据，或者一键删除。</w:t>
                  </w:r>
                </w:p>
              </w:tc>
            </w:tr>
            <w:tr>
              <w:tc>
                <w:tcPr>
                  <w:tcW w:type="dxa" w:w="1866"/>
                  <w:vMerge/>
                  <w:tcBorders>
                    <w:top w:val="none" w:color="000000" w:sz="4"/>
                    <w:left w:val="single" w:color="000000" w:sz="8"/>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病人同步</w:t>
                  </w:r>
                </w:p>
              </w:tc>
              <w:tc>
                <w:tcPr>
                  <w:tcW w:type="dxa" w:w="1866"/>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both"/>
                  </w:pPr>
                  <w:r>
                    <w:rPr>
                      <w:sz w:val="21"/>
                    </w:rPr>
                    <w:t>支持网络查询病人信息,监测仪可通过手动输入病历号或扫描病人条形码向服务器查询病人信息。</w:t>
                  </w:r>
                </w:p>
              </w:tc>
            </w:tr>
            <w:tr>
              <w:tc>
                <w:tcPr>
                  <w:tcW w:type="dxa" w:w="1866"/>
                  <w:vMerge/>
                  <w:tcBorders>
                    <w:top w:val="none" w:color="000000" w:sz="4"/>
                    <w:left w:val="single" w:color="000000" w:sz="8"/>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操作者同步</w:t>
                  </w:r>
                </w:p>
              </w:tc>
              <w:tc>
                <w:tcPr>
                  <w:tcW w:type="dxa" w:w="1866"/>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both"/>
                  </w:pPr>
                  <w:r>
                    <w:rPr>
                      <w:sz w:val="21"/>
                    </w:rPr>
                    <w:t>通过移动护理PDA扫描设备二维码绑定操作者信息。</w:t>
                  </w:r>
                </w:p>
              </w:tc>
            </w:tr>
            <w:tr>
              <w:tc>
                <w:tcPr>
                  <w:tcW w:type="dxa" w:w="1866"/>
                  <w:vMerge/>
                  <w:tcBorders>
                    <w:top w:val="none" w:color="000000" w:sz="4"/>
                    <w:left w:val="single" w:color="000000" w:sz="8"/>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体征数据自动上传</w:t>
                  </w:r>
                </w:p>
              </w:tc>
              <w:tc>
                <w:tcPr>
                  <w:tcW w:type="dxa" w:w="1866"/>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both"/>
                  </w:pPr>
                  <w:r>
                    <w:rPr>
                      <w:sz w:val="21"/>
                    </w:rPr>
                    <w:t>保存后，该患者的体征测量或录入数据自动上传到系统。</w:t>
                  </w:r>
                </w:p>
              </w:tc>
            </w:tr>
            <w:tr>
              <w:tc>
                <w:tcPr>
                  <w:tcW w:type="dxa" w:w="1866"/>
                  <w:vMerge/>
                  <w:tcBorders>
                    <w:top w:val="none" w:color="000000" w:sz="4"/>
                    <w:left w:val="single" w:color="000000" w:sz="8"/>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体征测量数据查看</w:t>
                  </w:r>
                </w:p>
              </w:tc>
              <w:tc>
                <w:tcPr>
                  <w:tcW w:type="dxa" w:w="1866"/>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both"/>
                  </w:pPr>
                  <w:r>
                    <w:rPr>
                      <w:sz w:val="21"/>
                    </w:rPr>
                    <w:t>1.</w:t>
                  </w:r>
                  <w:r>
                    <w:rPr>
                      <w:sz w:val="21"/>
                    </w:rPr>
                    <w:t>支持根据各种过滤条件查看已经采集的体征测量数据。</w:t>
                  </w:r>
                </w:p>
                <w:p>
                  <w:pPr>
                    <w:pStyle w:val="null3"/>
                    <w:jc w:val="both"/>
                  </w:pPr>
                  <w:r>
                    <w:rPr>
                      <w:sz w:val="21"/>
                    </w:rPr>
                    <w:t>2.</w:t>
                  </w:r>
                  <w:r>
                    <w:rPr>
                      <w:sz w:val="21"/>
                    </w:rPr>
                    <w:t>同一时间点有多个体征测量值的单元格，有角标标记。</w:t>
                  </w:r>
                </w:p>
              </w:tc>
            </w:tr>
            <w:tr>
              <w:tc>
                <w:tcPr>
                  <w:tcW w:type="dxa" w:w="1866"/>
                  <w:vMerge/>
                  <w:tcBorders>
                    <w:top w:val="none" w:color="000000" w:sz="4"/>
                    <w:left w:val="single" w:color="000000" w:sz="8"/>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体征数据修改</w:t>
                  </w:r>
                </w:p>
              </w:tc>
              <w:tc>
                <w:tcPr>
                  <w:tcW w:type="dxa" w:w="1866"/>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both"/>
                  </w:pPr>
                  <w:r>
                    <w:rPr>
                      <w:sz w:val="21"/>
                    </w:rPr>
                    <w:t>1.</w:t>
                  </w:r>
                  <w:r>
                    <w:rPr>
                      <w:sz w:val="21"/>
                    </w:rPr>
                    <w:t>支持修改体征测量数据。</w:t>
                  </w:r>
                </w:p>
                <w:p>
                  <w:pPr>
                    <w:pStyle w:val="null3"/>
                    <w:jc w:val="both"/>
                  </w:pPr>
                  <w:r>
                    <w:rPr>
                      <w:sz w:val="21"/>
                    </w:rPr>
                    <w:t>2.</w:t>
                  </w:r>
                  <w:r>
                    <w:rPr>
                      <w:sz w:val="21"/>
                    </w:rPr>
                    <w:t>支持手动输入体征数据。</w:t>
                  </w:r>
                </w:p>
                <w:p>
                  <w:pPr>
                    <w:pStyle w:val="null3"/>
                    <w:jc w:val="both"/>
                  </w:pPr>
                  <w:r>
                    <w:rPr>
                      <w:sz w:val="21"/>
                    </w:rPr>
                    <w:t>3.</w:t>
                  </w:r>
                  <w:r>
                    <w:rPr>
                      <w:sz w:val="21"/>
                    </w:rPr>
                    <w:t>可通过光标上下左右切换单元格。</w:t>
                  </w:r>
                </w:p>
                <w:p>
                  <w:pPr>
                    <w:pStyle w:val="null3"/>
                    <w:jc w:val="both"/>
                  </w:pPr>
                  <w:r>
                    <w:rPr>
                      <w:sz w:val="21"/>
                    </w:rPr>
                    <w:t>4.</w:t>
                  </w:r>
                  <w:r>
                    <w:rPr>
                      <w:sz w:val="21"/>
                    </w:rPr>
                    <w:t>单元格输入体征值，离开单元格，体征值即被保存。</w:t>
                  </w:r>
                </w:p>
              </w:tc>
            </w:tr>
            <w:tr>
              <w:tc>
                <w:tcPr>
                  <w:tcW w:type="dxa" w:w="1866"/>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both"/>
                  </w:pPr>
                  <w:r>
                    <w:rPr>
                      <w:sz w:val="21"/>
                    </w:rPr>
                    <w:t>体征总表</w:t>
                  </w:r>
                </w:p>
              </w:tc>
              <w:tc>
                <w:tcPr>
                  <w:tcW w:type="dxa" w:w="1866"/>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both"/>
                  </w:pPr>
                  <w:r>
                    <w:rPr>
                      <w:sz w:val="21"/>
                    </w:rPr>
                    <w:t>体征采集记录查看</w:t>
                  </w:r>
                </w:p>
              </w:tc>
              <w:tc>
                <w:tcPr>
                  <w:tcW w:type="dxa" w:w="1866"/>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both"/>
                  </w:pPr>
                  <w:r>
                    <w:rPr>
                      <w:sz w:val="21"/>
                    </w:rPr>
                    <w:t>1.</w:t>
                  </w:r>
                  <w:r>
                    <w:rPr>
                      <w:sz w:val="21"/>
                    </w:rPr>
                    <w:t>体征总表记录所有设备采集或手动录入的常规体征项（4小时和12小时制体征）以及其他体征（24小时制体征），显示采集时间，采集方式等。</w:t>
                  </w:r>
                </w:p>
                <w:p>
                  <w:pPr>
                    <w:pStyle w:val="null3"/>
                    <w:jc w:val="both"/>
                  </w:pPr>
                  <w:r>
                    <w:rPr>
                      <w:sz w:val="21"/>
                    </w:rPr>
                    <w:t>2.</w:t>
                  </w:r>
                  <w:r>
                    <w:rPr>
                      <w:sz w:val="21"/>
                    </w:rPr>
                    <w:t>支持根据床号查看体征采集记录。</w:t>
                  </w:r>
                </w:p>
                <w:p>
                  <w:pPr>
                    <w:pStyle w:val="null3"/>
                    <w:jc w:val="both"/>
                  </w:pPr>
                  <w:r>
                    <w:rPr>
                      <w:sz w:val="21"/>
                    </w:rPr>
                    <w:t>3.</w:t>
                  </w:r>
                  <w:r>
                    <w:rPr>
                      <w:sz w:val="21"/>
                    </w:rPr>
                    <w:t>支持根据患者姓名查看体征采集记录。</w:t>
                  </w:r>
                </w:p>
                <w:p>
                  <w:pPr>
                    <w:pStyle w:val="null3"/>
                    <w:jc w:val="both"/>
                  </w:pPr>
                  <w:r>
                    <w:rPr>
                      <w:sz w:val="21"/>
                    </w:rPr>
                    <w:t>4.</w:t>
                  </w:r>
                  <w:r>
                    <w:rPr>
                      <w:sz w:val="21"/>
                    </w:rPr>
                    <w:t>支持根据患者住院号查看体征采集记录。</w:t>
                  </w:r>
                </w:p>
                <w:p>
                  <w:pPr>
                    <w:pStyle w:val="null3"/>
                    <w:jc w:val="both"/>
                  </w:pPr>
                  <w:r>
                    <w:rPr>
                      <w:sz w:val="21"/>
                    </w:rPr>
                    <w:t>5.</w:t>
                  </w:r>
                  <w:r>
                    <w:rPr>
                      <w:sz w:val="21"/>
                    </w:rPr>
                    <w:t>支持根据采集日期查看体征采集记录。</w:t>
                  </w:r>
                </w:p>
                <w:p>
                  <w:pPr>
                    <w:pStyle w:val="null3"/>
                    <w:jc w:val="both"/>
                  </w:pPr>
                  <w:r>
                    <w:rPr>
                      <w:sz w:val="21"/>
                    </w:rPr>
                    <w:t>6.</w:t>
                  </w:r>
                  <w:r>
                    <w:rPr>
                      <w:sz w:val="21"/>
                    </w:rPr>
                    <w:t>支持根据采集时间点查看体征采集记录。</w:t>
                  </w:r>
                </w:p>
                <w:p>
                  <w:pPr>
                    <w:pStyle w:val="null3"/>
                    <w:jc w:val="both"/>
                  </w:pPr>
                  <w:r>
                    <w:rPr>
                      <w:sz w:val="21"/>
                    </w:rPr>
                    <w:t>7.</w:t>
                  </w:r>
                  <w:r>
                    <w:rPr>
                      <w:sz w:val="21"/>
                    </w:rPr>
                    <w:t>支持根据采集方式查看体征采集记录。</w:t>
                  </w:r>
                </w:p>
                <w:p>
                  <w:pPr>
                    <w:pStyle w:val="null3"/>
                    <w:jc w:val="both"/>
                  </w:pPr>
                  <w:r>
                    <w:rPr>
                      <w:sz w:val="21"/>
                    </w:rPr>
                    <w:t>8.</w:t>
                  </w:r>
                  <w:r>
                    <w:rPr>
                      <w:sz w:val="21"/>
                    </w:rPr>
                    <w:t>体征采集记录根据床号顺序以采集时间点倒叙排列。</w:t>
                  </w:r>
                </w:p>
                <w:p>
                  <w:pPr>
                    <w:pStyle w:val="null3"/>
                    <w:jc w:val="both"/>
                  </w:pPr>
                  <w:r>
                    <w:rPr>
                      <w:sz w:val="21"/>
                    </w:rPr>
                    <w:t>9.</w:t>
                  </w:r>
                  <w:r>
                    <w:rPr>
                      <w:sz w:val="21"/>
                    </w:rPr>
                    <w:t>支持数据打印。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体征监测终端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b/>
              </w:rPr>
              <w:t>体征监测终端：</w:t>
            </w:r>
            <w:r>
              <w:rPr>
                <w:sz w:val="21"/>
                <w:b/>
                <w:color w:val="000000"/>
              </w:rPr>
              <w:t>一</w:t>
            </w:r>
            <w:r>
              <w:rPr>
                <w:sz w:val="21"/>
                <w:b/>
                <w:color w:val="000000"/>
              </w:rPr>
              <w:t>体化快速查房监护仪，不含电池时整机重量≤2.1kg（提供第三方检测机构出具的检测报告复印件或产品说明书或产品彩页，并加盖投标人公章）。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体征监测终端：支持成人、小儿、新生儿无创血压（NIBP）、脉搏氧饱和度（SpO2）、脉率（PR）、体温（TEMP）进行监测</w:t>
            </w:r>
            <w:r>
              <w:rPr>
                <w:sz w:val="21"/>
                <w:color w:val="000000"/>
              </w:rPr>
              <w:t>（提供第三方检测机构出具的检测报告复印件或产品说明书或产品彩页，并加盖投标人公章）</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体征监测终端：</w:t>
            </w:r>
            <w:r>
              <w:rPr>
                <w:sz w:val="21"/>
              </w:rPr>
              <w:t>支持成人、小儿、新生儿的心电（ECG）监测</w:t>
            </w:r>
            <w:r>
              <w:rPr>
                <w:sz w:val="21"/>
                <w:color w:val="000000"/>
              </w:rPr>
              <w:t>（提供第三方检测机构出具的检测报告复印件或产品说明书或产品彩页，并加盖投标人公章）</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t>体征监测终端：</w:t>
            </w:r>
            <w:r>
              <w:rPr>
                <w:sz w:val="21"/>
                <w:color w:val="000000"/>
              </w:rPr>
              <w:t>具有MEWS、EWS、NEWS预警评分系统（提供第三方检测机构出具的检测报告复印件或产品说明书或产品彩页，并加盖投标人公章）；</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体征监测终端：</w:t>
            </w:r>
            <w:r>
              <w:rPr>
                <w:sz w:val="21"/>
                <w:color w:val="000000"/>
              </w:rPr>
              <w:t>具有CCHD筛查功能（提供第三方检测机构出具的检测报告复印件或产品说明书或产品彩页，并加盖投标人公章）；</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t>体征监测终端：</w:t>
            </w:r>
            <w:r>
              <w:rPr>
                <w:sz w:val="21"/>
                <w:color w:val="000000"/>
              </w:rPr>
              <w:t>支持心电测量功能；支持≥3导心电测量（提供第三方检测机构出具的检测报告复印件或产品说明书或产品彩页，并加盖投标人公章）；</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t>体征监测终端：</w:t>
            </w:r>
            <w:r>
              <w:rPr>
                <w:sz w:val="21"/>
                <w:color w:val="000000"/>
              </w:rPr>
              <w:t>支持≥26种心律失常分析功能（提供第三方检测机构出具的检测报告复印件或产品说明书或产品彩页，并加盖投标人公章）；</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t>体征监测终端：</w:t>
            </w:r>
            <w:r>
              <w:rPr>
                <w:sz w:val="21"/>
                <w:color w:val="000000"/>
              </w:rPr>
              <w:t>支持ST段分析功能（提供第三方检测机构出具的检测报告复印件或产品说明书或产品彩页，并加盖投标人公章）；</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b/>
              </w:rPr>
              <w:t>体征监测终端：</w:t>
            </w:r>
            <w:r>
              <w:rPr>
                <w:sz w:val="21"/>
                <w:b/>
                <w:color w:val="000000"/>
              </w:rPr>
              <w:t>所</w:t>
            </w:r>
            <w:r>
              <w:rPr>
                <w:sz w:val="21"/>
                <w:b/>
                <w:color w:val="000000"/>
              </w:rPr>
              <w:t>投产品具有医疗器械注册证（三类）（提供证书复印件，并加盖投标人公章）</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color w:val="000000"/>
              </w:rPr>
              <w:t>红外耳式体温计：</w:t>
            </w:r>
            <w:r>
              <w:rPr>
                <w:sz w:val="21"/>
                <w:color w:val="000000"/>
              </w:rPr>
              <w:t>温度测量误差：±0.2℃(±0.4°℉)(35.0℃-42.0℃范围内），超出范围部分误差±0.3℃(±0.5℉)：变化环境条件下，温度计的测量误差为±0.2℃(±0.4°℉)(35.0℃-42.0℃范围内）。（提供第三方检测机构出具的检测报告复印件或产品说明书或产品彩页，并加盖投标人公章）</w:t>
            </w:r>
          </w:p>
        </w:tc>
      </w:tr>
      <w:tr>
        <w:tc>
          <w:tcPr>
            <w:tcW w:type="dxa" w:w="2076"/>
          </w:tcPr>
          <w:p>
            <w:pPr>
              <w:pStyle w:val="null3"/>
            </w:pPr>
            <w:r>
              <w:rPr/>
              <w:t>▲</w:t>
            </w:r>
          </w:p>
        </w:tc>
        <w:tc>
          <w:tcPr>
            <w:tcW w:type="dxa" w:w="415"/>
          </w:tcPr>
          <w:p>
            <w:pPr>
              <w:pStyle w:val="null3"/>
            </w:pPr>
            <w:r>
              <w:rPr/>
              <w:t>11</w:t>
            </w:r>
          </w:p>
        </w:tc>
        <w:tc>
          <w:tcPr>
            <w:tcW w:type="dxa" w:w="5814"/>
          </w:tcPr>
          <w:tbl>
            <w:tblGrid>
              <w:gridCol w:w="5598"/>
            </w:tblGrid>
            <w:tr>
              <w:tc>
                <w:tcPr>
                  <w:tcW w:type="dxa" w:w="5598"/>
                  <w:tcMar>
                    <w:top w:type="dxa" w:w="0"/>
                    <w:left w:type="dxa" w:w="180"/>
                    <w:bottom w:type="dxa" w:w="0"/>
                    <w:right w:type="dxa" w:w="180"/>
                  </w:tcMar>
                  <w:vAlign w:val="top"/>
                </w:tcPr>
                <w:p>
                  <w:pPr>
                    <w:pStyle w:val="null3"/>
                    <w:jc w:val="both"/>
                  </w:pPr>
                  <w:r>
                    <w:rPr>
                      <w:sz w:val="21"/>
                      <w:color w:val="000000"/>
                    </w:rPr>
                    <w:t>红外耳式体温计：</w:t>
                  </w:r>
                </w:p>
                <w:p>
                  <w:pPr>
                    <w:pStyle w:val="null3"/>
                    <w:jc w:val="both"/>
                  </w:pPr>
                  <w:r>
                    <w:rPr>
                      <w:sz w:val="21"/>
                      <w:color w:val="000000"/>
                    </w:rPr>
                    <w:t>提示／报警功能：</w:t>
                  </w:r>
                </w:p>
                <w:p>
                  <w:pPr>
                    <w:pStyle w:val="null3"/>
                    <w:jc w:val="both"/>
                  </w:pPr>
                  <w:r>
                    <w:rPr>
                      <w:sz w:val="21"/>
                      <w:color w:val="000000"/>
                    </w:rPr>
                    <w:t>（1）</w:t>
                  </w:r>
                  <w:r>
                    <w:rPr>
                      <w:sz w:val="21"/>
                      <w:color w:val="000000"/>
                    </w:rPr>
                    <w:t>电池电压不足（低于2.3V）时，耳式体温计显示屏上电池符号闪烁，提示电量不足，并且1分钟后自动关机，不再进行测量；</w:t>
                  </w:r>
                </w:p>
                <w:p>
                  <w:pPr>
                    <w:pStyle w:val="null3"/>
                    <w:jc w:val="both"/>
                  </w:pPr>
                  <w:r>
                    <w:rPr>
                      <w:sz w:val="21"/>
                      <w:color w:val="000000"/>
                    </w:rPr>
                    <w:t>（2）显示范围超过34C~42.2℃(93.2℉~108°℉）规定时，耳式体温计提示超界信号；</w:t>
                  </w:r>
                </w:p>
                <w:p>
                  <w:pPr>
                    <w:pStyle w:val="null3"/>
                    <w:jc w:val="both"/>
                  </w:pPr>
                  <w:r>
                    <w:rPr>
                      <w:sz w:val="21"/>
                      <w:color w:val="000000"/>
                    </w:rPr>
                    <w:t>（3）</w:t>
                  </w:r>
                  <w:r>
                    <w:rPr>
                      <w:sz w:val="21"/>
                      <w:color w:val="000000"/>
                    </w:rPr>
                    <w:t>环境温度超过15℃~36℃要求时，耳式体温计提示环境温度超界信号。</w:t>
                  </w:r>
                </w:p>
              </w:tc>
            </w:tr>
          </w:tbl>
          <w:p/>
        </w:tc>
      </w:tr>
      <w:tr>
        <w:tc>
          <w:tcPr>
            <w:tcW w:type="dxa" w:w="2076"/>
          </w:tcPr>
          <w:p>
            <w:pPr>
              <w:pStyle w:val="null3"/>
            </w:pPr>
            <w:r>
              <w:rPr/>
              <w:t>▲</w:t>
            </w:r>
          </w:p>
        </w:tc>
        <w:tc>
          <w:tcPr>
            <w:tcW w:type="dxa" w:w="415"/>
          </w:tcPr>
          <w:p>
            <w:pPr>
              <w:pStyle w:val="null3"/>
            </w:pPr>
            <w:r>
              <w:rPr/>
              <w:t>12</w:t>
            </w:r>
          </w:p>
        </w:tc>
        <w:tc>
          <w:tcPr>
            <w:tcW w:type="dxa" w:w="5814"/>
          </w:tcPr>
          <w:p>
            <w:pPr>
              <w:pStyle w:val="null3"/>
            </w:pPr>
            <w:r>
              <w:rPr>
                <w:sz w:val="21"/>
                <w:color w:val="000000"/>
              </w:rPr>
              <w:t>红外耳式体温计：</w:t>
            </w:r>
            <w:r>
              <w:rPr>
                <w:sz w:val="21"/>
                <w:color w:val="000000"/>
              </w:rPr>
              <w:t>测量时间：耳式体温计从按操作开关开始到测定结束的时间在4秒内（提供第三方检测机构出具的检测报告复印件或产品说明书或产品彩页，并加盖投标人公章）。</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sz w:val="21"/>
                <w:color w:val="000000"/>
              </w:rPr>
              <w:t>红外耳式体温计：</w:t>
            </w:r>
            <w:r>
              <w:rPr>
                <w:sz w:val="21"/>
                <w:color w:val="000000"/>
              </w:rPr>
              <w:t>无线连接：耳式体温计应能与可兼容的仪器进行普通 2.4GHz 的无线连接，仪器与耳温计正常通信的最大距离不小于10m，连接成功后仪器可显示耳温计所测的体温（提供第三方检测机构出具的检测报告复印件或产品说明书或产品彩页，并加盖投标人公章）。</w:t>
            </w:r>
          </w:p>
        </w:tc>
      </w:tr>
      <w:tr>
        <w:tc>
          <w:tcPr>
            <w:tcW w:type="dxa" w:w="2076"/>
          </w:tcPr>
          <w:p/>
        </w:tc>
        <w:tc>
          <w:tcPr>
            <w:tcW w:type="dxa" w:w="415"/>
          </w:tcPr>
          <w:p>
            <w:pPr>
              <w:pStyle w:val="null3"/>
            </w:pPr>
            <w:r>
              <w:rPr/>
              <w:t>14</w:t>
            </w:r>
          </w:p>
        </w:tc>
        <w:tc>
          <w:tcPr>
            <w:tcW w:type="dxa" w:w="5814"/>
          </w:tcPr>
          <w:p>
            <w:pPr>
              <w:pStyle w:val="null3"/>
            </w:pPr>
            <w:r>
              <w:rPr/>
              <w:t>体征监测终端：</w:t>
            </w:r>
          </w:p>
          <w:p>
            <w:pPr>
              <w:pStyle w:val="null3"/>
              <w:jc w:val="both"/>
            </w:pPr>
            <w:r>
              <w:rPr>
                <w:sz w:val="21"/>
                <w:color w:val="000000"/>
              </w:rPr>
              <w:t>1.</w:t>
            </w:r>
            <w:r>
              <w:rPr>
                <w:sz w:val="21"/>
                <w:color w:val="000000"/>
              </w:rPr>
              <w:t>≥8英寸TFT LED背光显示器，分辨率≥800x600，标配触摸屏；</w:t>
            </w:r>
          </w:p>
          <w:p>
            <w:pPr>
              <w:pStyle w:val="null3"/>
              <w:jc w:val="both"/>
            </w:pPr>
            <w:r>
              <w:rPr>
                <w:sz w:val="21"/>
                <w:color w:val="000000"/>
              </w:rPr>
              <w:t>2.</w:t>
            </w:r>
            <w:r>
              <w:rPr>
                <w:sz w:val="21"/>
                <w:color w:val="000000"/>
              </w:rPr>
              <w:t>显示屏为电容屏非电阻屏；</w:t>
            </w:r>
          </w:p>
          <w:p>
            <w:pPr>
              <w:pStyle w:val="null3"/>
              <w:jc w:val="both"/>
            </w:pPr>
            <w:r>
              <w:rPr>
                <w:sz w:val="21"/>
                <w:color w:val="000000"/>
              </w:rPr>
              <w:t>3.</w:t>
            </w:r>
            <w:r>
              <w:rPr>
                <w:sz w:val="21"/>
                <w:color w:val="000000"/>
              </w:rPr>
              <w:t>具有双报警灯，分为生理报警灯和技术报警灯，方便观察；</w:t>
            </w:r>
          </w:p>
          <w:p>
            <w:pPr>
              <w:pStyle w:val="null3"/>
              <w:jc w:val="both"/>
            </w:pPr>
            <w:r>
              <w:rPr>
                <w:sz w:val="21"/>
                <w:color w:val="000000"/>
              </w:rPr>
              <w:t>4.</w:t>
            </w:r>
            <w:r>
              <w:rPr>
                <w:sz w:val="21"/>
                <w:color w:val="000000"/>
              </w:rPr>
              <w:t>具有数据掉电存储功能：掉电存储≥160小时趋势图表、≥2000组血压列表，≥48小时波形回放；</w:t>
            </w:r>
          </w:p>
          <w:p>
            <w:pPr>
              <w:pStyle w:val="null3"/>
              <w:jc w:val="both"/>
            </w:pPr>
            <w:r>
              <w:rPr>
                <w:sz w:val="21"/>
                <w:color w:val="000000"/>
              </w:rPr>
              <w:t>5.</w:t>
            </w:r>
            <w:r>
              <w:rPr>
                <w:sz w:val="21"/>
                <w:color w:val="000000"/>
              </w:rPr>
              <w:t>无线连接，与红外耳温计无线连接，监护仪上可同步显示耳温计所测体温数值；</w:t>
            </w:r>
          </w:p>
          <w:p>
            <w:pPr>
              <w:pStyle w:val="null3"/>
              <w:jc w:val="both"/>
            </w:pPr>
            <w:r>
              <w:rPr>
                <w:sz w:val="21"/>
                <w:color w:val="000000"/>
              </w:rPr>
              <w:t>6.</w:t>
            </w:r>
            <w:r>
              <w:rPr>
                <w:sz w:val="21"/>
                <w:color w:val="000000"/>
              </w:rPr>
              <w:t>血氧：可选全球金标准的Masimo血氧，测量范围为1％～100％；在70％～100％范围内，成人/儿童测量精度为±2％（非运动状态下）、±3％（运动状态下），新生儿为±3％（非运动状态和运动状态下）；</w:t>
            </w:r>
          </w:p>
          <w:p>
            <w:pPr>
              <w:pStyle w:val="null3"/>
              <w:jc w:val="both"/>
            </w:pPr>
            <w:r>
              <w:rPr>
                <w:sz w:val="21"/>
                <w:color w:val="000000"/>
              </w:rPr>
              <w:t>7.</w:t>
            </w:r>
            <w:r>
              <w:rPr>
                <w:sz w:val="21"/>
                <w:color w:val="000000"/>
              </w:rPr>
              <w:t>具有点测界面、常规界面切换；</w:t>
            </w:r>
          </w:p>
          <w:p>
            <w:pPr>
              <w:pStyle w:val="null3"/>
              <w:ind w:left="420"/>
              <w:jc w:val="both"/>
            </w:pPr>
            <w:r>
              <w:rPr>
                <w:sz w:val="21"/>
                <w:color w:val="000000"/>
              </w:rPr>
              <w:t>8.</w:t>
            </w:r>
            <w:r>
              <w:rPr>
                <w:sz w:val="21"/>
                <w:color w:val="000000"/>
              </w:rPr>
              <w:t>具有药物计算、血液动力学计算、通气计算、氧合计算、肾功能计算；</w:t>
            </w:r>
          </w:p>
          <w:p>
            <w:pPr>
              <w:pStyle w:val="null3"/>
              <w:jc w:val="both"/>
            </w:pPr>
            <w:r>
              <w:rPr>
                <w:sz w:val="21"/>
                <w:color w:val="000000"/>
              </w:rPr>
              <w:t>9.NIBP</w:t>
            </w:r>
            <w:r>
              <w:rPr>
                <w:sz w:val="21"/>
                <w:color w:val="000000"/>
              </w:rPr>
              <w:t>静态压力测量范围：0-300mmHg，精度±3mmHg；</w:t>
            </w:r>
          </w:p>
          <w:p>
            <w:pPr>
              <w:pStyle w:val="null3"/>
              <w:jc w:val="both"/>
            </w:pPr>
            <w:r>
              <w:rPr>
                <w:sz w:val="21"/>
                <w:color w:val="000000"/>
              </w:rPr>
              <w:t>10.NIBP</w:t>
            </w:r>
            <w:r>
              <w:rPr>
                <w:sz w:val="21"/>
                <w:color w:val="000000"/>
              </w:rPr>
              <w:t>具有手动、自动、连续测量模式；</w:t>
            </w:r>
          </w:p>
          <w:p>
            <w:pPr>
              <w:pStyle w:val="null3"/>
              <w:ind w:left="420"/>
              <w:jc w:val="both"/>
            </w:pPr>
            <w:r>
              <w:rPr>
                <w:sz w:val="21"/>
                <w:color w:val="000000"/>
              </w:rPr>
              <w:t>11.NIBP</w:t>
            </w:r>
            <w:r>
              <w:rPr>
                <w:sz w:val="21"/>
                <w:color w:val="000000"/>
              </w:rPr>
              <w:t>具有整点测量功能，更符合临床记录习惯，提高护理效率；</w:t>
            </w:r>
          </w:p>
          <w:p>
            <w:pPr>
              <w:pStyle w:val="null3"/>
              <w:jc w:val="both"/>
            </w:pPr>
            <w:r>
              <w:rPr>
                <w:sz w:val="21"/>
                <w:color w:val="000000"/>
              </w:rPr>
              <w:t>12.</w:t>
            </w:r>
            <w:r>
              <w:rPr>
                <w:sz w:val="21"/>
                <w:color w:val="000000"/>
              </w:rPr>
              <w:t>具有辅助静脉穿刺功能；</w:t>
            </w:r>
          </w:p>
          <w:p>
            <w:pPr>
              <w:pStyle w:val="null3"/>
              <w:jc w:val="both"/>
            </w:pPr>
            <w:r>
              <w:rPr>
                <w:sz w:val="21"/>
                <w:color w:val="000000"/>
              </w:rPr>
              <w:t>13.</w:t>
            </w:r>
            <w:r>
              <w:rPr>
                <w:sz w:val="21"/>
                <w:color w:val="000000"/>
              </w:rPr>
              <w:t>具有冻结回放查询，打印功能；</w:t>
            </w:r>
          </w:p>
          <w:p>
            <w:pPr>
              <w:pStyle w:val="null3"/>
              <w:jc w:val="both"/>
            </w:pPr>
            <w:r>
              <w:rPr>
                <w:sz w:val="21"/>
                <w:color w:val="000000"/>
              </w:rPr>
              <w:t>14.</w:t>
            </w:r>
            <w:r>
              <w:rPr>
                <w:sz w:val="21"/>
                <w:color w:val="000000"/>
              </w:rPr>
              <w:t>内置记录仪功能，至少可记录2道波形，记录波形可选；</w:t>
            </w:r>
          </w:p>
          <w:p>
            <w:pPr>
              <w:pStyle w:val="null3"/>
              <w:jc w:val="both"/>
            </w:pPr>
            <w:r>
              <w:rPr>
                <w:sz w:val="21"/>
                <w:color w:val="000000"/>
              </w:rPr>
              <w:t>15.</w:t>
            </w:r>
            <w:r>
              <w:rPr>
                <w:sz w:val="21"/>
                <w:color w:val="000000"/>
              </w:rPr>
              <w:t>能通过USB导出病人病例到工作站上进行打印和分析；</w:t>
            </w:r>
          </w:p>
          <w:p>
            <w:pPr>
              <w:pStyle w:val="null3"/>
              <w:jc w:val="both"/>
            </w:pPr>
            <w:r>
              <w:rPr>
                <w:sz w:val="21"/>
                <w:color w:val="000000"/>
              </w:rPr>
              <w:t>16.</w:t>
            </w:r>
            <w:r>
              <w:rPr>
                <w:sz w:val="21"/>
                <w:color w:val="000000"/>
              </w:rPr>
              <w:t>内置锂电池，工作时长大于8小时；</w:t>
            </w:r>
          </w:p>
          <w:p>
            <w:pPr>
              <w:pStyle w:val="null3"/>
              <w:jc w:val="both"/>
            </w:pPr>
            <w:r>
              <w:rPr>
                <w:sz w:val="21"/>
                <w:color w:val="000000"/>
              </w:rPr>
              <w:t>17.</w:t>
            </w:r>
            <w:r>
              <w:rPr>
                <w:sz w:val="21"/>
                <w:color w:val="000000"/>
              </w:rPr>
              <w:t>支持USB接口连接条形码扫描器；</w:t>
            </w:r>
          </w:p>
          <w:p>
            <w:pPr>
              <w:pStyle w:val="null3"/>
            </w:pPr>
            <w:r>
              <w:rPr>
                <w:sz w:val="21"/>
                <w:color w:val="000000"/>
              </w:rPr>
              <w:t>18.</w:t>
            </w:r>
            <w:r>
              <w:rPr>
                <w:sz w:val="21"/>
                <w:color w:val="000000"/>
              </w:rPr>
              <w:t>支持扫码枪连接，读取数据；</w:t>
            </w:r>
          </w:p>
          <w:tbl>
            <w:tblGrid>
              <w:gridCol w:w="5598"/>
            </w:tblGrid>
            <w:tr>
              <w:tc>
                <w:tcPr>
                  <w:tcW w:type="dxa" w:w="5598"/>
                  <w:tcMar>
                    <w:top w:type="dxa" w:w="0"/>
                    <w:left w:type="dxa" w:w="180"/>
                    <w:bottom w:type="dxa" w:w="0"/>
                    <w:right w:type="dxa" w:w="180"/>
                  </w:tcMar>
                  <w:vAlign w:val="top"/>
                </w:tcPr>
                <w:p>
                  <w:pPr>
                    <w:pStyle w:val="null3"/>
                  </w:pPr>
                  <w:r>
                    <w:rPr/>
                    <w:t xml:space="preserve"> </w:t>
                  </w:r>
                </w:p>
              </w:tc>
            </w:tr>
          </w:tbl>
          <w:p/>
        </w:tc>
      </w:tr>
      <w:tr>
        <w:tc>
          <w:tcPr>
            <w:tcW w:type="dxa" w:w="2076"/>
          </w:tcPr>
          <w:p/>
        </w:tc>
        <w:tc>
          <w:tcPr>
            <w:tcW w:type="dxa" w:w="415"/>
          </w:tcPr>
          <w:p>
            <w:pPr>
              <w:pStyle w:val="null3"/>
            </w:pPr>
            <w:r>
              <w:rPr/>
              <w:t>15</w:t>
            </w:r>
          </w:p>
        </w:tc>
        <w:tc>
          <w:tcPr>
            <w:tcW w:type="dxa" w:w="5814"/>
          </w:tcPr>
          <w:p>
            <w:pPr>
              <w:pStyle w:val="null3"/>
            </w:pPr>
            <w:r>
              <w:rPr>
                <w:sz w:val="21"/>
                <w:color w:val="000000"/>
              </w:rPr>
              <w:t>红外耳式体温计：</w:t>
            </w:r>
          </w:p>
          <w:tbl>
            <w:tblGrid>
              <w:gridCol w:w="5598"/>
            </w:tblGrid>
            <w:tr>
              <w:tc>
                <w:tcPr>
                  <w:tcW w:type="dxa" w:w="5598"/>
                  <w:tcMar>
                    <w:top w:type="dxa" w:w="0"/>
                    <w:left w:type="dxa" w:w="180"/>
                    <w:bottom w:type="dxa" w:w="0"/>
                    <w:right w:type="dxa" w:w="180"/>
                  </w:tcMar>
                  <w:vAlign w:val="top"/>
                </w:tcPr>
                <w:p>
                  <w:pPr>
                    <w:pStyle w:val="null3"/>
                    <w:jc w:val="both"/>
                  </w:pPr>
                  <w:r>
                    <w:rPr>
                      <w:sz w:val="21"/>
                      <w:color w:val="000000"/>
                    </w:rPr>
                    <w:t>1.</w:t>
                  </w:r>
                  <w:r>
                    <w:rPr>
                      <w:sz w:val="21"/>
                      <w:color w:val="000000"/>
                    </w:rPr>
                    <w:t>工作环境：</w:t>
                  </w:r>
                </w:p>
                <w:p>
                  <w:pPr>
                    <w:pStyle w:val="null3"/>
                    <w:jc w:val="both"/>
                  </w:pPr>
                  <w:r>
                    <w:rPr>
                      <w:sz w:val="21"/>
                      <w:color w:val="000000"/>
                    </w:rPr>
                    <w:t>（1）环境温度：15℃-36℃</w:t>
                  </w:r>
                </w:p>
                <w:p>
                  <w:pPr>
                    <w:pStyle w:val="null3"/>
                    <w:jc w:val="both"/>
                  </w:pPr>
                  <w:r>
                    <w:rPr>
                      <w:sz w:val="21"/>
                      <w:color w:val="000000"/>
                    </w:rPr>
                    <w:t>（2）相对湿度：≤85%</w:t>
                  </w:r>
                </w:p>
                <w:p>
                  <w:pPr>
                    <w:pStyle w:val="null3"/>
                    <w:jc w:val="both"/>
                  </w:pPr>
                  <w:r>
                    <w:rPr>
                      <w:sz w:val="21"/>
                      <w:color w:val="000000"/>
                    </w:rPr>
                    <w:t>（3）大气压强：70kPa~106kPa</w:t>
                  </w:r>
                </w:p>
                <w:p>
                  <w:pPr>
                    <w:pStyle w:val="null3"/>
                    <w:jc w:val="both"/>
                  </w:pPr>
                  <w:r>
                    <w:rPr>
                      <w:sz w:val="21"/>
                      <w:color w:val="000000"/>
                    </w:rPr>
                    <w:t>2.</w:t>
                  </w:r>
                  <w:r>
                    <w:rPr>
                      <w:sz w:val="21"/>
                      <w:color w:val="000000"/>
                    </w:rPr>
                    <w:t>存储环境：</w:t>
                  </w:r>
                </w:p>
                <w:p>
                  <w:pPr>
                    <w:pStyle w:val="null3"/>
                    <w:jc w:val="both"/>
                  </w:pPr>
                  <w:r>
                    <w:rPr>
                      <w:sz w:val="21"/>
                      <w:color w:val="000000"/>
                    </w:rPr>
                    <w:t>（1）环境温度：-20℃~55℃</w:t>
                  </w:r>
                </w:p>
                <w:p>
                  <w:pPr>
                    <w:pStyle w:val="null3"/>
                    <w:jc w:val="both"/>
                  </w:pPr>
                  <w:r>
                    <w:rPr>
                      <w:sz w:val="21"/>
                      <w:color w:val="000000"/>
                    </w:rPr>
                    <w:t>（2）相对湿度：≤85%</w:t>
                  </w:r>
                </w:p>
                <w:p>
                  <w:pPr>
                    <w:pStyle w:val="null3"/>
                    <w:jc w:val="both"/>
                  </w:pPr>
                  <w:r>
                    <w:rPr>
                      <w:sz w:val="21"/>
                      <w:color w:val="000000"/>
                    </w:rPr>
                    <w:t>（3）大气压强：70kPa~106kPa</w:t>
                  </w:r>
                </w:p>
                <w:p>
                  <w:pPr>
                    <w:pStyle w:val="null3"/>
                    <w:jc w:val="both"/>
                  </w:pPr>
                  <w:r>
                    <w:rPr>
                      <w:sz w:val="21"/>
                      <w:color w:val="000000"/>
                    </w:rPr>
                    <w:t>3.</w:t>
                  </w:r>
                  <w:r>
                    <w:rPr>
                      <w:sz w:val="21"/>
                      <w:color w:val="000000"/>
                    </w:rPr>
                    <w:t>电池类型：2节3VAAA碱性电池，。</w:t>
                  </w:r>
                </w:p>
                <w:p>
                  <w:pPr>
                    <w:pStyle w:val="null3"/>
                    <w:jc w:val="both"/>
                  </w:pPr>
                  <w:r>
                    <w:rPr>
                      <w:sz w:val="21"/>
                      <w:color w:val="000000"/>
                    </w:rPr>
                    <w:t>4.</w:t>
                  </w:r>
                  <w:r>
                    <w:rPr>
                      <w:sz w:val="21"/>
                      <w:color w:val="000000"/>
                    </w:rPr>
                    <w:t>电池续航时间：全新电池连续工作时间不小于12小时。</w:t>
                  </w:r>
                </w:p>
                <w:p>
                  <w:pPr>
                    <w:pStyle w:val="null3"/>
                    <w:jc w:val="both"/>
                  </w:pPr>
                  <w:r>
                    <w:rPr>
                      <w:sz w:val="21"/>
                      <w:color w:val="000000"/>
                    </w:rPr>
                    <w:t>5.</w:t>
                  </w:r>
                  <w:r>
                    <w:rPr>
                      <w:sz w:val="21"/>
                      <w:color w:val="000000"/>
                    </w:rPr>
                    <w:t>测量范围：34.0℃~42.2℃(93.2℉~108°℉)。</w:t>
                  </w:r>
                </w:p>
                <w:p>
                  <w:pPr>
                    <w:pStyle w:val="null3"/>
                    <w:jc w:val="both"/>
                  </w:pPr>
                  <w:r>
                    <w:rPr>
                      <w:sz w:val="21"/>
                      <w:color w:val="000000"/>
                    </w:rPr>
                    <w:t>6.</w:t>
                  </w:r>
                  <w:r>
                    <w:rPr>
                      <w:sz w:val="21"/>
                      <w:color w:val="000000"/>
                    </w:rPr>
                    <w:t>外形尺寸不大于：长140(mm)x宽65(mm)x高40(mm)。</w:t>
                  </w:r>
                </w:p>
                <w:p>
                  <w:pPr>
                    <w:pStyle w:val="null3"/>
                    <w:jc w:val="both"/>
                  </w:pPr>
                  <w:r>
                    <w:rPr>
                      <w:sz w:val="21"/>
                      <w:color w:val="000000"/>
                    </w:rPr>
                    <w:t>7.</w:t>
                  </w:r>
                  <w:r>
                    <w:rPr>
                      <w:sz w:val="21"/>
                      <w:color w:val="000000"/>
                    </w:rPr>
                    <w:t>整机重量：</w:t>
                  </w:r>
                  <w:r>
                    <w:rPr>
                      <w:sz w:val="21"/>
                    </w:rPr>
                    <w:t>≤</w:t>
                  </w:r>
                  <w:r>
                    <w:rPr>
                      <w:sz w:val="21"/>
                      <w:color w:val="000000"/>
                    </w:rPr>
                    <w:t>85g</w:t>
                  </w:r>
                  <w:r>
                    <w:rPr>
                      <w:sz w:val="21"/>
                      <w:color w:val="000000"/>
                    </w:rPr>
                    <w:t>（含电池）。</w:t>
                  </w:r>
                </w:p>
                <w:p>
                  <w:pPr>
                    <w:pStyle w:val="null3"/>
                    <w:jc w:val="both"/>
                  </w:pPr>
                  <w:r>
                    <w:rPr>
                      <w:sz w:val="21"/>
                      <w:color w:val="000000"/>
                    </w:rPr>
                    <w:t>8.</w:t>
                  </w:r>
                  <w:r>
                    <w:rPr>
                      <w:sz w:val="21"/>
                      <w:color w:val="000000"/>
                    </w:rPr>
                    <w:t>显示：耳式体温计显示器上的数值高度＞4mm。</w:t>
                  </w:r>
                </w:p>
                <w:p>
                  <w:pPr>
                    <w:pStyle w:val="null3"/>
                    <w:jc w:val="both"/>
                  </w:pPr>
                  <w:r>
                    <w:rPr>
                      <w:sz w:val="21"/>
                      <w:color w:val="000000"/>
                    </w:rPr>
                    <w:t>9.</w:t>
                  </w:r>
                  <w:r>
                    <w:rPr>
                      <w:sz w:val="21"/>
                      <w:color w:val="000000"/>
                    </w:rPr>
                    <w:t>自动关机时间：60s±10s。</w:t>
                  </w:r>
                </w:p>
                <w:p>
                  <w:pPr>
                    <w:pStyle w:val="null3"/>
                    <w:jc w:val="both"/>
                  </w:pPr>
                  <w:r>
                    <w:rPr>
                      <w:sz w:val="21"/>
                      <w:color w:val="000000"/>
                    </w:rPr>
                    <w:t>10.</w:t>
                  </w:r>
                  <w:r>
                    <w:rPr>
                      <w:sz w:val="21"/>
                      <w:color w:val="000000"/>
                    </w:rPr>
                    <w:t>应用部分：探头，BF型。</w:t>
                  </w:r>
                </w:p>
                <w:p>
                  <w:pPr>
                    <w:pStyle w:val="null3"/>
                    <w:jc w:val="both"/>
                  </w:pPr>
                  <w:r>
                    <w:rPr>
                      <w:sz w:val="21"/>
                      <w:color w:val="000000"/>
                    </w:rPr>
                    <w:t>11.</w:t>
                  </w:r>
                  <w:r>
                    <w:rPr>
                      <w:sz w:val="21"/>
                      <w:color w:val="000000"/>
                    </w:rPr>
                    <w:t>设备运行方式：连续运行</w:t>
                  </w:r>
                </w:p>
                <w:p>
                  <w:pPr>
                    <w:pStyle w:val="null3"/>
                    <w:jc w:val="both"/>
                  </w:pPr>
                  <w:r>
                    <w:rPr>
                      <w:sz w:val="21"/>
                      <w:color w:val="000000"/>
                    </w:rPr>
                    <w:t>12.</w:t>
                  </w:r>
                  <w:r>
                    <w:rPr>
                      <w:sz w:val="21"/>
                      <w:color w:val="000000"/>
                    </w:rPr>
                    <w:t>测量方式：直接测量</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台车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推车底座可以支撑立杆组件，万向脚轮可以随意移动，刹车可以固定在某一位置（提供产品说明书或产品彩页，并加盖投标人公章）。</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大小立杆组件+托盘组件用于连接推车底座组件，可以调节合适高度可调节高度范围：880-1038mm（台面离地高度）；含托盘组件，托盘组件用于固定机器、可调节机器的可视角度（托盘台面角度调节范围：前后各 8度）。（提供产品说明书或产品彩页，并加盖投标人公章）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以现场开启为准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海东院区智能移动生命监测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采购包1（海东院区智能移动生命监测系统）：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采购包1（海东院区智能移动生命监测系统）：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 a.经会计师事务所审计的2023年度财务状况报告； b.同时提供①基本开户行出具的资信证明，②《基本存款账号信息》或《开户许可证》。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生产/经营许可</w:t>
            </w:r>
          </w:p>
        </w:tc>
        <w:tc>
          <w:tcPr>
            <w:tcW w:type="dxa" w:w="4238"/>
          </w:tcPr>
          <w:p>
            <w:pPr>
              <w:pStyle w:val="null3"/>
            </w:pPr>
            <w:r>
              <w:rPr/>
              <w:t>供应商必须满足以下条件之一： （1）供应商为所投医疗器械生产企业的，须具备药品监督管理部门签发的处于有效期的《医疗器械生产企业许可证》，投标时提供证书复印件。 （2）供应商为所投医疗器械经营企业，须具备药品监督管理部门签发的处于有效期的《医疗器械经营许可证》，投标时提供证书复印件。</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采购包1（海东院区智能移动生命监测系统）：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w:t>
            </w:r>
          </w:p>
        </w:tc>
        <w:tc>
          <w:tcPr>
            <w:tcW w:type="dxa" w:w="4238"/>
          </w:tcPr>
          <w:p>
            <w:pPr>
              <w:pStyle w:val="null3"/>
            </w:pPr>
            <w:r>
              <w:rPr/>
              <w:t>投标（报价）总金额是固定价且是唯一的，报价未超过本项目采购预算。</w:t>
            </w:r>
          </w:p>
        </w:tc>
      </w:tr>
      <w:tr>
        <w:tc>
          <w:tcPr>
            <w:tcW w:type="dxa" w:w="890"/>
          </w:tcPr>
          <w:p>
            <w:pPr>
              <w:pStyle w:val="null3"/>
            </w:pPr>
            <w:r>
              <w:rPr/>
              <w:t>2</w:t>
            </w:r>
          </w:p>
        </w:tc>
        <w:tc>
          <w:tcPr>
            <w:tcW w:type="dxa" w:w="3178"/>
          </w:tcPr>
          <w:p>
            <w:pPr>
              <w:pStyle w:val="null3"/>
            </w:pPr>
            <w:r>
              <w:rPr/>
              <w:t>本项目不接受进口产品投标</w:t>
            </w:r>
          </w:p>
        </w:tc>
        <w:tc>
          <w:tcPr>
            <w:tcW w:type="dxa" w:w="4238"/>
          </w:tcPr>
          <w:p>
            <w:pPr>
              <w:pStyle w:val="null3"/>
            </w:pPr>
            <w:r>
              <w:rPr/>
              <w:t>未以进口产品投标。</w:t>
            </w:r>
          </w:p>
        </w:tc>
      </w:tr>
      <w:tr>
        <w:tc>
          <w:tcPr>
            <w:tcW w:type="dxa" w:w="890"/>
          </w:tcPr>
          <w:p>
            <w:pPr>
              <w:pStyle w:val="null3"/>
            </w:pPr>
            <w:r>
              <w:rPr/>
              <w:t>3</w:t>
            </w:r>
          </w:p>
        </w:tc>
        <w:tc>
          <w:tcPr>
            <w:tcW w:type="dxa" w:w="3178"/>
          </w:tcPr>
          <w:p>
            <w:pPr>
              <w:pStyle w:val="null3"/>
            </w:pPr>
            <w:r>
              <w:rPr/>
              <w:t>本项目不接受联合体投标</w:t>
            </w:r>
          </w:p>
        </w:tc>
        <w:tc>
          <w:tcPr>
            <w:tcW w:type="dxa" w:w="4238"/>
          </w:tcPr>
          <w:p>
            <w:pPr>
              <w:pStyle w:val="null3"/>
            </w:pPr>
            <w:r>
              <w:rPr/>
              <w:t>未以联合体形式进行投标。</w:t>
            </w:r>
          </w:p>
        </w:tc>
      </w:tr>
      <w:tr>
        <w:tc>
          <w:tcPr>
            <w:tcW w:type="dxa" w:w="890"/>
          </w:tcPr>
          <w:p>
            <w:pPr>
              <w:pStyle w:val="null3"/>
            </w:pPr>
            <w:r>
              <w:rPr/>
              <w:t>4</w:t>
            </w:r>
          </w:p>
        </w:tc>
        <w:tc>
          <w:tcPr>
            <w:tcW w:type="dxa" w:w="3178"/>
          </w:tcPr>
          <w:p>
            <w:pPr>
              <w:pStyle w:val="null3"/>
            </w:pPr>
            <w:r>
              <w:rPr/>
              <w:t>报价漏项</w:t>
            </w:r>
          </w:p>
        </w:tc>
        <w:tc>
          <w:tcPr>
            <w:tcW w:type="dxa" w:w="4238"/>
          </w:tcPr>
          <w:p>
            <w:pPr>
              <w:pStyle w:val="null3"/>
            </w:pPr>
            <w:r>
              <w:rPr/>
              <w:t>对标的没有报价漏项。</w:t>
            </w:r>
          </w:p>
        </w:tc>
      </w:tr>
      <w:tr>
        <w:tc>
          <w:tcPr>
            <w:tcW w:type="dxa" w:w="890"/>
          </w:tcPr>
          <w:p>
            <w:pPr>
              <w:pStyle w:val="null3"/>
            </w:pPr>
            <w:r>
              <w:rPr/>
              <w:t>5</w:t>
            </w:r>
          </w:p>
        </w:tc>
        <w:tc>
          <w:tcPr>
            <w:tcW w:type="dxa" w:w="3178"/>
          </w:tcPr>
          <w:p>
            <w:pPr>
              <w:pStyle w:val="null3"/>
            </w:pPr>
            <w:r>
              <w:rPr/>
              <w:t>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6</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7</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8</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9</w:t>
            </w:r>
          </w:p>
        </w:tc>
        <w:tc>
          <w:tcPr>
            <w:tcW w:type="dxa" w:w="3178"/>
          </w:tcPr>
          <w:p>
            <w:pPr>
              <w:pStyle w:val="null3"/>
            </w:pPr>
            <w:r>
              <w:rPr/>
              <w:t>投标报价错误的处理原则</w:t>
            </w:r>
          </w:p>
        </w:tc>
        <w:tc>
          <w:tcPr>
            <w:tcW w:type="dxa" w:w="4238"/>
          </w:tcPr>
          <w:p>
            <w:pPr>
              <w:pStyle w:val="null3"/>
            </w:pPr>
            <w:r>
              <w:rPr/>
              <w:t>如出现投标报价错误的处理原则修正后的报价,投标人按规定书面确认。</w:t>
            </w:r>
          </w:p>
        </w:tc>
      </w:tr>
      <w:tr>
        <w:tc>
          <w:tcPr>
            <w:tcW w:type="dxa" w:w="890"/>
          </w:tcPr>
          <w:p>
            <w:pPr>
              <w:pStyle w:val="null3"/>
            </w:pPr>
            <w:r>
              <w:rPr/>
              <w:t>10</w:t>
            </w:r>
          </w:p>
        </w:tc>
        <w:tc>
          <w:tcPr>
            <w:tcW w:type="dxa" w:w="3178"/>
          </w:tcPr>
          <w:p>
            <w:pPr>
              <w:pStyle w:val="null3"/>
            </w:pPr>
            <w:r>
              <w:rPr/>
              <w:t>串标投标</w:t>
            </w:r>
          </w:p>
        </w:tc>
        <w:tc>
          <w:tcPr>
            <w:tcW w:type="dxa" w:w="4238"/>
          </w:tcPr>
          <w:p>
            <w:pPr>
              <w:pStyle w:val="null3"/>
            </w:pPr>
            <w:r>
              <w:rPr/>
              <w:t>未出现视为投标人串标投标所列的情形。</w:t>
            </w:r>
          </w:p>
        </w:tc>
      </w:tr>
      <w:tr>
        <w:tc>
          <w:tcPr>
            <w:tcW w:type="dxa" w:w="890"/>
          </w:tcPr>
          <w:p>
            <w:pPr>
              <w:pStyle w:val="null3"/>
            </w:pPr>
            <w:r>
              <w:rPr/>
              <w:t>11</w:t>
            </w:r>
          </w:p>
        </w:tc>
        <w:tc>
          <w:tcPr>
            <w:tcW w:type="dxa" w:w="3178"/>
          </w:tcPr>
          <w:p>
            <w:pPr>
              <w:pStyle w:val="null3"/>
            </w:pPr>
            <w:r>
              <w:rPr/>
              <w:t>不可接受的附加条件</w:t>
            </w:r>
          </w:p>
        </w:tc>
        <w:tc>
          <w:tcPr>
            <w:tcW w:type="dxa" w:w="4238"/>
          </w:tcPr>
          <w:p>
            <w:pPr>
              <w:pStyle w:val="null3"/>
            </w:pPr>
            <w:r>
              <w:rPr/>
              <w:t>投标文件未含有采购人不可接受的附加条件。</w:t>
            </w:r>
          </w:p>
        </w:tc>
      </w:tr>
      <w:tr>
        <w:tc>
          <w:tcPr>
            <w:tcW w:type="dxa" w:w="890"/>
          </w:tcPr>
          <w:p>
            <w:pPr>
              <w:pStyle w:val="null3"/>
            </w:pPr>
            <w:r>
              <w:rPr/>
              <w:t>12</w:t>
            </w:r>
          </w:p>
        </w:tc>
        <w:tc>
          <w:tcPr>
            <w:tcW w:type="dxa" w:w="3178"/>
          </w:tcPr>
          <w:p>
            <w:pPr>
              <w:pStyle w:val="null3"/>
            </w:pPr>
            <w:r>
              <w:rPr/>
              <w:t>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采购包1(海东院区智能移动生命监测系统):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 (26.0分)</w:t>
            </w:r>
          </w:p>
        </w:tc>
        <w:tc>
          <w:tcPr>
            <w:tcW w:type="dxa" w:w="5076"/>
          </w:tcPr>
          <w:p>
            <w:pPr>
              <w:pStyle w:val="null3"/>
              <w:jc w:val="left"/>
            </w:pPr>
            <w:r>
              <w:rPr/>
              <w:t>用户需求书“功能\技术参数”中“▲”的条款（共13项）： 每有一项满足要求得2分，最高26分。 如用户需求中有明确要求提供的证明资料，则以用户需求中要求的为准，无提供或未按要求提供证明材料的不得分；如用户需求中无明确证明材料的，以投标人投标文件中的自行响应为准，未填写或未响应的视为负偏离。</w:t>
            </w:r>
          </w:p>
        </w:tc>
      </w:tr>
      <w:tr>
        <w:tc>
          <w:tcPr>
            <w:tcW w:type="dxa" w:w="922"/>
            <w:gridSpan w:val="2"/>
            <w:vMerge/>
          </w:tcPr>
          <w:p/>
        </w:tc>
        <w:tc>
          <w:tcPr>
            <w:tcW w:type="dxa" w:w="2307"/>
          </w:tcPr>
          <w:p>
            <w:pPr>
              <w:pStyle w:val="null3"/>
              <w:jc w:val="left"/>
            </w:pPr>
            <w:r>
              <w:rPr/>
              <w:t>技术条款响应情况 (22.0分)</w:t>
            </w:r>
          </w:p>
        </w:tc>
        <w:tc>
          <w:tcPr>
            <w:tcW w:type="dxa" w:w="5076"/>
          </w:tcPr>
          <w:p>
            <w:pPr>
              <w:pStyle w:val="null3"/>
              <w:jc w:val="left"/>
            </w:pPr>
            <w:r>
              <w:rPr/>
              <w:t>用户需求书“功能\技术参数要求”条款的响应情况： （一）体征软件管理系统：体征采集 ①体征数据采集、②病人同步、③操作者同步、④体征数据自动上传、⑤体征测量数据查看、⑥体征采集记录查看（共6项功能），每有一项功能完全满足采购需求的，得1分，最高6分。 （二）体征软件管理系统：体征总表 ①体征采集记录查看，功能完全满足采购需求的，得1分，最高1分。 （三）体征监测终端： ①“体征监测终端”中非“▲”条款、非“★”条款（共18项），每有一项完全满足采购需求的，得0.5分，最高9分。 ②“红外耳式体温计”中非“▲”条款、非“★”条款（共12项），每有一项完全满足采购需求的，得0.5分，最高6分。 （一）（二）（三）项备注：如用户需求中有明确要求提供的证明资料，则以用户需求中要求的为准，无提供或未按要求提供证明材料的不得分；如用户需求中无明确证明材料的，以投标人投标文件中的自行响应为准，未填写或未响应的视为负偏离。</w:t>
            </w:r>
          </w:p>
        </w:tc>
      </w:tr>
      <w:tr>
        <w:tc>
          <w:tcPr>
            <w:tcW w:type="dxa" w:w="922"/>
            <w:gridSpan w:val="2"/>
            <w:vMerge/>
          </w:tcPr>
          <w:p/>
        </w:tc>
        <w:tc>
          <w:tcPr>
            <w:tcW w:type="dxa" w:w="2307"/>
          </w:tcPr>
          <w:p>
            <w:pPr>
              <w:pStyle w:val="null3"/>
              <w:jc w:val="left"/>
            </w:pPr>
            <w:r>
              <w:rPr/>
              <w:t>服务要求 (12.0分)</w:t>
            </w:r>
          </w:p>
        </w:tc>
        <w:tc>
          <w:tcPr>
            <w:tcW w:type="dxa" w:w="5076"/>
          </w:tcPr>
          <w:p>
            <w:pPr>
              <w:pStyle w:val="null3"/>
              <w:jc w:val="left"/>
            </w:pPr>
            <w:r>
              <w:rPr/>
              <w:t>根据投标人制定的方案进行评审，包括但不限于用户需求书中“服务要求”的相关要求： 服务方案完全满足且优于采购需求，得12分。 服务方案完全满足采购需求，得6分。 服务方案不能完全满足采购需求，得1分。 未提供得0分。</w:t>
            </w:r>
          </w:p>
        </w:tc>
      </w:tr>
      <w:tr>
        <w:tc>
          <w:tcPr>
            <w:tcW w:type="dxa" w:w="922"/>
            <w:gridSpan w:val="2"/>
            <w:vMerge w:val="restart"/>
          </w:tcPr>
          <w:p>
            <w:pPr>
              <w:pStyle w:val="null3"/>
              <w:jc w:val="center"/>
            </w:pPr>
            <w:r>
              <w:rPr/>
              <w:t>商务部分</w:t>
            </w:r>
          </w:p>
        </w:tc>
        <w:tc>
          <w:tcPr>
            <w:tcW w:type="dxa" w:w="2307"/>
          </w:tcPr>
          <w:p>
            <w:pPr>
              <w:pStyle w:val="null3"/>
              <w:jc w:val="left"/>
            </w:pPr>
            <w:r>
              <w:rPr/>
              <w:t>承接本项目能力保障 (6.0分)</w:t>
            </w:r>
          </w:p>
        </w:tc>
        <w:tc>
          <w:tcPr>
            <w:tcW w:type="dxa" w:w="5076"/>
          </w:tcPr>
          <w:p>
            <w:pPr>
              <w:pStyle w:val="null3"/>
              <w:jc w:val="left"/>
            </w:pPr>
            <w:r>
              <w:rPr/>
              <w:t>2021年1月1日以来（以合同签订时间为准），以投标人名义承担过的本项目核心产品（体征监测终端）供货及安装业绩，每提供一份业绩合同复印件得1.5分，最高6分。 注：须提供合同复印件并加盖投标人公章。</w:t>
            </w:r>
          </w:p>
        </w:tc>
      </w:tr>
      <w:tr>
        <w:tc>
          <w:tcPr>
            <w:tcW w:type="dxa" w:w="922"/>
            <w:gridSpan w:val="2"/>
            <w:vMerge/>
          </w:tcPr>
          <w:p/>
        </w:tc>
        <w:tc>
          <w:tcPr>
            <w:tcW w:type="dxa" w:w="2307"/>
          </w:tcPr>
          <w:p>
            <w:pPr>
              <w:pStyle w:val="null3"/>
              <w:jc w:val="left"/>
            </w:pPr>
            <w:r>
              <w:rPr/>
              <w:t>服务满意度 (2.0分)</w:t>
            </w:r>
          </w:p>
        </w:tc>
        <w:tc>
          <w:tcPr>
            <w:tcW w:type="dxa" w:w="5076"/>
          </w:tcPr>
          <w:p>
            <w:pPr>
              <w:pStyle w:val="null3"/>
              <w:jc w:val="left"/>
            </w:pPr>
            <w:r>
              <w:rPr/>
              <w:t>上述（承接本项目能力保障）有效业绩中获得正面评价（优秀、优良、良好、满意或相当于正面评价），且评价文件体现评价单位联系人及联系方式的（如未体现的，供应商须另行提供评价单位的联系人及联系方式），每份得0.5分，最高得2分。 同一项目按一份计算，不重复计算分数。 提供合同甲方或甲方项目主管部门盖章的评价文件。 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供货要求 (2.0分)</w:t>
            </w:r>
          </w:p>
        </w:tc>
        <w:tc>
          <w:tcPr>
            <w:tcW w:type="dxa" w:w="5076"/>
          </w:tcPr>
          <w:p>
            <w:pPr>
              <w:pStyle w:val="null3"/>
              <w:jc w:val="left"/>
            </w:pPr>
            <w:r>
              <w:rPr/>
              <w:t>满足采购文件对“供货期”的要求(签订合同后30个工作日内供货到位)，得2分。 投标时提交承诺，承诺可参照“投标文件格式”中《承诺函》格式。</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广东医科大学附属医院</w:t>
      </w:r>
    </w:p>
    <w:p>
      <w:pPr>
        <w:pStyle w:val="null3"/>
        <w:jc w:val="center"/>
      </w:pPr>
      <w:r>
        <w:rPr>
          <w:sz w:val="52"/>
          <w:b/>
        </w:rPr>
        <w:t>货物类（信息）合同模板</w:t>
      </w:r>
    </w:p>
    <w:p>
      <w:pPr>
        <w:pStyle w:val="null3"/>
        <w:jc w:val="both"/>
      </w:pPr>
      <w:r>
        <w:rPr>
          <w:sz w:val="21"/>
          <w:b/>
        </w:rPr>
        <w:t xml:space="preserve">      </w:t>
      </w:r>
    </w:p>
    <w:p>
      <w:pPr>
        <w:pStyle w:val="null3"/>
        <w:jc w:val="both"/>
      </w:pPr>
      <w:r>
        <w:rPr>
          <w:sz w:val="32"/>
          <w:b/>
        </w:rPr>
        <w:t>项目名称：广东医科大学附属医院XXXXX采购项目</w:t>
      </w:r>
    </w:p>
    <w:p>
      <w:pPr>
        <w:pStyle w:val="null3"/>
        <w:ind w:left="2130"/>
        <w:jc w:val="both"/>
      </w:pPr>
      <w:r>
        <w:rPr>
          <w:sz w:val="32"/>
          <w:b/>
        </w:rPr>
        <w:t>甲    方：</w:t>
      </w:r>
      <w:r>
        <w:rPr>
          <w:sz w:val="32"/>
          <w:b/>
          <w:u w:val="single"/>
        </w:rPr>
        <w:t>广东医科大学附属医院</w:t>
      </w:r>
    </w:p>
    <w:p>
      <w:pPr>
        <w:pStyle w:val="null3"/>
        <w:ind w:left="2130"/>
        <w:jc w:val="both"/>
      </w:pPr>
      <w:r>
        <w:rPr>
          <w:sz w:val="32"/>
          <w:b/>
        </w:rPr>
        <w:t>乙    方：</w:t>
      </w:r>
    </w:p>
    <w:p>
      <w:pPr>
        <w:pStyle w:val="null3"/>
        <w:ind w:left="2130"/>
        <w:jc w:val="both"/>
      </w:pPr>
      <w:r>
        <w:rPr>
          <w:sz w:val="32"/>
          <w:b/>
        </w:rPr>
        <w:t>签订时间：</w:t>
      </w:r>
      <w:r>
        <w:rPr>
          <w:sz w:val="32"/>
          <w:b/>
          <w:u w:val="single"/>
        </w:rPr>
        <w:t xml:space="preserve">      年    月    日</w:t>
      </w:r>
    </w:p>
    <w:p>
      <w:pPr>
        <w:pStyle w:val="null3"/>
        <w:jc w:val="both"/>
      </w:pPr>
      <w:r>
        <w:rPr>
          <w:sz w:val="21"/>
          <w:b/>
        </w:rPr>
        <w:t xml:space="preserve">                        </w:t>
      </w:r>
    </w:p>
    <w:p>
      <w:pPr>
        <w:pStyle w:val="null3"/>
        <w:jc w:val="both"/>
      </w:pPr>
      <w:r>
        <w:rPr>
          <w:sz w:val="21"/>
        </w:rPr>
        <w:t>（本合同为合同模板，相关内容根据招响应文件进行调整补充）</w:t>
      </w:r>
    </w:p>
    <w:p>
      <w:pPr>
        <w:pStyle w:val="null3"/>
        <w:jc w:val="both"/>
      </w:pPr>
      <w:r>
        <w:rPr>
          <w:sz w:val="28"/>
          <w:b/>
        </w:rPr>
        <w:t>合同</w:t>
      </w:r>
    </w:p>
    <w:p>
      <w:pPr>
        <w:pStyle w:val="null3"/>
        <w:jc w:val="both"/>
      </w:pPr>
      <w:r>
        <w:rPr>
          <w:sz w:val="24"/>
        </w:rPr>
        <w:t xml:space="preserve">甲方： </w:t>
      </w:r>
      <w:r>
        <w:rPr>
          <w:sz w:val="24"/>
        </w:rPr>
        <w:t>广东医科大学附属医院</w:t>
      </w:r>
    </w:p>
    <w:p>
      <w:pPr>
        <w:pStyle w:val="null3"/>
        <w:ind w:left="420"/>
        <w:jc w:val="both"/>
      </w:pPr>
      <w:r>
        <w:rPr>
          <w:sz w:val="24"/>
          <w:u w:val="single"/>
        </w:rPr>
        <w:t>统一社会信用代码：</w:t>
      </w:r>
      <w:r>
        <w:rPr>
          <w:sz w:val="24"/>
          <w:u w:val="single"/>
        </w:rPr>
        <w:t>12440000455858169P</w:t>
      </w:r>
    </w:p>
    <w:p>
      <w:pPr>
        <w:pStyle w:val="null3"/>
        <w:ind w:left="420"/>
        <w:jc w:val="both"/>
      </w:pPr>
      <w:r>
        <w:rPr>
          <w:sz w:val="24"/>
          <w:u w:val="single"/>
        </w:rPr>
        <w:t>法定代表人：</w:t>
      </w:r>
    </w:p>
    <w:p>
      <w:pPr>
        <w:pStyle w:val="null3"/>
        <w:ind w:left="420"/>
        <w:jc w:val="both"/>
      </w:pPr>
      <w:r>
        <w:rPr>
          <w:sz w:val="24"/>
          <w:u w:val="single"/>
        </w:rPr>
        <w:t>联系人：</w:t>
      </w:r>
      <w:r>
        <w:rPr>
          <w:sz w:val="24"/>
          <w:u w:val="single"/>
        </w:rPr>
        <w:t>XXX</w:t>
      </w:r>
    </w:p>
    <w:p>
      <w:pPr>
        <w:pStyle w:val="null3"/>
        <w:ind w:left="420"/>
        <w:jc w:val="both"/>
      </w:pPr>
      <w:r>
        <w:rPr>
          <w:sz w:val="24"/>
          <w:u w:val="single"/>
        </w:rPr>
        <w:t>联系方式：</w:t>
      </w:r>
      <w:r>
        <w:rPr>
          <w:sz w:val="24"/>
          <w:u w:val="single"/>
        </w:rPr>
        <w:t>XXX</w:t>
      </w:r>
    </w:p>
    <w:p>
      <w:pPr>
        <w:pStyle w:val="null3"/>
        <w:ind w:left="420"/>
        <w:jc w:val="both"/>
      </w:pPr>
      <w:r>
        <w:rPr>
          <w:sz w:val="24"/>
          <w:u w:val="single"/>
        </w:rPr>
        <w:t>联系地址：广东省湛江市霞山区人民大道南</w:t>
      </w:r>
      <w:r>
        <w:rPr>
          <w:sz w:val="24"/>
          <w:u w:val="single"/>
        </w:rPr>
        <w:t>57</w:t>
      </w:r>
      <w:r>
        <w:rPr>
          <w:sz w:val="24"/>
          <w:u w:val="single"/>
        </w:rPr>
        <w:t>号</w:t>
      </w:r>
    </w:p>
    <w:p>
      <w:pPr>
        <w:pStyle w:val="null3"/>
        <w:jc w:val="both"/>
      </w:pPr>
      <w:r>
        <w:rPr>
          <w:sz w:val="24"/>
        </w:rPr>
        <w:t xml:space="preserve">乙方： </w:t>
      </w:r>
      <w:r>
        <w:rPr>
          <w:sz w:val="24"/>
          <w:u w:val="single"/>
        </w:rPr>
        <w:t>XXX公司</w:t>
      </w:r>
    </w:p>
    <w:p>
      <w:pPr>
        <w:pStyle w:val="null3"/>
        <w:ind w:left="420"/>
        <w:jc w:val="both"/>
      </w:pPr>
      <w:r>
        <w:rPr>
          <w:sz w:val="24"/>
          <w:u w:val="single"/>
        </w:rPr>
        <w:t>统一社会信用代码：XXXX</w:t>
      </w:r>
    </w:p>
    <w:p>
      <w:pPr>
        <w:pStyle w:val="null3"/>
        <w:ind w:left="420"/>
        <w:jc w:val="both"/>
      </w:pPr>
      <w:r>
        <w:rPr>
          <w:sz w:val="24"/>
          <w:u w:val="single"/>
        </w:rPr>
        <w:t>法定代表人：XXX</w:t>
      </w:r>
    </w:p>
    <w:p>
      <w:pPr>
        <w:pStyle w:val="null3"/>
        <w:ind w:left="420"/>
        <w:jc w:val="both"/>
      </w:pPr>
      <w:r>
        <w:rPr>
          <w:sz w:val="24"/>
          <w:u w:val="single"/>
        </w:rPr>
        <w:t>联系人：XXX</w:t>
      </w:r>
    </w:p>
    <w:p>
      <w:pPr>
        <w:pStyle w:val="null3"/>
        <w:ind w:left="420"/>
        <w:jc w:val="both"/>
      </w:pPr>
      <w:r>
        <w:rPr>
          <w:sz w:val="24"/>
          <w:u w:val="single"/>
        </w:rPr>
        <w:t>联系方式：XXX</w:t>
      </w:r>
    </w:p>
    <w:p>
      <w:pPr>
        <w:pStyle w:val="null3"/>
        <w:ind w:left="420"/>
        <w:jc w:val="both"/>
      </w:pPr>
      <w:r>
        <w:rPr>
          <w:sz w:val="24"/>
          <w:u w:val="single"/>
        </w:rPr>
        <w:t>联系地址：XXX</w:t>
      </w:r>
    </w:p>
    <w:p>
      <w:pPr>
        <w:pStyle w:val="null3"/>
        <w:ind w:firstLine="480"/>
        <w:jc w:val="both"/>
      </w:pPr>
      <w:r>
        <w:rPr>
          <w:sz w:val="24"/>
          <w:color w:val="000000"/>
        </w:rPr>
        <w:t>根据</w:t>
      </w:r>
      <w:r>
        <w:rPr>
          <w:sz w:val="24"/>
        </w:rPr>
        <w:t>《中华人民共和国民法典》等国家相关法律法规的规定，以及该项目的采购</w:t>
      </w:r>
      <w:r>
        <w:rPr>
          <w:sz w:val="24"/>
          <w:color w:val="000000"/>
        </w:rPr>
        <w:t>结果和相关采购文件、响应文件的要求，按照广东医科大学附属医院XXXXX采购项目</w:t>
      </w:r>
      <w:r>
        <w:rPr>
          <w:sz w:val="24"/>
        </w:rPr>
        <w:t>（招标编号：XXX）</w:t>
      </w:r>
      <w:r>
        <w:rPr>
          <w:sz w:val="24"/>
          <w:color w:val="000000"/>
        </w:rPr>
        <w:t>20XX</w:t>
      </w:r>
      <w:r>
        <w:rPr>
          <w:sz w:val="24"/>
          <w:color w:val="000000"/>
        </w:rPr>
        <w:t>年XX月XX日的采购结果，甲</w:t>
      </w:r>
      <w:r>
        <w:rPr>
          <w:sz w:val="24"/>
        </w:rPr>
        <w:t>、乙双方经协商确定，甲方向乙方订购下述货物、设备及其服务，为明确双方责任和权利，特签订本合同，共同遵守。合同的标的、价款、质量、履行期限等主要条款应当与采购文件和乙方的响应文件的内容一致。具体条款如下：</w:t>
      </w:r>
    </w:p>
    <w:p>
      <w:pPr>
        <w:pStyle w:val="null3"/>
        <w:numPr>
          <w:ilvl w:val="0"/>
          <w:numId w:val="1"/>
        </w:numPr>
        <w:ind w:firstLine="845"/>
        <w:jc w:val="both"/>
      </w:pPr>
      <w:r>
        <w:rPr>
          <w:sz w:val="24"/>
          <w:b/>
        </w:rPr>
        <w:t>合同标的</w:t>
      </w:r>
    </w:p>
    <w:p>
      <w:pPr>
        <w:pStyle w:val="null3"/>
        <w:ind w:firstLine="480"/>
        <w:jc w:val="both"/>
      </w:pPr>
      <w:r>
        <w:rPr>
          <w:sz w:val="24"/>
        </w:rPr>
        <w:t>乙方负责向甲方供应下表中所列货物、设备、软件、服务及配套设备，并负责相关的安装调试及售后服务。</w:t>
      </w:r>
    </w:p>
    <w:tbl>
      <w:tblPr>
        <w:tblW w:w="0" w:type="auto"/>
        <w:tblBorders>
          <w:top w:val="none" w:color="000000" w:sz="4"/>
          <w:left w:val="none" w:color="000000" w:sz="4"/>
          <w:bottom w:val="none" w:color="000000" w:sz="4"/>
          <w:right w:val="none" w:color="000000" w:sz="4"/>
          <w:insideH w:val="none"/>
          <w:insideV w:val="none"/>
        </w:tblBorders>
      </w:tblPr>
      <w:tblGrid>
        <w:gridCol w:w="1018"/>
        <w:gridCol w:w="451"/>
        <w:gridCol w:w="1251"/>
        <w:gridCol w:w="683"/>
        <w:gridCol w:w="683"/>
        <w:gridCol w:w="683"/>
        <w:gridCol w:w="683"/>
        <w:gridCol w:w="915"/>
        <w:gridCol w:w="915"/>
        <w:gridCol w:w="1018"/>
      </w:tblGrid>
      <w:tr>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货物名称</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p>
            <w:pPr>
              <w:pStyle w:val="null3"/>
              <w:jc w:val="center"/>
            </w:pPr>
            <w:r>
              <w:rPr>
                <w:sz w:val="24"/>
              </w:rPr>
              <w:t>/</w:t>
            </w:r>
            <w:r>
              <w:rPr>
                <w:sz w:val="24"/>
              </w:rPr>
              <w:t>版本号</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厂家</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计量单位</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单价（元）</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p>
          <w:p>
            <w:pPr>
              <w:pStyle w:val="null3"/>
              <w:jc w:val="center"/>
            </w:pPr>
            <w:r>
              <w:rPr>
                <w:sz w:val="24"/>
              </w:rPr>
              <w:t>（元）</w:t>
            </w:r>
          </w:p>
        </w:tc>
        <w:tc>
          <w:tcPr>
            <w:tcW w:type="dxa" w:w="1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配套配件</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0"/>
          <w:numId w:val="1"/>
        </w:numPr>
        <w:jc w:val="both"/>
      </w:pPr>
      <w:r>
        <w:rPr>
          <w:sz w:val="24"/>
          <w:b/>
        </w:rPr>
        <w:t>合同总价</w:t>
      </w:r>
    </w:p>
    <w:p>
      <w:pPr>
        <w:pStyle w:val="null3"/>
        <w:ind w:firstLine="480"/>
        <w:jc w:val="both"/>
      </w:pPr>
      <w:r>
        <w:rPr>
          <w:sz w:val="24"/>
        </w:rPr>
        <w:t>总价为：人民币</w:t>
      </w:r>
      <w:r>
        <w:rPr>
          <w:sz w:val="21"/>
          <w:u w:val="single"/>
        </w:rPr>
        <w:t xml:space="preserve">     </w:t>
      </w:r>
      <w:r>
        <w:rPr>
          <w:sz w:val="24"/>
          <w:u w:val="single"/>
        </w:rPr>
        <w:t>元</w:t>
      </w:r>
      <w:r>
        <w:rPr>
          <w:sz w:val="24"/>
        </w:rPr>
        <w:t>（大写）</w:t>
      </w:r>
      <w:r>
        <w:rPr>
          <w:sz w:val="24"/>
        </w:rPr>
        <w:t>，即</w:t>
      </w:r>
      <w:r>
        <w:rPr>
          <w:sz w:val="24"/>
        </w:rPr>
        <w:t>¥</w:t>
      </w:r>
      <w:r>
        <w:rPr>
          <w:sz w:val="24"/>
          <w:u w:val="single"/>
        </w:rPr>
        <w:t xml:space="preserve">    </w:t>
      </w:r>
      <w:r>
        <w:rPr>
          <w:sz w:val="24"/>
          <w:u w:val="single"/>
        </w:rPr>
        <w:t>元</w:t>
      </w:r>
      <w:r>
        <w:rPr>
          <w:sz w:val="24"/>
        </w:rPr>
        <w:t>（其中，含财政项目专项资金：人民币</w:t>
      </w:r>
      <w:r>
        <w:rPr>
          <w:sz w:val="24"/>
        </w:rPr>
        <w:t>元（大写），即</w:t>
      </w:r>
      <w:r>
        <w:rPr>
          <w:sz w:val="24"/>
        </w:rPr>
        <w:t xml:space="preserve">¥ </w:t>
      </w:r>
      <w:r>
        <w:rPr>
          <w:sz w:val="24"/>
        </w:rPr>
        <w:t>元），该合同总金额是合同货物、设备</w:t>
      </w:r>
      <w:r>
        <w:rPr>
          <w:sz w:val="24"/>
        </w:rPr>
        <w:t>、软件</w:t>
      </w:r>
      <w:r>
        <w:rPr>
          <w:sz w:val="24"/>
        </w:rPr>
        <w:t>、服务的设计、制造、包装、仓储、运输、培训、保险、装卸、安装、调试及验收合格之前及保修期与备品备件发生的所有含税费用。本合同执行期间合同总金额不变。</w:t>
      </w:r>
    </w:p>
    <w:p>
      <w:pPr>
        <w:pStyle w:val="null3"/>
        <w:numPr>
          <w:ilvl w:val="0"/>
          <w:numId w:val="1"/>
        </w:numPr>
        <w:jc w:val="both"/>
      </w:pPr>
      <w:r>
        <w:rPr>
          <w:sz w:val="24"/>
          <w:b/>
        </w:rPr>
        <w:t>合同组成</w:t>
      </w:r>
    </w:p>
    <w:p>
      <w:pPr>
        <w:pStyle w:val="null3"/>
        <w:ind w:firstLine="480"/>
        <w:jc w:val="both"/>
      </w:pPr>
      <w:r>
        <w:rPr>
          <w:sz w:val="24"/>
        </w:rPr>
        <w:t>详细价格、技术说明及其它有关合同货物、设备、软件、服务的特定信息由合同附件说明。所有合同附件及本项目的采购文件（或招标文件）、响应文件（或投标文件）、协议等均为本合同不可分割之一部分。</w:t>
      </w:r>
    </w:p>
    <w:p>
      <w:pPr>
        <w:pStyle w:val="null3"/>
        <w:numPr>
          <w:ilvl w:val="0"/>
          <w:numId w:val="1"/>
        </w:numPr>
        <w:jc w:val="both"/>
      </w:pPr>
      <w:r>
        <w:rPr>
          <w:sz w:val="24"/>
          <w:b/>
        </w:rPr>
        <w:t>技术要求</w:t>
      </w:r>
    </w:p>
    <w:p>
      <w:pPr>
        <w:pStyle w:val="null3"/>
        <w:ind w:firstLine="480"/>
        <w:jc w:val="both"/>
      </w:pPr>
      <w:r>
        <w:rPr>
          <w:sz w:val="24"/>
        </w:rPr>
        <w:t>4.1</w:t>
      </w:r>
      <w:r>
        <w:rPr>
          <w:sz w:val="24"/>
        </w:rPr>
        <w:t>乙方所提供的货物、设备、软件、服务及配套配件，必须符合国家有关规范和甲方的技术要求，并提供货物的厂试测验报告（保修卡、合格证、出厂检验报告等质量相关证明文件）。</w:t>
      </w:r>
    </w:p>
    <w:p>
      <w:pPr>
        <w:pStyle w:val="null3"/>
        <w:ind w:firstLine="480"/>
        <w:jc w:val="both"/>
      </w:pPr>
      <w:r>
        <w:rPr>
          <w:sz w:val="24"/>
        </w:rPr>
        <w:t xml:space="preserve">4.2 </w:t>
      </w:r>
      <w:r>
        <w:rPr>
          <w:sz w:val="24"/>
        </w:rPr>
        <w:t>乙方提供的货物、设备、服务保证能与甲方原有设备或系统进行良好兼容，并且不能影响甲方原有设备或系统的性能。</w:t>
      </w:r>
    </w:p>
    <w:p>
      <w:pPr>
        <w:pStyle w:val="null3"/>
        <w:numPr>
          <w:ilvl w:val="0"/>
          <w:numId w:val="1"/>
        </w:numPr>
        <w:jc w:val="both"/>
      </w:pPr>
      <w:r>
        <w:rPr>
          <w:sz w:val="24"/>
          <w:b/>
        </w:rPr>
        <w:t>合同标的物包装、交货、安装及验收</w:t>
      </w:r>
    </w:p>
    <w:p>
      <w:pPr>
        <w:pStyle w:val="null3"/>
        <w:jc w:val="both"/>
      </w:pPr>
      <w:r>
        <w:rPr>
          <w:sz w:val="24"/>
        </w:rPr>
        <w:t xml:space="preserve">5.1 </w:t>
      </w:r>
      <w:r>
        <w:rPr>
          <w:sz w:val="24"/>
        </w:rPr>
        <w:t>合同标的物的包装</w:t>
      </w:r>
    </w:p>
    <w:p>
      <w:pPr>
        <w:pStyle w:val="null3"/>
        <w:ind w:firstLine="480"/>
        <w:jc w:val="both"/>
      </w:pPr>
      <w:r>
        <w:rPr>
          <w:sz w:val="24"/>
        </w:rPr>
        <w:t>合同标的物包装均应有良好的防湿、防锈、防潮、防雨、防腐及防碰撞的措施。凡由于包装不良造成的损失和由此产生的费用均由乙方承担，且乙方应按甲方要求在规定的时间内重新提供新的符合验收要求的货物。</w:t>
      </w:r>
    </w:p>
    <w:p>
      <w:pPr>
        <w:pStyle w:val="null3"/>
        <w:jc w:val="both"/>
      </w:pPr>
      <w:r>
        <w:rPr>
          <w:sz w:val="24"/>
        </w:rPr>
        <w:t xml:space="preserve">5.2 </w:t>
      </w:r>
      <w:r>
        <w:rPr>
          <w:sz w:val="24"/>
        </w:rPr>
        <w:t>合同标的物的交货</w:t>
      </w:r>
    </w:p>
    <w:p>
      <w:pPr>
        <w:pStyle w:val="null3"/>
        <w:ind w:left="420"/>
        <w:jc w:val="both"/>
      </w:pPr>
      <w:r>
        <w:rPr>
          <w:sz w:val="24"/>
        </w:rPr>
        <w:t xml:space="preserve">5.2.1 </w:t>
      </w:r>
      <w:r>
        <w:rPr>
          <w:sz w:val="24"/>
        </w:rPr>
        <w:t>项目工期：</w:t>
      </w:r>
    </w:p>
    <w:p>
      <w:pPr>
        <w:pStyle w:val="null3"/>
        <w:ind w:firstLine="480"/>
        <w:jc w:val="both"/>
      </w:pPr>
      <w:r>
        <w:rPr>
          <w:sz w:val="24"/>
        </w:rPr>
        <w:t>合同签订后10个工作日内，乙方按照甲方及监理方（如有）要求办理完开工手续（即：审批通过《开工申请单》及《实施方案》）及安排人员进场实施。</w:t>
      </w:r>
    </w:p>
    <w:p>
      <w:pPr>
        <w:pStyle w:val="null3"/>
        <w:ind w:firstLine="480"/>
        <w:jc w:val="both"/>
      </w:pPr>
      <w:r>
        <w:rPr>
          <w:sz w:val="24"/>
          <w:color w:val="000000"/>
        </w:rPr>
        <w:t>合同签订后的</w:t>
      </w:r>
      <w:r>
        <w:rPr>
          <w:sz w:val="24"/>
          <w:color w:val="000000"/>
          <w:u w:val="single"/>
        </w:rPr>
        <w:t xml:space="preserve"> XX  </w:t>
      </w:r>
      <w:r>
        <w:rPr>
          <w:sz w:val="24"/>
          <w:color w:val="000000"/>
        </w:rPr>
        <w:t>天内完成项目/设备的</w:t>
      </w:r>
      <w:r>
        <w:rPr>
          <w:sz w:val="24"/>
        </w:rPr>
        <w:t>调研、设计（如有）、开箱检验、</w:t>
      </w:r>
      <w:r>
        <w:rPr>
          <w:sz w:val="24"/>
        </w:rPr>
        <w:t>安装、测试</w:t>
      </w:r>
      <w:r>
        <w:rPr>
          <w:sz w:val="24"/>
          <w:color w:val="000000"/>
        </w:rPr>
        <w:t>等，直至正常运行。</w:t>
      </w:r>
    </w:p>
    <w:p>
      <w:pPr>
        <w:pStyle w:val="null3"/>
        <w:ind w:left="420"/>
        <w:jc w:val="both"/>
      </w:pPr>
      <w:r>
        <w:rPr>
          <w:sz w:val="24"/>
        </w:rPr>
        <w:t xml:space="preserve">5.2.2 </w:t>
      </w:r>
      <w:r>
        <w:rPr>
          <w:sz w:val="24"/>
        </w:rPr>
        <w:t>乙方交货地点：运输、卸车并安装至甲方指定地点。</w:t>
      </w:r>
    </w:p>
    <w:p>
      <w:pPr>
        <w:pStyle w:val="null3"/>
        <w:jc w:val="both"/>
      </w:pPr>
      <w:r>
        <w:rPr>
          <w:sz w:val="24"/>
        </w:rPr>
        <w:t xml:space="preserve">5.3 </w:t>
      </w:r>
      <w:r>
        <w:rPr>
          <w:sz w:val="24"/>
        </w:rPr>
        <w:t>合同标的物的安装</w:t>
      </w:r>
    </w:p>
    <w:p>
      <w:pPr>
        <w:pStyle w:val="null3"/>
        <w:ind w:left="420"/>
        <w:jc w:val="both"/>
      </w:pPr>
      <w:r>
        <w:rPr>
          <w:sz w:val="24"/>
        </w:rPr>
        <w:t xml:space="preserve">5.3.1 </w:t>
      </w:r>
      <w:r>
        <w:rPr>
          <w:sz w:val="24"/>
        </w:rPr>
        <w:t>乙方负责合同项下标的安装、调试等，相关费用已包含在本合同总价中，甲方无需另行支付费用。</w:t>
      </w:r>
    </w:p>
    <w:p>
      <w:pPr>
        <w:pStyle w:val="null3"/>
        <w:ind w:left="420"/>
        <w:jc w:val="both"/>
      </w:pPr>
      <w:r>
        <w:rPr>
          <w:sz w:val="24"/>
        </w:rPr>
        <w:t xml:space="preserve">5.3.2 </w:t>
      </w:r>
      <w:r>
        <w:rPr>
          <w:sz w:val="24"/>
        </w:rPr>
        <w:t>乙方安装时须对各安装场地内的其他设备、设施有良好保护措施；设备/系统及用户等账号采用强密码策略，禁止使用常见密码和弱密码。</w:t>
      </w:r>
    </w:p>
    <w:p>
      <w:pPr>
        <w:pStyle w:val="null3"/>
        <w:ind w:left="420"/>
        <w:jc w:val="both"/>
      </w:pPr>
      <w:r>
        <w:rPr>
          <w:sz w:val="24"/>
        </w:rPr>
        <w:t xml:space="preserve">5.3.3 </w:t>
      </w:r>
      <w:r>
        <w:rPr>
          <w:sz w:val="24"/>
        </w:rPr>
        <w:t>安装过程中出现的一切安全责任以及财产损失或人身损害，均由乙方自行负责</w:t>
      </w:r>
    </w:p>
    <w:p>
      <w:pPr>
        <w:pStyle w:val="null3"/>
        <w:jc w:val="both"/>
      </w:pPr>
      <w:r>
        <w:rPr>
          <w:sz w:val="24"/>
        </w:rPr>
        <w:t xml:space="preserve">5.4 </w:t>
      </w:r>
      <w:r>
        <w:rPr>
          <w:sz w:val="24"/>
        </w:rPr>
        <w:t>验收</w:t>
      </w:r>
    </w:p>
    <w:p>
      <w:pPr>
        <w:pStyle w:val="null3"/>
        <w:ind w:left="420"/>
        <w:jc w:val="both"/>
      </w:pPr>
      <w:r>
        <w:rPr>
          <w:sz w:val="24"/>
        </w:rPr>
        <w:t xml:space="preserve">5.4.1 </w:t>
      </w:r>
      <w:r>
        <w:rPr>
          <w:sz w:val="24"/>
        </w:rPr>
        <w:t>合同货物、设备、软件、服务及配套设备安装完成且甲方试用其性能达标，并稳定运行</w:t>
      </w:r>
      <w:r>
        <w:rPr>
          <w:sz w:val="24"/>
          <w:u w:val="single"/>
        </w:rPr>
        <w:t xml:space="preserve">  60  </w:t>
      </w:r>
      <w:r>
        <w:rPr>
          <w:sz w:val="24"/>
        </w:rPr>
        <w:t>天后组织项目验收，验收应在甲、乙、监理（如有）方共同参加下进行。</w:t>
      </w:r>
    </w:p>
    <w:p>
      <w:pPr>
        <w:pStyle w:val="null3"/>
        <w:ind w:left="420"/>
        <w:jc w:val="both"/>
      </w:pPr>
      <w:r>
        <w:rPr>
          <w:sz w:val="24"/>
        </w:rPr>
        <w:t xml:space="preserve">5.4.2 </w:t>
      </w:r>
      <w:r>
        <w:rPr>
          <w:sz w:val="24"/>
        </w:rPr>
        <w:t>乙方在验收时须向甲方提供与本合同项下货物、设备、软件、服务及配套设备相符且完整的技术资料，技术资料包括但不限于：</w:t>
      </w:r>
      <w:r>
        <w:rPr>
          <w:sz w:val="24"/>
          <w:u w:val="single"/>
        </w:rPr>
        <w:t>①</w:t>
      </w:r>
      <w:r>
        <w:rPr>
          <w:sz w:val="24"/>
          <w:u w:val="single"/>
        </w:rPr>
        <w:t>两套中文使用说明书；</w:t>
      </w:r>
      <w:r>
        <w:rPr>
          <w:sz w:val="24"/>
          <w:u w:val="single"/>
        </w:rPr>
        <w:t>②</w:t>
      </w:r>
      <w:r>
        <w:rPr>
          <w:sz w:val="24"/>
          <w:u w:val="single"/>
        </w:rPr>
        <w:t>出厂合格证或出厂检测报告；</w:t>
      </w:r>
      <w:r>
        <w:rPr>
          <w:sz w:val="24"/>
          <w:u w:val="single"/>
        </w:rPr>
        <w:t>③</w:t>
      </w:r>
      <w:r>
        <w:rPr>
          <w:sz w:val="24"/>
          <w:u w:val="single"/>
        </w:rPr>
        <w:t>安装调试报告；</w:t>
      </w:r>
      <w:r>
        <w:rPr>
          <w:sz w:val="24"/>
          <w:u w:val="single"/>
        </w:rPr>
        <w:t>④</w:t>
      </w:r>
      <w:r>
        <w:rPr>
          <w:sz w:val="24"/>
          <w:u w:val="single"/>
        </w:rPr>
        <w:t>人员培训报告；</w:t>
      </w:r>
      <w:r>
        <w:rPr>
          <w:sz w:val="24"/>
          <w:u w:val="single"/>
        </w:rPr>
        <w:t>⑤</w:t>
      </w:r>
      <w:r>
        <w:rPr>
          <w:sz w:val="24"/>
          <w:u w:val="single"/>
        </w:rPr>
        <w:t>进口货物、设备还需要提供进口货物报关单、入境货物检验检疫证明；⑥项目实施过程文档等。</w:t>
      </w:r>
    </w:p>
    <w:p>
      <w:pPr>
        <w:pStyle w:val="null3"/>
        <w:ind w:left="420" w:firstLine="480"/>
        <w:jc w:val="both"/>
      </w:pPr>
      <w:r>
        <w:rPr>
          <w:sz w:val="24"/>
        </w:rPr>
        <w:t>如果乙方提供的技术资料不齐全，甲方有权拒绝接收货物、设备</w:t>
      </w:r>
      <w:r>
        <w:rPr>
          <w:sz w:val="24"/>
        </w:rPr>
        <w:t>、软件、服务及配套设备，乙方拒不配合的，甲方有权直接处置乙方应运走的货物/设备/配套设备等，乙方须承担由此产生的一切经济损失。</w:t>
      </w:r>
    </w:p>
    <w:p>
      <w:pPr>
        <w:pStyle w:val="null3"/>
        <w:ind w:left="420"/>
        <w:jc w:val="both"/>
      </w:pPr>
      <w:r>
        <w:rPr>
          <w:sz w:val="24"/>
        </w:rPr>
        <w:t xml:space="preserve">5.4.3 </w:t>
      </w:r>
      <w:r>
        <w:rPr>
          <w:sz w:val="24"/>
        </w:rPr>
        <w:t>验收标准：</w:t>
      </w:r>
    </w:p>
    <w:p>
      <w:pPr>
        <w:pStyle w:val="null3"/>
        <w:ind w:left="420" w:firstLine="480"/>
        <w:jc w:val="both"/>
      </w:pPr>
      <w:r>
        <w:rPr>
          <w:sz w:val="24"/>
        </w:rPr>
        <w:t>按本合同的有关规定。</w:t>
      </w:r>
    </w:p>
    <w:p>
      <w:pPr>
        <w:pStyle w:val="null3"/>
        <w:ind w:left="420"/>
        <w:jc w:val="both"/>
      </w:pPr>
      <w:r>
        <w:rPr>
          <w:sz w:val="24"/>
        </w:rPr>
        <w:t xml:space="preserve">5.4.4 </w:t>
      </w:r>
      <w:r>
        <w:rPr>
          <w:sz w:val="24"/>
        </w:rPr>
        <w:t>验收按国家有关的规定、规范进行。合同货物、设备、软件、服务及配套设备全部通过开箱验收；合同货物、设备、软件、服务及配套设备全部安装调试部署完成，并稳定运行</w:t>
      </w:r>
      <w:r>
        <w:rPr>
          <w:sz w:val="24"/>
          <w:u w:val="single"/>
        </w:rPr>
        <w:t xml:space="preserve">  60  </w:t>
      </w:r>
      <w:r>
        <w:rPr>
          <w:sz w:val="24"/>
        </w:rPr>
        <w:t>天后，经甲、乙、监理方（如有）共同确认并出具《项目验收报告》，视为验收合格。</w:t>
      </w:r>
    </w:p>
    <w:p>
      <w:pPr>
        <w:pStyle w:val="null3"/>
        <w:ind w:left="420"/>
        <w:jc w:val="both"/>
      </w:pPr>
      <w:r>
        <w:rPr>
          <w:sz w:val="24"/>
        </w:rPr>
        <w:t xml:space="preserve">5.4.5 </w:t>
      </w:r>
      <w:r>
        <w:rPr>
          <w:sz w:val="24"/>
        </w:rPr>
        <w:t>甲方、监理方（如有）在验收中如发现货物、设备、软件、服务及配套设备不符合本合同的约定，有权拒收货物、设备、软件、服务及配套设备，并签发拒绝收货通知书。如果甲方、监理方（如有）同意更换的，乙方应于收到拒绝收货通知书之日起按国产货物7个工作日内、进口货物15个工作日内的期限重新提供符合本合同约定的货物、设备，否则，视为乙方逾期交货。甲方因前述原因拒收货物而产生的一切费用和责任均由乙方承担。</w:t>
      </w:r>
    </w:p>
    <w:p>
      <w:pPr>
        <w:pStyle w:val="null3"/>
        <w:ind w:left="420"/>
        <w:jc w:val="both"/>
      </w:pPr>
      <w:r>
        <w:rPr>
          <w:sz w:val="24"/>
        </w:rPr>
        <w:t xml:space="preserve">5.4.6 </w:t>
      </w:r>
      <w:r>
        <w:rPr>
          <w:sz w:val="24"/>
        </w:rPr>
        <w:t>验收时如发现所交付的货物、设备、软件、服务及配套设备有短装、次品、损坏或其它不符合本合同规定之情形者，甲方、监理方（如有）应作出详尽的现场记录，或由甲、乙、监理方（如有）三方签署备忘录。此现场记录或备忘录可用作补充、缺失和更换损坏部件的有效证据。由此产生的有关费用由乙方承担。</w:t>
      </w:r>
    </w:p>
    <w:p>
      <w:pPr>
        <w:pStyle w:val="null3"/>
        <w:ind w:left="420"/>
        <w:jc w:val="both"/>
      </w:pPr>
      <w:r>
        <w:rPr>
          <w:sz w:val="24"/>
        </w:rPr>
        <w:t xml:space="preserve">5.4.7 </w:t>
      </w:r>
      <w:r>
        <w:rPr>
          <w:sz w:val="24"/>
        </w:rPr>
        <w:t>如果合同标的物在运输和安装过程中因事故造成货物、设备、软件、服务及配套设备短缺、损坏，乙方应及时安排换装，以保证本合同货物、设备的安装能按本合同约定的期限成功完成。换货的相关费用由乙方承担。</w:t>
      </w:r>
    </w:p>
    <w:p>
      <w:pPr>
        <w:pStyle w:val="null3"/>
        <w:jc w:val="both"/>
      </w:pPr>
      <w:r>
        <w:rPr>
          <w:sz w:val="24"/>
        </w:rPr>
        <w:t xml:space="preserve">5.5 </w:t>
      </w:r>
      <w:r>
        <w:rPr>
          <w:sz w:val="24"/>
        </w:rPr>
        <w:t>乙方保证本合同项下提供的货物、设备、软件、服务及配套设备不侵犯任何第三方的专利、商标或版权。否则，乙方须承担对第三方的专利或版权的侵权责任并承担甲方因此而发生的所有费用和遭受的间接损失</w:t>
      </w:r>
    </w:p>
    <w:p>
      <w:pPr>
        <w:pStyle w:val="null3"/>
        <w:jc w:val="both"/>
      </w:pPr>
      <w:r>
        <w:rPr>
          <w:sz w:val="24"/>
        </w:rPr>
        <w:t xml:space="preserve">5.6 </w:t>
      </w:r>
      <w:r>
        <w:rPr>
          <w:sz w:val="24"/>
        </w:rPr>
        <w:t>乙方应就交付的货物、设备、软件、服务及配套设备，保证甲方免受任何第三方主张任何权利（第三方主张的权利包括但不仅限于：对合同标的物主张所有权或知识产权等）。</w:t>
      </w:r>
    </w:p>
    <w:p>
      <w:pPr>
        <w:pStyle w:val="null3"/>
        <w:ind w:left="420"/>
        <w:jc w:val="both"/>
      </w:pPr>
      <w:r>
        <w:rPr>
          <w:sz w:val="24"/>
        </w:rPr>
        <w:t xml:space="preserve">5.6.1 </w:t>
      </w:r>
      <w:r>
        <w:rPr>
          <w:sz w:val="24"/>
        </w:rPr>
        <w:t>若有第三方对合同标的物主张上述权利的侵权损害赔偿请求，由乙方承担全部法律责任；甲方有权解除本合同，且乙方应向甲方承担包括赔偿甲方直接或间接损失在内的全部违约责任。</w:t>
      </w:r>
    </w:p>
    <w:p>
      <w:pPr>
        <w:pStyle w:val="null3"/>
        <w:ind w:left="420"/>
        <w:jc w:val="both"/>
      </w:pPr>
      <w:r>
        <w:rPr>
          <w:sz w:val="24"/>
        </w:rPr>
        <w:t xml:space="preserve">5.6.2 </w:t>
      </w:r>
      <w:r>
        <w:rPr>
          <w:sz w:val="24"/>
        </w:rPr>
        <w:t>在合同履行过程中，甲方有确切证据证明第三方可能就合同标的物主张上述权利的，甲方有权中止支付相应的价款，如甲方已支付部分价款，则有权要求乙方返还已收取的价款；但乙方提供适当担保的除外。</w:t>
      </w:r>
    </w:p>
    <w:p>
      <w:pPr>
        <w:pStyle w:val="null3"/>
        <w:ind w:left="420"/>
        <w:jc w:val="both"/>
      </w:pPr>
      <w:r>
        <w:rPr>
          <w:sz w:val="24"/>
        </w:rPr>
        <w:t xml:space="preserve">5.6.3 </w:t>
      </w:r>
      <w:r>
        <w:rPr>
          <w:sz w:val="24"/>
        </w:rPr>
        <w:t>因第三方就合同标的对甲方主张权利而发生的纠纷，乙方应承担相应的法律责任和诉讼费用、律师费用、保全费用、保函费用、鉴定费用、差旅费用等为解除纠纷而发生的费用以及由此给甲方造成的一切直接或间接经济损失。</w:t>
      </w:r>
    </w:p>
    <w:p>
      <w:pPr>
        <w:pStyle w:val="null3"/>
        <w:jc w:val="both"/>
      </w:pPr>
      <w:r>
        <w:rPr>
          <w:sz w:val="24"/>
        </w:rPr>
        <w:t xml:space="preserve">5.7 </w:t>
      </w:r>
      <w:r>
        <w:rPr>
          <w:sz w:val="24"/>
        </w:rPr>
        <w:t>风险承担</w:t>
      </w:r>
    </w:p>
    <w:p>
      <w:pPr>
        <w:pStyle w:val="null3"/>
        <w:ind w:left="420"/>
        <w:jc w:val="both"/>
      </w:pPr>
      <w:r>
        <w:rPr>
          <w:sz w:val="24"/>
        </w:rPr>
        <w:t xml:space="preserve">5.7.1 </w:t>
      </w:r>
      <w:r>
        <w:rPr>
          <w:sz w:val="24"/>
        </w:rPr>
        <w:t>货物、设备、软件、服务及配套设备毁损、灭失的风险，在货物、设备、软件、服务及配套设备经甲方验收合格以前由乙方承担，在货物、设备、软件、服务及配套设备经甲方验收合格以后由甲方承担。</w:t>
      </w:r>
    </w:p>
    <w:p>
      <w:pPr>
        <w:pStyle w:val="null3"/>
        <w:ind w:left="420"/>
        <w:jc w:val="both"/>
      </w:pPr>
      <w:r>
        <w:rPr>
          <w:sz w:val="24"/>
        </w:rPr>
        <w:t xml:space="preserve">5.7.2 </w:t>
      </w:r>
      <w:r>
        <w:rPr>
          <w:sz w:val="24"/>
        </w:rPr>
        <w:t>甲方因货物、设备、软件、服务及配套设备质量不符合约定的质量要求而拒绝接收货物或解除合同的，货物、设备毁损、灭失的风险由乙方承担。</w:t>
      </w:r>
    </w:p>
    <w:p>
      <w:pPr>
        <w:pStyle w:val="null3"/>
        <w:ind w:left="420"/>
        <w:jc w:val="both"/>
      </w:pPr>
      <w:r>
        <w:rPr>
          <w:sz w:val="24"/>
        </w:rPr>
        <w:t xml:space="preserve">5.7.3 </w:t>
      </w:r>
      <w:r>
        <w:rPr>
          <w:sz w:val="24"/>
        </w:rPr>
        <w:t>经甲方验收合格后，货物、设备、软件、服务及配套设备毁损、灭失的风险由甲方承担的，不影响因乙方履行其他合同义务不符合约定的，甲方要求其承担违约责任的权利。</w:t>
      </w:r>
    </w:p>
    <w:p>
      <w:pPr>
        <w:pStyle w:val="null3"/>
        <w:ind w:left="420"/>
        <w:jc w:val="both"/>
      </w:pPr>
      <w:r>
        <w:rPr>
          <w:sz w:val="24"/>
        </w:rPr>
        <w:t>5.7.4</w:t>
      </w:r>
      <w:r>
        <w:rPr>
          <w:sz w:val="24"/>
        </w:rPr>
        <w:t>由乙方承担货物、设备、软件、服务及配套设备毁损、灭失风险，如货物、设备、软件、服务及配套设备毁损或灭失的，乙方应按国产货物7个工作日内、进口货物15个工作日内的期限重新提供符合合同规定的货物、设备、软件、服务及配套设备，否则，视为乙方逾期交货。</w:t>
      </w:r>
    </w:p>
    <w:p>
      <w:pPr>
        <w:pStyle w:val="null3"/>
        <w:ind w:left="420"/>
        <w:jc w:val="both"/>
      </w:pPr>
      <w:r>
        <w:rPr>
          <w:sz w:val="24"/>
        </w:rPr>
        <w:t xml:space="preserve">5.7.5 </w:t>
      </w:r>
      <w:r>
        <w:rPr>
          <w:sz w:val="24"/>
        </w:rPr>
        <w:t>由甲方承担货物、设备、软件、服务及配套设备毁损、灭失风险的，则甲方不能免除给付货款的义务。</w:t>
      </w:r>
    </w:p>
    <w:p>
      <w:pPr>
        <w:pStyle w:val="null3"/>
        <w:numPr>
          <w:ilvl w:val="0"/>
          <w:numId w:val="1"/>
        </w:numPr>
        <w:jc w:val="both"/>
      </w:pPr>
      <w:r>
        <w:rPr>
          <w:sz w:val="24"/>
          <w:b/>
        </w:rPr>
        <w:t>质量保证及售后服务</w:t>
      </w:r>
    </w:p>
    <w:p>
      <w:pPr>
        <w:pStyle w:val="null3"/>
        <w:jc w:val="both"/>
      </w:pPr>
      <w:r>
        <w:rPr>
          <w:sz w:val="24"/>
        </w:rPr>
        <w:t xml:space="preserve">6.1 </w:t>
      </w:r>
      <w:r>
        <w:rPr>
          <w:sz w:val="24"/>
        </w:rPr>
        <w:t>乙方保证合同货物、设备、软件、服务及配套设备是全新的（出厂日期距离合同签订之日不得超过</w:t>
      </w:r>
      <w:r>
        <w:rPr>
          <w:sz w:val="24"/>
          <w:u w:val="single"/>
        </w:rPr>
        <w:t xml:space="preserve">  壹  </w:t>
      </w:r>
      <w:r>
        <w:rPr>
          <w:sz w:val="24"/>
        </w:rPr>
        <w:t>年）、未曾使用过的，且进货渠道合法。合同货物、设备、软件、服务及配套设备必须具备出厂合格证或出厂检测报告（进口货物、设备、软件、服务及配套设备还需要提供进口货物报关单、入境货物检验检疫证明），其质量、规格及技术特征符合合同附件的要求（在本条款下，如甲方对乙方交付的货物存在异议，乙方须提供相关的证明文件并附书面说明，如货物、设备、软件、服务及配套设备生产商出具书面出厂证明等，用以有效解释、证明甲方所质疑的事项）。</w:t>
      </w:r>
    </w:p>
    <w:p>
      <w:pPr>
        <w:pStyle w:val="null3"/>
        <w:jc w:val="both"/>
      </w:pPr>
      <w:r>
        <w:rPr>
          <w:sz w:val="24"/>
        </w:rPr>
        <w:t xml:space="preserve">6.2 </w:t>
      </w:r>
      <w:r>
        <w:rPr>
          <w:sz w:val="24"/>
        </w:rPr>
        <w:t>合同标的的保修期自验收合格之日起</w:t>
      </w:r>
      <w:r>
        <w:rPr>
          <w:sz w:val="24"/>
          <w:u w:val="single"/>
        </w:rPr>
        <w:t xml:space="preserve">   XX  </w:t>
      </w:r>
      <w:r>
        <w:rPr>
          <w:sz w:val="24"/>
        </w:rPr>
        <w:t>个月（详见响应文件）。保修期内非因甲方人为原因而出现产品质量及安装问题，由乙方负责免费包修、包换或包退，并承担因此而产生的一切费用。乙方应在收到甲方报修通知后【】小时（详见响应文件）内派员到现场维修。下列情况乙方不负责免费保修，但乙方需对此提供证明材料予以证明：</w:t>
      </w:r>
    </w:p>
    <w:p>
      <w:pPr>
        <w:pStyle w:val="null3"/>
        <w:ind w:firstLine="480"/>
        <w:jc w:val="both"/>
      </w:pPr>
      <w:r>
        <w:rPr>
          <w:sz w:val="24"/>
        </w:rPr>
        <w:t xml:space="preserve">6.3.1 </w:t>
      </w:r>
      <w:r>
        <w:rPr>
          <w:sz w:val="24"/>
        </w:rPr>
        <w:t>甲方不按照乙方提供的正确使用方法而引致合同标的故障损坏；</w:t>
      </w:r>
    </w:p>
    <w:p>
      <w:pPr>
        <w:pStyle w:val="null3"/>
        <w:ind w:firstLine="480"/>
        <w:jc w:val="both"/>
      </w:pPr>
      <w:r>
        <w:rPr>
          <w:sz w:val="24"/>
        </w:rPr>
        <w:t xml:space="preserve">6.3.2 </w:t>
      </w:r>
      <w:r>
        <w:rPr>
          <w:sz w:val="24"/>
        </w:rPr>
        <w:t>甲方擅自修改系统或改装合同标的；</w:t>
      </w:r>
    </w:p>
    <w:p>
      <w:pPr>
        <w:pStyle w:val="null3"/>
        <w:ind w:firstLine="480"/>
        <w:jc w:val="both"/>
      </w:pPr>
      <w:r>
        <w:rPr>
          <w:sz w:val="24"/>
        </w:rPr>
        <w:t xml:space="preserve">6.3.3 </w:t>
      </w:r>
      <w:r>
        <w:rPr>
          <w:sz w:val="24"/>
        </w:rPr>
        <w:t>非乙方过错的人为因素或天灾等外来因素造成的损坏。</w:t>
      </w:r>
    </w:p>
    <w:p>
      <w:pPr>
        <w:pStyle w:val="null3"/>
        <w:jc w:val="both"/>
      </w:pPr>
      <w:r>
        <w:rPr>
          <w:sz w:val="24"/>
        </w:rPr>
        <w:t xml:space="preserve">6.3 </w:t>
      </w:r>
      <w:r>
        <w:rPr>
          <w:sz w:val="24"/>
        </w:rPr>
        <w:t>因产品的质量问题而发生争议，甲乙双方均有权向广东省有资质的质检部门申请质量鉴定。产品符合质量标准的，鉴定费用由甲方承担；产品不符合质量标准的，鉴定费用由乙方承担。</w:t>
      </w:r>
    </w:p>
    <w:p>
      <w:pPr>
        <w:pStyle w:val="null3"/>
        <w:jc w:val="both"/>
      </w:pPr>
      <w:r>
        <w:rPr>
          <w:sz w:val="24"/>
        </w:rPr>
        <w:t xml:space="preserve">6.4 </w:t>
      </w:r>
      <w:r>
        <w:rPr>
          <w:sz w:val="24"/>
        </w:rPr>
        <w:t>乙方无偿培训甲方使用人员、维护及维修人员，主要内容为合同标的的基本结构、性能、主要部件/模块的构造及维护，日常使用与管理，常见故障的排除，紧急情况的处理等，培训地点主要在产品安装现场或按甲方安排。</w:t>
      </w:r>
    </w:p>
    <w:p>
      <w:pPr>
        <w:pStyle w:val="null3"/>
        <w:numPr>
          <w:ilvl w:val="0"/>
          <w:numId w:val="1"/>
        </w:numPr>
        <w:jc w:val="both"/>
      </w:pPr>
      <w:r>
        <w:rPr>
          <w:sz w:val="24"/>
          <w:b/>
        </w:rPr>
        <w:t>付款时间及方式</w:t>
      </w:r>
    </w:p>
    <w:p>
      <w:pPr>
        <w:pStyle w:val="null3"/>
        <w:ind w:right="-60" w:firstLine="480"/>
        <w:jc w:val="both"/>
      </w:pPr>
      <w:r>
        <w:rPr>
          <w:sz w:val="24"/>
        </w:rPr>
        <w:t xml:space="preserve">7.1 </w:t>
      </w:r>
      <w:r>
        <w:rPr>
          <w:sz w:val="24"/>
        </w:rPr>
        <w:t>（详见用户需求）</w:t>
      </w:r>
    </w:p>
    <w:p>
      <w:pPr>
        <w:pStyle w:val="null3"/>
        <w:ind w:right="-60" w:firstLine="480"/>
        <w:jc w:val="both"/>
      </w:pPr>
      <w:r>
        <w:rPr>
          <w:sz w:val="24"/>
        </w:rPr>
        <w:t>7.2</w:t>
      </w:r>
    </w:p>
    <w:p>
      <w:pPr>
        <w:pStyle w:val="null3"/>
        <w:ind w:firstLine="480"/>
        <w:jc w:val="both"/>
      </w:pPr>
      <w:r>
        <w:rPr>
          <w:sz w:val="24"/>
        </w:rPr>
        <w:t>7.3</w:t>
      </w:r>
    </w:p>
    <w:p>
      <w:pPr>
        <w:pStyle w:val="null3"/>
        <w:ind w:firstLine="480"/>
        <w:jc w:val="both"/>
      </w:pPr>
      <w:r>
        <w:rPr>
          <w:sz w:val="24"/>
          <w:color w:val="000000"/>
        </w:rPr>
        <w:t>7.4</w:t>
      </w:r>
      <w:r>
        <w:rPr>
          <w:sz w:val="24"/>
          <w:color w:val="000000"/>
        </w:rPr>
        <w:t>如乙</w:t>
      </w:r>
      <w:r>
        <w:rPr>
          <w:sz w:val="24"/>
        </w:rPr>
        <w:t>方违反甲方《广东医科大学附属医院信息化项目建设管理制度》，确认、统计后出现扣款情况的，甲方将从</w:t>
      </w:r>
      <w:r>
        <w:rPr>
          <w:sz w:val="24"/>
        </w:rPr>
        <w:t>本项目</w:t>
      </w:r>
      <w:r>
        <w:rPr>
          <w:sz w:val="24"/>
        </w:rPr>
        <w:t>货款中予以扣除相应金额，货款不足以抵扣的部分由乙方直接向甲方支付。</w:t>
      </w:r>
    </w:p>
    <w:p>
      <w:pPr>
        <w:pStyle w:val="null3"/>
        <w:ind w:firstLine="480"/>
        <w:jc w:val="both"/>
      </w:pPr>
      <w:r>
        <w:rPr>
          <w:sz w:val="24"/>
          <w:color w:val="000000"/>
        </w:rPr>
        <w:t>7.5</w:t>
      </w:r>
      <w:r>
        <w:rPr>
          <w:sz w:val="24"/>
          <w:color w:val="000000"/>
        </w:rPr>
        <w:t>甲方开</w:t>
      </w:r>
      <w:r>
        <w:rPr>
          <w:sz w:val="24"/>
        </w:rPr>
        <w:t>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010"/>
        <w:gridCol w:w="5700"/>
      </w:tblGrid>
      <w:tr>
        <w:tc>
          <w:tcPr>
            <w:tcW w:type="dxa" w:w="20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单位名称</w:t>
            </w:r>
          </w:p>
        </w:tc>
        <w:tc>
          <w:tcPr>
            <w:tcW w:type="dxa" w:w="5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广东医科大学附属医院</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统一社会信用代码</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12440000455858169P</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地址</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广东省湛江市霞山区人民大道南57号</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电话</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0759-2387612</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开户行</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广发银行湛江岭南支行</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账号</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109008516010000123</w:t>
            </w:r>
          </w:p>
        </w:tc>
      </w:tr>
    </w:tbl>
    <w:p>
      <w:pPr>
        <w:pStyle w:val="null3"/>
        <w:ind w:firstLine="480"/>
        <w:jc w:val="both"/>
      </w:pPr>
      <w:r>
        <w:rPr>
          <w:sz w:val="24"/>
          <w:color w:val="000000"/>
        </w:rPr>
        <w:t>7.6</w:t>
      </w:r>
      <w:r>
        <w:rPr>
          <w:sz w:val="24"/>
          <w:color w:val="000000"/>
        </w:rPr>
        <w:t>乙方</w:t>
      </w:r>
      <w:r>
        <w:rPr>
          <w:sz w:val="24"/>
        </w:rPr>
        <w:t>开户银行名称及账号：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1980"/>
        <w:gridCol w:w="5700"/>
      </w:tblGrid>
      <w:tr>
        <w:tc>
          <w:tcPr>
            <w:tcW w:type="dxa" w:w="19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用户名</w:t>
            </w:r>
          </w:p>
        </w:tc>
        <w:tc>
          <w:tcPr>
            <w:tcW w:type="dxa" w:w="5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XXX</w:t>
            </w:r>
            <w:r>
              <w:rPr>
                <w:sz w:val="24"/>
              </w:rPr>
              <w:t>公司</w:t>
            </w:r>
          </w:p>
        </w:tc>
      </w:tr>
      <w:tr>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开户银行</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XXX</w:t>
            </w:r>
          </w:p>
        </w:tc>
      </w:tr>
      <w:tr>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账号</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XXX</w:t>
            </w:r>
          </w:p>
        </w:tc>
      </w:tr>
    </w:tbl>
    <w:p>
      <w:pPr>
        <w:pStyle w:val="null3"/>
        <w:numPr>
          <w:ilvl w:val="0"/>
          <w:numId w:val="1"/>
        </w:numPr>
        <w:jc w:val="both"/>
      </w:pPr>
      <w:r>
        <w:rPr>
          <w:sz w:val="24"/>
          <w:b/>
        </w:rPr>
        <w:t>技术服务</w:t>
      </w:r>
    </w:p>
    <w:p>
      <w:pPr>
        <w:pStyle w:val="null3"/>
        <w:jc w:val="both"/>
      </w:pPr>
      <w:r>
        <w:rPr>
          <w:sz w:val="24"/>
        </w:rPr>
        <w:t xml:space="preserve">8.1 </w:t>
      </w:r>
      <w:r>
        <w:rPr>
          <w:sz w:val="24"/>
        </w:rPr>
        <w:t>乙方应按照合同要求期限内安排人员到甲方指定地点配合工作。如驻场人员能力达不到甲方要求，甲方有权要求更换项目驻场人员。</w:t>
      </w:r>
    </w:p>
    <w:p>
      <w:pPr>
        <w:pStyle w:val="null3"/>
        <w:jc w:val="both"/>
      </w:pPr>
      <w:r>
        <w:rPr>
          <w:sz w:val="24"/>
        </w:rPr>
        <w:t xml:space="preserve">8.2 </w:t>
      </w:r>
      <w:r>
        <w:rPr>
          <w:sz w:val="24"/>
        </w:rPr>
        <w:t>乙方按甲方提供的合同执行进度计划，再配合甲方及有关单位，以此做好合同执行进度上的配合工作。</w:t>
      </w:r>
    </w:p>
    <w:p>
      <w:pPr>
        <w:pStyle w:val="null3"/>
        <w:jc w:val="both"/>
      </w:pPr>
      <w:r>
        <w:rPr>
          <w:sz w:val="24"/>
        </w:rPr>
        <w:t xml:space="preserve">8.3 </w:t>
      </w:r>
      <w:r>
        <w:rPr>
          <w:sz w:val="24"/>
        </w:rPr>
        <w:t>在项目的建设和实施过程中，乙方应遵守甲方《广东医科大学附属医院信息化项目建设管理制度》内相关制度的考核，如有监理单位，则要接受甲方指定的监理单位的监督和考核。</w:t>
      </w:r>
    </w:p>
    <w:p>
      <w:pPr>
        <w:pStyle w:val="null3"/>
        <w:jc w:val="both"/>
      </w:pPr>
      <w:r>
        <w:rPr>
          <w:sz w:val="24"/>
        </w:rPr>
        <w:t xml:space="preserve">8.4 </w:t>
      </w:r>
      <w:r>
        <w:rPr>
          <w:sz w:val="24"/>
        </w:rPr>
        <w:t>乙方在货物开箱检验阶段必须派遣对货物熟悉的人员主导开箱检验工作，确保设备开箱检验的通过率。</w:t>
      </w:r>
    </w:p>
    <w:p>
      <w:pPr>
        <w:pStyle w:val="null3"/>
        <w:jc w:val="both"/>
      </w:pPr>
      <w:r>
        <w:rPr>
          <w:sz w:val="24"/>
        </w:rPr>
        <w:t xml:space="preserve">8.5 </w:t>
      </w:r>
      <w:r>
        <w:rPr>
          <w:sz w:val="24"/>
        </w:rPr>
        <w:t>乙方在项目实施阶段需要提供与响应文件相同资质和经验的项目人员，如项目人员有调整，需要提出书面的人员变更申请，并经过甲方和监理方（如有）同意后才能更换，且保证更换的人员资质和经验大于或等于原响应文件的要求。</w:t>
      </w:r>
    </w:p>
    <w:p>
      <w:pPr>
        <w:pStyle w:val="null3"/>
        <w:numPr>
          <w:ilvl w:val="0"/>
          <w:numId w:val="1"/>
        </w:numPr>
        <w:jc w:val="both"/>
      </w:pPr>
      <w:r>
        <w:rPr>
          <w:sz w:val="24"/>
          <w:b/>
        </w:rPr>
        <w:t>不可抗力</w:t>
      </w:r>
    </w:p>
    <w:p>
      <w:pPr>
        <w:pStyle w:val="null3"/>
        <w:spacing w:after="120"/>
        <w:jc w:val="both"/>
      </w:pPr>
      <w:r>
        <w:rPr>
          <w:sz w:val="24"/>
        </w:rPr>
        <w:t xml:space="preserve">9.1 </w:t>
      </w:r>
      <w:r>
        <w:rPr>
          <w:sz w:val="24"/>
        </w:rPr>
        <w:t>不可抗力指合同订立时不能预见、不能避免且不能克服的客观情况，包括台风、地震、洪水等。</w:t>
      </w:r>
    </w:p>
    <w:p>
      <w:pPr>
        <w:pStyle w:val="null3"/>
        <w:spacing w:after="120"/>
        <w:jc w:val="both"/>
      </w:pPr>
      <w:r>
        <w:rPr>
          <w:sz w:val="24"/>
        </w:rPr>
        <w:t xml:space="preserve">9.2 </w:t>
      </w:r>
      <w:r>
        <w:rPr>
          <w:sz w:val="24"/>
        </w:rPr>
        <w:t>签约双方中任何一方由于不可抗力影响合同执行时，发生不可抗力一方应在合理时间内尽快将事故通知另一方。在此情况下，乙方仍然有责任采取必要的措施加速供货，双方应通过友好协商尽快解决本合同的执行问题。</w:t>
      </w:r>
    </w:p>
    <w:p>
      <w:pPr>
        <w:pStyle w:val="null3"/>
        <w:numPr>
          <w:ilvl w:val="0"/>
          <w:numId w:val="1"/>
        </w:numPr>
        <w:jc w:val="both"/>
      </w:pPr>
      <w:r>
        <w:rPr>
          <w:sz w:val="24"/>
          <w:b/>
        </w:rPr>
        <w:t>索赔</w:t>
      </w:r>
    </w:p>
    <w:p>
      <w:pPr>
        <w:pStyle w:val="null3"/>
        <w:jc w:val="both"/>
      </w:pPr>
      <w:r>
        <w:rPr>
          <w:sz w:val="24"/>
        </w:rPr>
        <w:t xml:space="preserve">10.1 </w:t>
      </w:r>
      <w:r>
        <w:rPr>
          <w:sz w:val="24"/>
        </w:rPr>
        <w:t>如有异议，甲方有权根据相关有资质的质检部门的检验结果向乙方提出索赔。</w:t>
      </w:r>
    </w:p>
    <w:p>
      <w:pPr>
        <w:pStyle w:val="null3"/>
        <w:jc w:val="both"/>
      </w:pPr>
      <w:r>
        <w:rPr>
          <w:sz w:val="24"/>
        </w:rPr>
        <w:t xml:space="preserve">10.2 </w:t>
      </w:r>
      <w:r>
        <w:rPr>
          <w:sz w:val="24"/>
        </w:rPr>
        <w:t>在合同执行期间，如果乙方对甲方提出的索赔或差异（指合同实际履行情况与合同约定存在的差异）要求负有责任，乙方应按照甲方同意的下列一种或多种方式解决索赔事宜：</w:t>
      </w:r>
    </w:p>
    <w:p>
      <w:pPr>
        <w:pStyle w:val="null3"/>
        <w:ind w:left="420"/>
        <w:jc w:val="both"/>
      </w:pPr>
      <w:r>
        <w:rPr>
          <w:sz w:val="24"/>
        </w:rPr>
        <w:t xml:space="preserve">10.2.1 </w:t>
      </w:r>
      <w:r>
        <w:rPr>
          <w:sz w:val="24"/>
        </w:rPr>
        <w:t>乙方同意退货，并按合同规定的同种货币将货款退还给甲方，并承担由此造成甲方产生的一切损失和费用。</w:t>
      </w:r>
    </w:p>
    <w:p>
      <w:pPr>
        <w:pStyle w:val="null3"/>
        <w:ind w:left="420"/>
        <w:jc w:val="both"/>
      </w:pPr>
      <w:r>
        <w:rPr>
          <w:sz w:val="24"/>
        </w:rPr>
        <w:t xml:space="preserve">10.2.2 </w:t>
      </w:r>
      <w:r>
        <w:rPr>
          <w:sz w:val="24"/>
        </w:rPr>
        <w:t>根据货物低劣程度、损坏程度以及甲方所遭受损失的数额甲乙双方商定降低货物的价格。</w:t>
      </w:r>
    </w:p>
    <w:p>
      <w:pPr>
        <w:pStyle w:val="null3"/>
        <w:ind w:left="420"/>
        <w:jc w:val="both"/>
      </w:pPr>
      <w:r>
        <w:rPr>
          <w:sz w:val="24"/>
        </w:rPr>
        <w:t xml:space="preserve">10.2.3 </w:t>
      </w:r>
      <w:r>
        <w:rPr>
          <w:sz w:val="24"/>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jc w:val="both"/>
      </w:pPr>
      <w:r>
        <w:rPr>
          <w:sz w:val="24"/>
        </w:rPr>
        <w:t xml:space="preserve">10.3 </w:t>
      </w:r>
      <w:r>
        <w:rPr>
          <w:sz w:val="24"/>
        </w:rPr>
        <w:t>如果在甲方发出索赔通知后15天内，乙方未作书面答复，上述索赔应视为已被乙方接受。甲方将从合同款项中扣回索赔金额。如果这些金额不足以补偿索赔金额，乙方应对不足部分金额予以补偿。</w:t>
      </w:r>
    </w:p>
    <w:p>
      <w:pPr>
        <w:pStyle w:val="null3"/>
        <w:jc w:val="both"/>
      </w:pPr>
      <w:r>
        <w:rPr>
          <w:sz w:val="24"/>
        </w:rPr>
        <w:t>10.4</w:t>
      </w:r>
      <w:r>
        <w:rPr>
          <w:sz w:val="24"/>
        </w:rPr>
        <w:t>双方承担因其自身原因而导致项目延期的责任和费用。如因乙方原因造成项目出现严重故障并造成重大事故的，甲方有权终止合同，并向乙方索赔合同总额20%罚金，同时要求乙方另行承担由此为甲方造成的直接和间接损失；如因甲方原因出现事故，则由甲方承担相应责任和费用。</w:t>
      </w:r>
    </w:p>
    <w:p>
      <w:pPr>
        <w:pStyle w:val="null3"/>
        <w:jc w:val="both"/>
      </w:pPr>
      <w:r>
        <w:rPr>
          <w:sz w:val="24"/>
        </w:rPr>
        <w:t>10.5</w:t>
      </w:r>
      <w:r>
        <w:rPr>
          <w:sz w:val="24"/>
        </w:rPr>
        <w:t>如因客观原因导致工期延误，经各方共同协商并达成一致后，双方无须为此负责；项目工期如需调整必须在双方协商同意并出具《项目延期申请表》后方可生效。</w:t>
      </w:r>
    </w:p>
    <w:p>
      <w:pPr>
        <w:pStyle w:val="null3"/>
        <w:numPr>
          <w:ilvl w:val="0"/>
          <w:numId w:val="1"/>
        </w:numPr>
        <w:jc w:val="both"/>
      </w:pPr>
      <w:r>
        <w:rPr>
          <w:sz w:val="24"/>
          <w:b/>
        </w:rPr>
        <w:t>违约责任</w:t>
      </w:r>
    </w:p>
    <w:p>
      <w:pPr>
        <w:pStyle w:val="null3"/>
        <w:jc w:val="both"/>
      </w:pPr>
      <w:r>
        <w:rPr>
          <w:sz w:val="24"/>
        </w:rPr>
        <w:t>11.1</w:t>
      </w:r>
      <w:r>
        <w:rPr>
          <w:sz w:val="24"/>
        </w:rPr>
        <w:t>甲方向本合同乙方账号汇出款项即视为甲方已履行付款义务，在合同履行过程中，因乙方账户的原因（包括但不限于账号被注销、被冻结等）导致乙方无法收取款项的，由乙方承担相应后果。</w:t>
      </w:r>
    </w:p>
    <w:p>
      <w:pPr>
        <w:pStyle w:val="null3"/>
        <w:jc w:val="both"/>
      </w:pPr>
      <w:r>
        <w:rPr>
          <w:sz w:val="24"/>
        </w:rPr>
        <w:t xml:space="preserve">11.2 </w:t>
      </w:r>
      <w:r>
        <w:rPr>
          <w:sz w:val="24"/>
        </w:rPr>
        <w:t>如因乙方原因未能按时交货，每逾期1天，乙方须向甲方支付合同金额的5‰的违约金，甲方有权直接从应付给乙方的合同款项中扣除该违约金。若逾期超过【15】日，甲方还有权单方面解除本合同并要求乙方承担由此为甲方造成的直接和间接损失。</w:t>
      </w:r>
    </w:p>
    <w:p>
      <w:pPr>
        <w:pStyle w:val="null3"/>
        <w:jc w:val="both"/>
      </w:pPr>
      <w:r>
        <w:rPr>
          <w:sz w:val="24"/>
        </w:rPr>
        <w:t xml:space="preserve">11.3 </w:t>
      </w:r>
      <w:r>
        <w:rPr>
          <w:sz w:val="24"/>
        </w:rPr>
        <w:t>乙方交付的货物不符合合同规定的，甲方有权拒收并要求乙方更换，且乙方还须向甲方支付合同金额的3%的违约金，甲方有权直接从应付给乙方的合同款项中扣除该违约金。</w:t>
      </w:r>
    </w:p>
    <w:p>
      <w:pPr>
        <w:pStyle w:val="null3"/>
        <w:ind w:firstLine="480"/>
        <w:jc w:val="both"/>
      </w:pPr>
      <w:r>
        <w:rPr>
          <w:sz w:val="24"/>
        </w:rPr>
        <w:t>如果甲方同意更换的，乙方应于收到甲方拒绝收货通知书之日起按本合同约定的期限重新提供符合合同约定的货物，乙方在本合同约定的期限内未能调换的，按逾期交货的违约责任处理。</w:t>
      </w:r>
    </w:p>
    <w:p>
      <w:pPr>
        <w:pStyle w:val="null3"/>
        <w:ind w:firstLine="480"/>
        <w:jc w:val="both"/>
      </w:pPr>
      <w:r>
        <w:rPr>
          <w:sz w:val="24"/>
        </w:rPr>
        <w:t>如果乙方拒绝重新提供货物，或重新提供的货物仍不符合合同规定的，甲方有权拒收货物，视为乙方交付的货物不符合本合同规定，甲方有权解除本合同，且乙方须向甲方支付合同总金额的20%作为违约金，并保留追究因乙方的违约导致甲方产生的一切经济损失（包括因项目延期期间的可得收益）。</w:t>
      </w:r>
    </w:p>
    <w:p>
      <w:pPr>
        <w:pStyle w:val="null3"/>
        <w:jc w:val="both"/>
      </w:pPr>
      <w:r>
        <w:rPr>
          <w:sz w:val="24"/>
        </w:rPr>
        <w:t xml:space="preserve">11.4 </w:t>
      </w:r>
      <w:r>
        <w:rPr>
          <w:sz w:val="24"/>
        </w:rPr>
        <w:t>甲方无正当理由拒收货物的，甲方向乙方支付合同总金额的5%的违约金。</w:t>
      </w:r>
    </w:p>
    <w:p>
      <w:pPr>
        <w:pStyle w:val="null3"/>
        <w:jc w:val="both"/>
      </w:pPr>
      <w:r>
        <w:rPr>
          <w:sz w:val="24"/>
        </w:rPr>
        <w:t>11.5</w:t>
      </w:r>
      <w:r>
        <w:rPr>
          <w:sz w:val="24"/>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4"/>
        </w:rPr>
        <w:t xml:space="preserve">11.6 </w:t>
      </w:r>
      <w:r>
        <w:rPr>
          <w:sz w:val="24"/>
        </w:rPr>
        <w:t>甲方如逾期支付，经双方协商后，甲方根据协商结果承担逾期支付相应责任。</w:t>
      </w:r>
    </w:p>
    <w:p>
      <w:pPr>
        <w:pStyle w:val="null3"/>
        <w:jc w:val="both"/>
      </w:pPr>
      <w:r>
        <w:rPr>
          <w:sz w:val="24"/>
        </w:rPr>
        <w:t>11.7</w:t>
      </w:r>
      <w:r>
        <w:rPr>
          <w:sz w:val="24"/>
        </w:rPr>
        <w:t>其他违约情形的责任按《中华人民共和国民法典》</w:t>
      </w:r>
      <w:r>
        <w:rPr>
          <w:sz w:val="24"/>
        </w:rPr>
        <w:t>及相关法律法规的</w:t>
      </w:r>
      <w:r>
        <w:rPr>
          <w:sz w:val="24"/>
        </w:rPr>
        <w:t>规定处理。</w:t>
      </w:r>
    </w:p>
    <w:p>
      <w:pPr>
        <w:pStyle w:val="null3"/>
        <w:numPr>
          <w:ilvl w:val="0"/>
          <w:numId w:val="1"/>
        </w:numPr>
        <w:jc w:val="both"/>
      </w:pPr>
      <w:r>
        <w:rPr>
          <w:sz w:val="24"/>
          <w:b/>
        </w:rPr>
        <w:t>合同解除</w:t>
      </w:r>
    </w:p>
    <w:p>
      <w:pPr>
        <w:pStyle w:val="null3"/>
        <w:ind w:firstLine="480"/>
        <w:jc w:val="both"/>
      </w:pPr>
      <w:r>
        <w:rPr>
          <w:sz w:val="24"/>
        </w:rPr>
        <w:t>如果一方严重违反合同，并在收到对方违约通知书之日起15天内仍未能改正，对方有权立即解除本合同而不构成违约。在此情形下，违约方仍应当赔偿守约方因此遭受的损失，包括但不限于守约方的直接经济损失、间接经济损失、守约方为追究违约责任所发生的律师费、诉讼费、保全费、保函费、鉴定费、差旅费、交通费等。</w:t>
      </w:r>
    </w:p>
    <w:p>
      <w:pPr>
        <w:pStyle w:val="null3"/>
        <w:numPr>
          <w:ilvl w:val="0"/>
          <w:numId w:val="1"/>
        </w:numPr>
        <w:jc w:val="both"/>
      </w:pPr>
      <w:r>
        <w:rPr>
          <w:sz w:val="24"/>
          <w:b/>
        </w:rPr>
        <w:t>争议解决</w:t>
      </w:r>
    </w:p>
    <w:p>
      <w:pPr>
        <w:pStyle w:val="null3"/>
        <w:ind w:firstLine="480"/>
        <w:jc w:val="both"/>
      </w:pPr>
      <w:r>
        <w:rPr>
          <w:sz w:val="24"/>
        </w:rPr>
        <w:t>签约双方在履约中发生争执和分歧，双方应通过友好协商解决；若经协商不能达成协议时，可通过向法院提起诉讼解决；双方同意诉讼管辖法院为甲方住所地人民法院。协商、调解或诉讼期间，除争议条款外，原则上双方应继续执行合同其余部分。</w:t>
      </w:r>
    </w:p>
    <w:p>
      <w:pPr>
        <w:pStyle w:val="null3"/>
        <w:numPr>
          <w:ilvl w:val="0"/>
          <w:numId w:val="1"/>
        </w:numPr>
        <w:ind w:right="-60"/>
        <w:jc w:val="both"/>
      </w:pPr>
      <w:r>
        <w:rPr>
          <w:sz w:val="24"/>
          <w:b/>
        </w:rPr>
        <w:t>其他</w:t>
      </w:r>
    </w:p>
    <w:p>
      <w:pPr>
        <w:pStyle w:val="null3"/>
        <w:jc w:val="both"/>
      </w:pPr>
      <w:r>
        <w:rPr>
          <w:sz w:val="24"/>
        </w:rPr>
        <w:t>14.1</w:t>
      </w:r>
      <w:r>
        <w:rPr>
          <w:sz w:val="24"/>
        </w:rPr>
        <w:t>合同签订地：广东省湛江市霞山区人民大道南57号。</w:t>
      </w:r>
    </w:p>
    <w:p>
      <w:pPr>
        <w:pStyle w:val="null3"/>
        <w:jc w:val="both"/>
      </w:pPr>
      <w:r>
        <w:rPr>
          <w:sz w:val="24"/>
        </w:rPr>
        <w:t>14.2</w:t>
      </w:r>
      <w:r>
        <w:rPr>
          <w:sz w:val="24"/>
        </w:rPr>
        <w:t>本合同正本柒份（每份合同必须双面打印并附上页码，并加盖骑缝章），甲方执伍份，乙方执贰份，具有同等法律效力。</w:t>
      </w:r>
    </w:p>
    <w:p>
      <w:pPr>
        <w:pStyle w:val="null3"/>
        <w:jc w:val="both"/>
      </w:pPr>
      <w:r>
        <w:rPr>
          <w:sz w:val="24"/>
        </w:rPr>
        <w:t>14.3</w:t>
      </w:r>
      <w:r>
        <w:rPr>
          <w:sz w:val="24"/>
        </w:rPr>
        <w:t>本合同自双方法定代表人或授权代表签字并加盖单位公章（或合同专用章）之日起生效。</w:t>
      </w:r>
    </w:p>
    <w:p>
      <w:pPr>
        <w:pStyle w:val="null3"/>
        <w:jc w:val="both"/>
      </w:pPr>
      <w:r>
        <w:rPr>
          <w:sz w:val="24"/>
        </w:rPr>
        <w:t>14.4</w:t>
      </w:r>
      <w:r>
        <w:rPr>
          <w:sz w:val="24"/>
        </w:rPr>
        <w:t>本合同未尽事宜，经双方友好协商可另行签订补充协议。补充条款为本合同不可分割的一部分，与本合同具有同等法律效力，补充条款与本合同不一致的，以补充条款为准。</w:t>
      </w:r>
    </w:p>
    <w:p>
      <w:pPr>
        <w:pStyle w:val="null3"/>
        <w:jc w:val="both"/>
      </w:pPr>
      <w:r>
        <w:rPr>
          <w:sz w:val="24"/>
        </w:rPr>
        <w:t>14.5</w:t>
      </w:r>
      <w:r>
        <w:rPr>
          <w:sz w:val="24"/>
        </w:rPr>
        <w:t>双方确认本协议合同首部及签字页的联系方式为各自有效送达地址和联系方式，对方或法院向该地址送达的文书、文件等均视为有效送达。如一方注册信息（含单位名称、地址、电话、传真号码等）发生变更，应于变更后2个工作日内书面通知对方，否则违约方应承担相应责任。由于合同一方提供或者确认的送达地址不准确、送达地址变更后未及时依程序履行通知义务、指定接收人拒绝签收等原因而导致的不利后果及产生的法律责任，应当自行承担。</w:t>
      </w:r>
    </w:p>
    <w:p>
      <w:pPr>
        <w:pStyle w:val="null3"/>
        <w:ind w:firstLine="480"/>
        <w:jc w:val="both"/>
      </w:pPr>
      <w:r>
        <w:rPr>
          <w:sz w:val="24"/>
        </w:rPr>
        <w:t>各方授权代表或法定代表人向对方发送的通知、文件、资料等均视为各自代理的法人的真实意思表示，即视为法人的行为。</w:t>
      </w:r>
    </w:p>
    <w:p>
      <w:pPr>
        <w:pStyle w:val="null3"/>
        <w:jc w:val="both"/>
      </w:pPr>
      <w:r>
        <w:rPr>
          <w:sz w:val="24"/>
        </w:rPr>
        <w:t>14.6</w:t>
      </w:r>
      <w:r>
        <w:rPr>
          <w:sz w:val="24"/>
        </w:rPr>
        <w:t>合同附件：</w:t>
      </w:r>
    </w:p>
    <w:p>
      <w:pPr>
        <w:pStyle w:val="null3"/>
        <w:ind w:firstLine="480"/>
        <w:jc w:val="both"/>
      </w:pPr>
      <w:r>
        <w:rPr>
          <w:sz w:val="24"/>
        </w:rPr>
        <w:t>□14.6.1 货物的配置清单（货物型号、参数、功能、数量、质量等应与</w:t>
      </w:r>
      <w:r>
        <w:rPr>
          <w:sz w:val="24"/>
        </w:rPr>
        <w:t>采购文件、响应文件的内容一致，</w:t>
      </w:r>
      <w:r>
        <w:rPr>
          <w:sz w:val="24"/>
        </w:rPr>
        <w:t>乙方署名并加盖公章）。</w:t>
      </w:r>
    </w:p>
    <w:p>
      <w:pPr>
        <w:pStyle w:val="null3"/>
        <w:ind w:firstLine="480"/>
        <w:jc w:val="both"/>
      </w:pPr>
      <w:r>
        <w:rPr>
          <w:sz w:val="24"/>
        </w:rPr>
        <w:t>□14.6.2 成交结果通知书（加盖乙方公章）。</w:t>
      </w:r>
    </w:p>
    <w:p>
      <w:pPr>
        <w:pStyle w:val="null3"/>
        <w:ind w:firstLine="480"/>
        <w:jc w:val="both"/>
      </w:pPr>
      <w:r>
        <w:rPr>
          <w:sz w:val="24"/>
        </w:rPr>
        <w:t>□14.6.3 售后服务承诺（加盖乙方公章）。</w:t>
      </w:r>
    </w:p>
    <w:p>
      <w:pPr>
        <w:pStyle w:val="null3"/>
        <w:ind w:firstLine="480"/>
        <w:jc w:val="both"/>
      </w:pPr>
      <w:r>
        <w:rPr>
          <w:sz w:val="24"/>
        </w:rPr>
        <w:t>□14.6.4 其他：。</w:t>
      </w:r>
    </w:p>
    <w:p>
      <w:pPr>
        <w:pStyle w:val="null3"/>
        <w:jc w:val="both"/>
      </w:pPr>
      <w:r>
        <w:rPr>
          <w:sz w:val="24"/>
          <w:b/>
        </w:rPr>
        <w:t>（以下无条款）</w:t>
      </w:r>
    </w:p>
    <w:tbl>
      <w:tblPr>
        <w:tblW w:w="0" w:type="auto"/>
        <w:tblBorders>
          <w:top w:val="none" w:color="000000" w:sz="4"/>
          <w:left w:val="none" w:color="000000" w:sz="4"/>
          <w:bottom w:val="none" w:color="000000" w:sz="4"/>
          <w:right w:val="none" w:color="000000" w:sz="4"/>
          <w:insideH w:val="none"/>
          <w:insideV w:val="none"/>
        </w:tblBorders>
      </w:tblPr>
      <w:tblGrid>
        <w:gridCol w:w="4140"/>
        <w:gridCol w:w="4166"/>
      </w:tblGrid>
      <w:tr>
        <w:tc>
          <w:tcPr>
            <w:tcW w:type="dxa" w:w="4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甲方（盖章）：</w:t>
            </w:r>
            <w:r>
              <w:rPr>
                <w:sz w:val="21"/>
              </w:rPr>
              <w:t>广东医科大学附属医院</w:t>
            </w:r>
          </w:p>
        </w:tc>
        <w:tc>
          <w:tcPr>
            <w:tcW w:type="dxa" w:w="4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乙方（盖章）：</w:t>
            </w:r>
          </w:p>
        </w:tc>
      </w:tr>
      <w:tr>
        <w:tc>
          <w:tcPr>
            <w:tcW w:type="dxa" w:w="414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60"/>
              <w:jc w:val="both"/>
            </w:pPr>
            <w:r>
              <w:rPr>
                <w:sz w:val="21"/>
                <w:b/>
              </w:rPr>
              <w:t>地址：</w:t>
            </w:r>
            <w:r>
              <w:rPr>
                <w:sz w:val="21"/>
              </w:rPr>
              <w:t>广东省湛江市霞山区人民大道南57号</w:t>
            </w:r>
          </w:p>
          <w:p>
            <w:pPr>
              <w:pStyle w:val="null3"/>
              <w:ind w:right="-60"/>
              <w:jc w:val="both"/>
            </w:pPr>
            <w:r>
              <w:rPr>
                <w:sz w:val="21"/>
                <w:b/>
              </w:rPr>
              <w:t>邮编：</w:t>
            </w:r>
            <w:r>
              <w:rPr>
                <w:sz w:val="21"/>
              </w:rPr>
              <w:t>524001</w:t>
            </w:r>
          </w:p>
          <w:p>
            <w:pPr>
              <w:pStyle w:val="null3"/>
              <w:ind w:right="-60"/>
              <w:jc w:val="both"/>
            </w:pPr>
            <w:r>
              <w:rPr>
                <w:sz w:val="21"/>
                <w:b/>
              </w:rPr>
              <w:t>电话：07592387575</w:t>
            </w:r>
          </w:p>
        </w:tc>
        <w:tc>
          <w:tcPr>
            <w:tcW w:type="dxa" w:w="4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地址：</w:t>
            </w:r>
          </w:p>
          <w:p>
            <w:pPr>
              <w:pStyle w:val="null3"/>
              <w:ind w:right="-60"/>
              <w:jc w:val="both"/>
            </w:pPr>
            <w:r>
              <w:rPr>
                <w:sz w:val="21"/>
                <w:b/>
              </w:rPr>
              <w:t>邮编：</w:t>
            </w:r>
          </w:p>
          <w:p>
            <w:pPr>
              <w:pStyle w:val="null3"/>
              <w:ind w:right="-60"/>
              <w:jc w:val="both"/>
            </w:pPr>
            <w:r>
              <w:rPr>
                <w:sz w:val="21"/>
                <w:b/>
              </w:rPr>
              <w:t>电话：</w:t>
            </w:r>
          </w:p>
          <w:p>
            <w:pPr>
              <w:pStyle w:val="null3"/>
              <w:ind w:right="-60"/>
              <w:jc w:val="both"/>
            </w:pPr>
            <w:r>
              <w:rPr>
                <w:sz w:val="21"/>
                <w:b/>
              </w:rPr>
              <w:t>电子邮箱：</w:t>
            </w:r>
          </w:p>
        </w:tc>
      </w:tr>
      <w:tr>
        <w:tc>
          <w:tcPr>
            <w:tcW w:type="dxa" w:w="4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法定代表人</w:t>
            </w:r>
          </w:p>
          <w:p>
            <w:pPr>
              <w:pStyle w:val="null3"/>
              <w:ind w:right="-60"/>
              <w:jc w:val="both"/>
            </w:pPr>
            <w:r>
              <w:rPr>
                <w:sz w:val="21"/>
                <w:b/>
              </w:rPr>
              <w:t>或授权代表（签字/签章）：</w:t>
            </w:r>
          </w:p>
        </w:tc>
        <w:tc>
          <w:tcPr>
            <w:tcW w:type="dxa" w:w="4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法定代表人</w:t>
            </w:r>
          </w:p>
          <w:p>
            <w:pPr>
              <w:pStyle w:val="null3"/>
              <w:ind w:right="-60"/>
              <w:jc w:val="both"/>
            </w:pPr>
            <w:r>
              <w:rPr>
                <w:sz w:val="21"/>
                <w:b/>
              </w:rPr>
              <w:t>或授权代表（签字/签章）：</w:t>
            </w:r>
          </w:p>
        </w:tc>
      </w:tr>
      <w:tr>
        <w:tc>
          <w:tcPr>
            <w:tcW w:type="dxa" w:w="4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签订日期：</w:t>
            </w:r>
            <w:r>
              <w:rPr>
                <w:sz w:val="21"/>
              </w:rPr>
              <w:t xml:space="preserve">                </w:t>
            </w:r>
            <w:r>
              <w:rPr>
                <w:sz w:val="21"/>
              </w:rPr>
              <w:t>年   月   日</w:t>
            </w:r>
          </w:p>
        </w:tc>
        <w:tc>
          <w:tcPr>
            <w:tcW w:type="dxa" w:w="4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签订日期：</w:t>
            </w:r>
            <w:r>
              <w:rPr>
                <w:sz w:val="21"/>
              </w:rPr>
              <w:t xml:space="preserve">                  </w:t>
            </w:r>
            <w:r>
              <w:rPr>
                <w:sz w:val="21"/>
              </w:rPr>
              <w:t>年   月   日</w:t>
            </w: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440001-2024-58748</w:t>
      </w:r>
    </w:p>
    <w:p>
      <w:pPr>
        <w:pStyle w:val="null3"/>
        <w:jc w:val="center"/>
        <w:outlineLvl w:val="3"/>
      </w:pPr>
      <w:r>
        <w:rPr>
          <w:sz w:val="24"/>
          <w:b/>
        </w:rPr>
        <w:t>采购项目编号：</w:t>
      </w:r>
      <w:r>
        <w:rPr>
          <w:sz w:val="24"/>
          <w:b/>
        </w:rPr>
        <w:t>GPCGD243174HG231F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广东医科大学附属医院海东院区智能移动生命监测系统项目</w:t>
      </w:r>
      <w:r>
        <w:rPr>
          <w:u w:val="single"/>
        </w:rPr>
        <w:t>”</w:t>
      </w:r>
      <w:r>
        <w:rPr/>
        <w:t>项目的招标[采购项目编号为：</w:t>
      </w:r>
      <w:r>
        <w:rPr>
          <w:u w:val="single"/>
        </w:rPr>
        <w:t>GPCGD243174HG231F</w:t>
      </w:r>
      <w:r>
        <w:rPr/>
        <w:t>]，我方愿参与投标。</w:t>
      </w:r>
    </w:p>
    <w:p>
      <w:pPr>
        <w:pStyle w:val="null3"/>
        <w:ind w:firstLine="480"/>
      </w:pPr>
      <w:r>
        <w:rPr/>
        <w:t>我方确认收到贵方提供的</w:t>
      </w:r>
      <w:r>
        <w:rPr>
          <w:u w:val="single"/>
        </w:rPr>
        <w:t>“</w:t>
      </w:r>
      <w:r>
        <w:rPr>
          <w:u w:val="single"/>
        </w:rPr>
        <w:t>广东医科大学附属医院海东院区智能移动生命监测系统项目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广东医科大学附属医院海东院区智能移动生命监测系统项目</w:t>
      </w:r>
      <w:r>
        <w:rPr/>
        <w:t>”项目采购[采购项目编号为</w:t>
      </w:r>
      <w:r>
        <w:rPr/>
        <w:t>GPCGD243174HG231F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广东医科大学附属医院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广东医科大学附属医院海东院区智能移动生命监测系统项目</w:t>
      </w:r>
      <w:r>
        <w:rPr/>
        <w:t>招标中获中标（采购项目编号：</w:t>
      </w:r>
      <w:r>
        <w:rPr/>
        <w:t>GPCGD243174HG231F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广东医科大学附属医院海东院区智能移动生命监测系统项目</w:t>
      </w:r>
      <w:r>
        <w:rPr/>
        <w:t>”项目（采购项目编号：</w:t>
      </w:r>
      <w:r>
        <w:rPr/>
        <w:t>GPCGD243174HG231F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