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440001-2024-43286</w:t>
      </w:r>
    </w:p>
    <w:p>
      <w:pPr>
        <w:pStyle w:val="null3"/>
        <w:jc w:val="center"/>
        <w:outlineLvl w:val="3"/>
      </w:pPr>
      <w:r>
        <w:rPr>
          <w:sz w:val="24"/>
          <w:b/>
        </w:rPr>
        <w:t>采购项目编号：</w:t>
      </w:r>
      <w:r>
        <w:rPr>
          <w:sz w:val="24"/>
          <w:b/>
        </w:rPr>
        <w:t>GPCGD241156HG246J</w:t>
      </w:r>
    </w:p>
    <w:p>
      <w:pPr>
        <w:pStyle w:val="null3"/>
        <w:jc w:val="center"/>
        <w:outlineLvl w:val="3"/>
      </w:pPr>
      <w:r>
        <w:rPr>
          <w:sz w:val="24"/>
          <w:b/>
        </w:rPr>
        <w:t>项目名称：</w:t>
      </w:r>
      <w:r>
        <w:rPr>
          <w:sz w:val="24"/>
          <w:b/>
        </w:rPr>
        <w:t>广东环境保护工程职业学院虚拟仿真实训室建设项目</w:t>
      </w:r>
    </w:p>
    <w:p>
      <w:pPr>
        <w:pStyle w:val="null3"/>
        <w:jc w:val="center"/>
        <w:outlineLvl w:val="3"/>
      </w:pPr>
      <w:r>
        <w:rPr>
          <w:sz w:val="24"/>
          <w:b/>
        </w:rPr>
        <w:t>采购人：</w:t>
      </w:r>
      <w:r>
        <w:rPr>
          <w:sz w:val="24"/>
          <w:b/>
        </w:rPr>
        <w:t>广东环境保护工程职业学院</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广东省政府采购中心</w:t>
      </w:r>
      <w:r>
        <w:rPr/>
        <w:t>受</w:t>
      </w:r>
      <w:r>
        <w:rPr/>
        <w:t>广东环境保护工程职业学院</w:t>
      </w:r>
      <w:r>
        <w:rPr/>
        <w:t>的委托，采用</w:t>
      </w:r>
      <w:r>
        <w:rPr/>
        <w:t>公开招标</w:t>
      </w:r>
      <w:r>
        <w:rPr/>
        <w:t>方式组织采购</w:t>
      </w:r>
      <w:r>
        <w:rPr/>
        <w:t>广东环境保护工程职业学院虚拟仿真实训室建设项目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广东环境保护工程职业学院虚拟仿真实训室建设项目</w:t>
      </w:r>
    </w:p>
    <w:p>
      <w:pPr>
        <w:pStyle w:val="null3"/>
        <w:ind w:firstLine="480"/>
      </w:pPr>
      <w:r>
        <w:rPr/>
        <w:t>采购计划编号：</w:t>
      </w:r>
      <w:r>
        <w:rPr/>
        <w:t>440001-2024-43286</w:t>
      </w:r>
    </w:p>
    <w:p>
      <w:pPr>
        <w:pStyle w:val="null3"/>
        <w:ind w:firstLine="480"/>
      </w:pPr>
      <w:r>
        <w:rPr/>
        <w:t>采购项目编号：</w:t>
      </w:r>
      <w:r>
        <w:rPr/>
        <w:t>GPCGD241156HG246J</w:t>
      </w:r>
    </w:p>
    <w:p>
      <w:pPr>
        <w:pStyle w:val="null3"/>
        <w:ind w:firstLine="480"/>
      </w:pPr>
      <w:r>
        <w:rPr/>
        <w:t>采购方式：</w:t>
      </w:r>
      <w:r>
        <w:rPr/>
        <w:t>公开招标</w:t>
      </w:r>
    </w:p>
    <w:p>
      <w:pPr>
        <w:pStyle w:val="null3"/>
        <w:ind w:firstLine="480"/>
      </w:pPr>
      <w:r>
        <w:rPr/>
        <w:t>预算金额：</w:t>
      </w:r>
      <w:r>
        <w:rPr/>
        <w:t>1,722,139.00</w:t>
      </w:r>
      <w:r>
        <w:rPr/>
        <w:t>元</w:t>
      </w:r>
    </w:p>
    <w:p>
      <w:pPr>
        <w:pStyle w:val="null3"/>
        <w:outlineLvl w:val="3"/>
      </w:pPr>
      <w:r>
        <w:rPr>
          <w:sz w:val="24"/>
          <w:b/>
        </w:rPr>
        <w:t>2.项目内容及需求情况（采购项目技术规格、参数及要求）</w:t>
      </w:r>
    </w:p>
    <w:p>
      <w:pPr>
        <w:pStyle w:val="null3"/>
      </w:pPr>
      <w:r>
        <w:rPr/>
        <w:t>采购包1(虚拟仿真实训室建设项目):</w:t>
      </w:r>
    </w:p>
    <w:p>
      <w:pPr>
        <w:pStyle w:val="null3"/>
      </w:pPr>
      <w:r>
        <w:rPr/>
        <w:t>采购包预算金额：1,722,139.00元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虚拟仿真实训室建设项目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分布式桌面云系统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合同履行期限：签订合同后60天内交货安装完毕。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3）具有良好的商业信誉和健全的财务会计制度：供应商必须具有良好的商业信誉和健全的财务会计制度（提供以下2种证明材料之一：a. 2023年度经会计师事务所审计的财务状况报告；b.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参加政府采购活动前三年内，在经营活动中没有重大违法记录（可参照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采购包1（虚拟仿真实训室建设项目）：</w:t>
      </w:r>
      <w:r>
        <w:rPr/>
        <w:t>本包组除不适宜专门面向中小企业采购的货物外（具体清单详见用户需求内容），其它货物均面向中小企业采购。供应商提供的货物（除不适宜专门面向中小企业采购的货物外）须由中小企业生产且使用该中小企业商号或注册商标。中小企业须符合本项目采购标的对应行业（工业）的政策划分标准的中小企业。监狱企业、残疾人福利单位视同小型、微型企业。 注：中小企业应填写的投标人盖章的《中小企业声明函》（货物）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采购包1（虚拟仿真实训室建设项目）：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广东环境保护工程职业学院</w:t>
      </w:r>
    </w:p>
    <w:p>
      <w:pPr>
        <w:pStyle w:val="null3"/>
        <w:ind w:firstLine="480"/>
      </w:pPr>
      <w:r>
        <w:rPr/>
        <w:t xml:space="preserve"> 地址：</w:t>
      </w:r>
      <w:r>
        <w:rPr/>
        <w:t>佛山市南海区丹灶镇桂丹西路98号</w:t>
      </w:r>
    </w:p>
    <w:p>
      <w:pPr>
        <w:pStyle w:val="null3"/>
        <w:ind w:firstLine="480"/>
      </w:pPr>
      <w:r>
        <w:rPr/>
        <w:t xml:space="preserve"> 联系方式：</w:t>
      </w:r>
      <w:r>
        <w:rPr/>
        <w:t>0757-81773633</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020-83196835</w:t>
      </w:r>
    </w:p>
    <w:p>
      <w:pPr>
        <w:pStyle w:val="null3"/>
        <w:outlineLvl w:val="3"/>
      </w:pPr>
      <w:r>
        <w:rPr>
          <w:sz w:val="24"/>
          <w:b/>
        </w:rPr>
        <w:t xml:space="preserve"> 3.项目联系方式</w:t>
      </w:r>
    </w:p>
    <w:p>
      <w:pPr>
        <w:pStyle w:val="null3"/>
        <w:ind w:firstLine="480"/>
      </w:pPr>
      <w:r>
        <w:rPr/>
        <w:t xml:space="preserve"> 项目联系人：</w:t>
      </w:r>
      <w:r>
        <w:rPr/>
        <w:t>宋工</w:t>
      </w:r>
    </w:p>
    <w:p>
      <w:pPr>
        <w:pStyle w:val="null3"/>
        <w:ind w:firstLine="480"/>
      </w:pPr>
      <w:r>
        <w:rPr/>
        <w:t xml:space="preserve"> 电话：</w:t>
      </w:r>
      <w:r>
        <w:rPr/>
        <w:t>020-83196835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rPr>
        <w:t>★</w:t>
      </w:r>
      <w:r>
        <w:rPr>
          <w:sz w:val="21"/>
          <w:b/>
        </w:rPr>
        <w:t>”号条款</w:t>
      </w:r>
    </w:p>
    <w:p>
      <w:pPr>
        <w:pStyle w:val="null3"/>
        <w:ind w:firstLine="420"/>
        <w:jc w:val="both"/>
      </w:pPr>
      <w:r>
        <w:rPr>
          <w:sz w:val="21"/>
        </w:rPr>
        <w:t>《用户需求书》中标注有“</w:t>
      </w:r>
      <w:r>
        <w:rPr>
          <w:sz w:val="21"/>
        </w:rPr>
        <w:t>★”号的条款必须实质性响应，负偏离（不满足要求）将导致投标无效。</w:t>
      </w:r>
    </w:p>
    <w:p>
      <w:pPr>
        <w:pStyle w:val="null3"/>
        <w:jc w:val="both"/>
      </w:pPr>
      <w:r>
        <w:rPr>
          <w:sz w:val="21"/>
          <w:b/>
        </w:rPr>
        <w:t>项目概况</w:t>
      </w:r>
    </w:p>
    <w:p>
      <w:pPr>
        <w:pStyle w:val="null3"/>
        <w:ind w:firstLine="420"/>
        <w:jc w:val="both"/>
      </w:pPr>
      <w:r>
        <w:rPr>
          <w:sz w:val="21"/>
        </w:rPr>
        <w:t xml:space="preserve">1)  </w:t>
      </w:r>
      <w:r>
        <w:rPr>
          <w:sz w:val="21"/>
        </w:rPr>
        <w:t>硬件方面：实训楼C栋504机房建设于2012年，C栋408和C栋607建于2014年，这三间机房电脑使用年限长，硬件老化严重，零部件脆化极其碎裂且频繁坏机蓝屏，部分硬件故障无法修复，可支撑稳定运行电脑已不足50台，且不定期多台出现硬件故障导致机子数不足、教学考证无法正常开展。机子性能已无法满足现有的教学和技能鉴定考证需求，如无法满足1+X证书污水处理工\粮农食品安全、无人机驾驶开考的硬件条件；也无法满足UG，3D MAX，BIM、图像图像处理软件、各类大型仿真软件的教学开展需求。</w:t>
      </w:r>
    </w:p>
    <w:p>
      <w:pPr>
        <w:pStyle w:val="null3"/>
        <w:ind w:firstLine="420"/>
        <w:jc w:val="both"/>
      </w:pPr>
      <w:r>
        <w:rPr>
          <w:sz w:val="21"/>
        </w:rPr>
        <w:t xml:space="preserve">2)  </w:t>
      </w:r>
      <w:r>
        <w:rPr>
          <w:sz w:val="21"/>
        </w:rPr>
        <w:t>管理方面：计算机机房是学校实验教学的重要平台，不仅承担着学校不同学院、不同专业的教学和实验任务，同时还要为各类考试、培训等提供上机环境。随着机房规模不断扩大，计算机数量越来越多，面对各种教学软件日益增多，更新又快，实践性又强，网络行为管控难等难题，机房管理人员不足、维护任务重、故障恢复时间长、教学环境稳定性差等问题也日益突出,如何利用新一代的信息技术，建设一个系统既便于管理维护，又能满足多样性教学环境需求，且安全、稳定、可靠，已经成为基地迫切解决的问题。目前，C504、C404、C405、C406、C408、C607六间机房原管理系统，存在软件无法统一进行安装部署和注册激活，且同传过程中容易出现系统损坏、蓝屏等诸多问题，只能一台一台升级维护，工作量巨大且容易出现错漏，严重影响管理维护的效率，急需一套综合管理平台来统一管理，同时新增定制课桌椅，改善教学环境。</w:t>
      </w:r>
    </w:p>
    <w:p>
      <w:pPr>
        <w:pStyle w:val="null3"/>
        <w:ind w:firstLine="422"/>
        <w:jc w:val="both"/>
      </w:pPr>
      <w:r>
        <w:rPr>
          <w:sz w:val="21"/>
          <w:b/>
        </w:rPr>
        <w:t>项目总预算：172.2139万元。</w:t>
      </w:r>
    </w:p>
    <w:p>
      <w:pPr>
        <w:pStyle w:val="null3"/>
        <w:ind w:firstLine="420"/>
        <w:jc w:val="both"/>
      </w:pPr>
      <w:r>
        <w:rPr>
          <w:sz w:val="21"/>
        </w:rPr>
        <w:t>3</w:t>
      </w:r>
      <w:r>
        <w:rPr>
          <w:sz w:val="21"/>
        </w:rPr>
        <w:t>）采购清单如下：</w:t>
      </w:r>
    </w:p>
    <w:p>
      <w:pPr>
        <w:pStyle w:val="null3"/>
        <w:ind w:firstLine="420"/>
        <w:jc w:val="both"/>
      </w:pPr>
      <w:r>
        <w:rPr>
          <w:sz w:val="21"/>
        </w:rPr>
        <w:t>核心产品为分布式桌面云系统</w:t>
      </w:r>
    </w:p>
    <w:tbl>
      <w:tblPr>
        <w:tblW w:w="0" w:type="auto"/>
        <w:tblBorders>
          <w:top w:val="none" w:color="000000" w:sz="4"/>
          <w:left w:val="none" w:color="000000" w:sz="4"/>
          <w:bottom w:val="none" w:color="000000" w:sz="4"/>
          <w:right w:val="none" w:color="000000" w:sz="4"/>
          <w:insideH w:val="none"/>
          <w:insideV w:val="none"/>
        </w:tblBorders>
      </w:tblPr>
      <w:tblGrid>
        <w:gridCol w:w="837"/>
        <w:gridCol w:w="3048"/>
        <w:gridCol w:w="1449"/>
        <w:gridCol w:w="1509"/>
        <w:gridCol w:w="1464"/>
      </w:tblGrid>
      <w:tr>
        <w:tc>
          <w:tcPr>
            <w:tcW w:type="dxa" w:w="837"/>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rPr>
              <w:t>序号</w:t>
            </w:r>
          </w:p>
        </w:tc>
        <w:tc>
          <w:tcPr>
            <w:tcW w:type="dxa" w:w="304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名称</w:t>
            </w:r>
          </w:p>
        </w:tc>
        <w:tc>
          <w:tcPr>
            <w:tcW w:type="dxa" w:w="144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数量</w:t>
            </w:r>
          </w:p>
        </w:tc>
        <w:tc>
          <w:tcPr>
            <w:tcW w:type="dxa" w:w="150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单位</w:t>
            </w:r>
          </w:p>
        </w:tc>
        <w:tc>
          <w:tcPr>
            <w:tcW w:type="dxa" w:w="146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备注</w:t>
            </w: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后端管理系统服务节点</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分布式桌面云系统</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核心产品</w:t>
            </w: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3.</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高性能图形工作站</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43</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1"/>
              </w:rPr>
              <w:t>不适宜专门面向中小企业采购</w:t>
            </w:r>
          </w:p>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4.</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图形工作站</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171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pPr>
            <w:r>
              <w:rPr>
                <w:sz w:val="21"/>
              </w:rPr>
              <w:t>不适宜专门面向中小企业采购</w:t>
            </w:r>
          </w:p>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5.</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电脑桌</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60</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位</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6.</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椅子</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60</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7.</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讲台</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8.</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六边桌</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3</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9.</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椅子</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18</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10.</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展柜</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11.</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收纳柜</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12.</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圆凳</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30</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13.</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伸缩风琴长凳</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14.</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升降电脑桌</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张</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15.</w:t>
            </w:r>
          </w:p>
        </w:tc>
        <w:tc>
          <w:tcPr>
            <w:tcW w:type="dxa" w:w="304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油漆展示柜</w:t>
            </w:r>
          </w:p>
        </w:tc>
        <w:tc>
          <w:tcPr>
            <w:tcW w:type="dxa" w:w="144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50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14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bl>
    <w:p>
      <w:pPr>
        <w:pStyle w:val="null3"/>
      </w:pPr>
      <w:r>
        <w:rPr>
          <w:sz w:val="21"/>
          <w:b/>
        </w:rPr>
        <w:t>二、技术商务要求</w:t>
      </w:r>
    </w:p>
    <w:p>
      <w:pPr>
        <w:pStyle w:val="null3"/>
        <w:ind w:right="210"/>
      </w:pPr>
      <w:r>
        <w:rPr>
          <w:sz w:val="21"/>
          <w:b/>
        </w:rPr>
        <w:t>1.</w:t>
      </w:r>
      <w:r>
        <w:rPr>
          <w:sz w:val="21"/>
          <w:b/>
        </w:rPr>
        <w:t>安装方案</w:t>
      </w:r>
    </w:p>
    <w:p>
      <w:pPr>
        <w:pStyle w:val="null3"/>
        <w:ind w:right="210" w:firstLine="420"/>
      </w:pPr>
      <w:r>
        <w:rPr>
          <w:sz w:val="21"/>
        </w:rPr>
        <w:t>（</w:t>
      </w:r>
      <w:r>
        <w:rPr>
          <w:sz w:val="21"/>
        </w:rPr>
        <w:t>1</w:t>
      </w:r>
      <w:r>
        <w:rPr>
          <w:sz w:val="21"/>
        </w:rPr>
        <w:t>）设备安装具体地点：</w:t>
      </w:r>
      <w:r>
        <w:rPr>
          <w:sz w:val="21"/>
        </w:rPr>
        <w:t>广东环境保护工程职业学院内</w:t>
      </w:r>
      <w:r>
        <w:rPr>
          <w:sz w:val="21"/>
        </w:rPr>
        <w:t>采购人指定地点。</w:t>
      </w:r>
    </w:p>
    <w:p>
      <w:pPr>
        <w:pStyle w:val="null3"/>
        <w:ind w:right="210" w:firstLine="420"/>
      </w:pPr>
      <w:r>
        <w:rPr>
          <w:sz w:val="21"/>
        </w:rPr>
        <w:t>（</w:t>
      </w:r>
      <w:r>
        <w:rPr>
          <w:sz w:val="21"/>
        </w:rPr>
        <w:t>2</w:t>
      </w:r>
      <w:r>
        <w:rPr>
          <w:sz w:val="21"/>
        </w:rPr>
        <w:t>）设备安装要求：由供应商负责，费用</w:t>
      </w:r>
      <w:r>
        <w:rPr>
          <w:sz w:val="21"/>
        </w:rPr>
        <w:t>包含在本次报价中</w:t>
      </w:r>
      <w:r>
        <w:rPr>
          <w:sz w:val="21"/>
        </w:rPr>
        <w:t>。</w:t>
      </w:r>
    </w:p>
    <w:p>
      <w:pPr>
        <w:pStyle w:val="null3"/>
        <w:ind w:right="210" w:firstLine="420"/>
      </w:pPr>
      <w:r>
        <w:rPr>
          <w:sz w:val="21"/>
        </w:rPr>
        <w:t>（</w:t>
      </w:r>
      <w:r>
        <w:rPr>
          <w:sz w:val="21"/>
        </w:rPr>
        <w:t>3</w:t>
      </w:r>
      <w:r>
        <w:rPr>
          <w:sz w:val="21"/>
        </w:rPr>
        <w:t>）其它</w:t>
      </w:r>
    </w:p>
    <w:p>
      <w:pPr>
        <w:pStyle w:val="null3"/>
        <w:ind w:right="210" w:firstLine="420"/>
      </w:pPr>
      <w:r>
        <w:rPr>
          <w:sz w:val="21"/>
        </w:rPr>
        <w:t>①供应商应充分考虑现场的安装难度及安全性，安装过程中如果对其他物品或结构造成损坏的应照价赔偿。</w:t>
      </w:r>
    </w:p>
    <w:p>
      <w:pPr>
        <w:pStyle w:val="null3"/>
        <w:ind w:right="210" w:firstLine="420"/>
      </w:pPr>
      <w:r>
        <w:rPr>
          <w:sz w:val="21"/>
        </w:rPr>
        <w:t>②中标供应商提供假冒、劣质或以次充好的产品，经质检部门证实，中标供应商应承担由于产品质量、安装不当等引发的事故（财产损失、人身伤亡）责任和全部费用，并追究其法律责任。</w:t>
      </w:r>
    </w:p>
    <w:p>
      <w:pPr>
        <w:pStyle w:val="null3"/>
        <w:ind w:right="210" w:firstLine="420"/>
      </w:pPr>
      <w:r>
        <w:rPr>
          <w:sz w:val="21"/>
          <w:b/>
        </w:rPr>
        <w:t xml:space="preserve">2. </w:t>
      </w:r>
      <w:r>
        <w:rPr>
          <w:sz w:val="21"/>
          <w:b/>
        </w:rPr>
        <w:t>培训方案及技术资料要求</w:t>
      </w:r>
    </w:p>
    <w:p>
      <w:pPr>
        <w:pStyle w:val="null3"/>
        <w:ind w:right="210" w:firstLine="420"/>
      </w:pPr>
      <w:r>
        <w:rPr>
          <w:sz w:val="21"/>
        </w:rPr>
        <w:t>为保证采购人熟悉设备的使用及日常维护，中标人须为采购人提供培训方案，培训方案须包括：</w:t>
      </w:r>
    </w:p>
    <w:p>
      <w:pPr>
        <w:pStyle w:val="null3"/>
        <w:ind w:right="210" w:firstLine="420"/>
      </w:pPr>
      <w:r>
        <w:rPr>
          <w:sz w:val="21"/>
        </w:rPr>
        <w:t>（</w:t>
      </w:r>
      <w:r>
        <w:rPr>
          <w:sz w:val="21"/>
        </w:rPr>
        <w:t>1</w:t>
      </w:r>
      <w:r>
        <w:rPr>
          <w:sz w:val="21"/>
        </w:rPr>
        <w:t>）培训内容（设备的基本操作、常见故障排除、系统维护技巧等）；</w:t>
      </w:r>
    </w:p>
    <w:p>
      <w:pPr>
        <w:pStyle w:val="null3"/>
        <w:ind w:right="210" w:firstLine="420"/>
      </w:pPr>
      <w:r>
        <w:rPr>
          <w:sz w:val="21"/>
        </w:rPr>
        <w:t>（</w:t>
      </w:r>
      <w:r>
        <w:rPr>
          <w:sz w:val="21"/>
        </w:rPr>
        <w:t>2</w:t>
      </w:r>
      <w:r>
        <w:rPr>
          <w:sz w:val="21"/>
        </w:rPr>
        <w:t>）培训形式（线上或线下或其他方式培训）；</w:t>
      </w:r>
    </w:p>
    <w:p>
      <w:pPr>
        <w:pStyle w:val="null3"/>
        <w:ind w:right="210" w:firstLine="420"/>
      </w:pPr>
      <w:r>
        <w:rPr>
          <w:sz w:val="21"/>
        </w:rPr>
        <w:t>（</w:t>
      </w:r>
      <w:r>
        <w:rPr>
          <w:sz w:val="21"/>
        </w:rPr>
        <w:t>3</w:t>
      </w:r>
      <w:r>
        <w:rPr>
          <w:sz w:val="21"/>
        </w:rPr>
        <w:t>）培训人员配置情况；</w:t>
      </w:r>
    </w:p>
    <w:p>
      <w:pPr>
        <w:pStyle w:val="null3"/>
        <w:ind w:right="210" w:firstLine="420"/>
      </w:pPr>
      <w:r>
        <w:rPr>
          <w:sz w:val="21"/>
        </w:rPr>
        <w:t>（</w:t>
      </w:r>
      <w:r>
        <w:rPr>
          <w:sz w:val="21"/>
        </w:rPr>
        <w:t>4</w:t>
      </w:r>
      <w:r>
        <w:rPr>
          <w:sz w:val="21"/>
        </w:rPr>
        <w:t>）培训实施计划（培训时长、频次等）。中标人需按照采购人指定的时间、地点向采购人提供培训服务，培训所需全部费用（含培训、交通、食宿等）均由中标人负责。</w:t>
      </w:r>
    </w:p>
    <w:p>
      <w:pPr>
        <w:pStyle w:val="null3"/>
        <w:ind w:right="210" w:firstLine="420"/>
      </w:pPr>
      <w:r>
        <w:rPr>
          <w:sz w:val="21"/>
          <w:b/>
        </w:rPr>
        <w:t>3</w:t>
      </w:r>
      <w:r>
        <w:rPr>
          <w:sz w:val="21"/>
          <w:b/>
        </w:rPr>
        <w:t>交货要求</w:t>
      </w:r>
    </w:p>
    <w:p>
      <w:pPr>
        <w:pStyle w:val="null3"/>
        <w:ind w:right="210" w:firstLine="420"/>
      </w:pPr>
      <w:r>
        <w:rPr>
          <w:sz w:val="21"/>
        </w:rPr>
        <w:t>（</w:t>
      </w:r>
      <w:r>
        <w:rPr>
          <w:sz w:val="21"/>
        </w:rPr>
        <w:t>1</w:t>
      </w:r>
      <w:r>
        <w:rPr>
          <w:sz w:val="21"/>
        </w:rPr>
        <w:t>）交货地点：采购人指定地点；</w:t>
      </w:r>
    </w:p>
    <w:p>
      <w:pPr>
        <w:pStyle w:val="null3"/>
        <w:ind w:right="210" w:firstLine="420"/>
      </w:pPr>
      <w:r>
        <w:rPr>
          <w:sz w:val="21"/>
        </w:rPr>
        <w:t>（</w:t>
      </w:r>
      <w:r>
        <w:rPr>
          <w:sz w:val="21"/>
        </w:rPr>
        <w:t>2</w:t>
      </w:r>
      <w:r>
        <w:rPr>
          <w:sz w:val="21"/>
        </w:rPr>
        <w:t>）交货及安装完成时间：签订合同后</w:t>
      </w:r>
      <w:r>
        <w:rPr>
          <w:sz w:val="21"/>
        </w:rPr>
        <w:t>60</w:t>
      </w:r>
      <w:r>
        <w:rPr>
          <w:sz w:val="21"/>
        </w:rPr>
        <w:t>天内交货安装完毕。</w:t>
      </w:r>
    </w:p>
    <w:p>
      <w:pPr>
        <w:pStyle w:val="null3"/>
        <w:ind w:right="210" w:firstLine="420"/>
      </w:pPr>
      <w:r>
        <w:rPr>
          <w:sz w:val="21"/>
          <w:b/>
        </w:rPr>
        <w:t>4</w:t>
      </w:r>
      <w:r>
        <w:rPr>
          <w:sz w:val="21"/>
          <w:b/>
        </w:rPr>
        <w:t>、项目实施要求</w:t>
      </w:r>
    </w:p>
    <w:p>
      <w:pPr>
        <w:pStyle w:val="null3"/>
        <w:jc w:val="left"/>
      </w:pPr>
      <w:r>
        <w:rPr>
          <w:sz w:val="21"/>
        </w:rPr>
        <w:t>（1）包装、运输及保管要求：</w:t>
      </w:r>
    </w:p>
    <w:p>
      <w:pPr>
        <w:pStyle w:val="null3"/>
        <w:ind w:firstLine="210"/>
        <w:jc w:val="left"/>
      </w:pPr>
      <w:r>
        <w:rPr>
          <w:sz w:val="21"/>
        </w:rPr>
        <w:t>①设备材料的包装须是制造商原厂包装，其包装均应有良好的防湿、防锈、防潮、防雨、防腐及防碰撞的措施。凡由于包装不良造成的损失和由此产生的费用均由中标人承担；</w:t>
      </w:r>
    </w:p>
    <w:p>
      <w:pPr>
        <w:pStyle w:val="null3"/>
        <w:ind w:firstLine="210"/>
        <w:jc w:val="left"/>
      </w:pPr>
      <w:r>
        <w:rPr>
          <w:sz w:val="21"/>
        </w:rPr>
        <w:t>②中标人负责将设备材料货到现场过程中的全部运输，包括装卸车、货物现场的搬运。</w:t>
      </w:r>
    </w:p>
    <w:p>
      <w:pPr>
        <w:pStyle w:val="null3"/>
        <w:ind w:firstLine="210"/>
        <w:jc w:val="left"/>
      </w:pPr>
      <w:r>
        <w:rPr>
          <w:sz w:val="21"/>
        </w:rPr>
        <w:t>③各种设备必须提供装箱清单，按装箱清单验收货物。</w:t>
      </w:r>
    </w:p>
    <w:p>
      <w:pPr>
        <w:pStyle w:val="null3"/>
        <w:ind w:firstLine="210"/>
        <w:jc w:val="left"/>
      </w:pPr>
      <w:r>
        <w:rPr>
          <w:sz w:val="21"/>
        </w:rPr>
        <w:t>④货物在现场的保管由中标人负责，直至项目安装、验收完毕。</w:t>
      </w:r>
    </w:p>
    <w:p>
      <w:pPr>
        <w:pStyle w:val="null3"/>
        <w:ind w:firstLine="210"/>
        <w:jc w:val="left"/>
      </w:pPr>
      <w:r>
        <w:rPr>
          <w:sz w:val="21"/>
        </w:rPr>
        <w:t>⑤货物在安装调试验收合格前的保险由中标人负责，中标人负责其派出的现场服务人员人身意外保险。</w:t>
      </w:r>
    </w:p>
    <w:p>
      <w:pPr>
        <w:pStyle w:val="null3"/>
        <w:ind w:firstLine="210"/>
        <w:jc w:val="left"/>
      </w:pPr>
      <w:r>
        <w:rPr>
          <w:sz w:val="21"/>
        </w:rPr>
        <w:t>⑥设备至采购人指定的使用现场的包装、保险及发运等环节和费用均由中标人负责。</w:t>
      </w:r>
    </w:p>
    <w:p>
      <w:pPr>
        <w:pStyle w:val="null3"/>
        <w:jc w:val="left"/>
      </w:pPr>
      <w:r>
        <w:rPr>
          <w:sz w:val="21"/>
        </w:rPr>
        <w:t>（2）安装要求：所供设备和材料中标人必须免费送货上门和免费负责安装调试。所有随设备的附件必须齐全，以备验收使用。</w:t>
      </w:r>
    </w:p>
    <w:p>
      <w:pPr>
        <w:pStyle w:val="null3"/>
        <w:ind w:right="210"/>
      </w:pPr>
      <w:r>
        <w:rPr>
          <w:sz w:val="21"/>
        </w:rPr>
        <w:t>3.</w:t>
      </w:r>
      <w:r>
        <w:rPr>
          <w:sz w:val="21"/>
        </w:rPr>
        <w:t>调试要求：中标人必须依照招标文件的要求和投标文件的承诺，将设备、系统安装并调试至正常运行的最佳状态。</w:t>
      </w:r>
    </w:p>
    <w:p>
      <w:pPr>
        <w:pStyle w:val="null3"/>
        <w:ind w:right="210"/>
      </w:pPr>
      <w:r>
        <w:rPr>
          <w:sz w:val="21"/>
        </w:rPr>
        <w:t>（3）实施方案：内容包含但不限于包装、运输及保管方案、安装调试方案。</w:t>
      </w:r>
    </w:p>
    <w:p>
      <w:pPr>
        <w:pStyle w:val="null3"/>
        <w:ind w:right="210"/>
      </w:pPr>
      <w:r>
        <w:rPr>
          <w:sz w:val="21"/>
          <w:b/>
        </w:rPr>
        <w:t>5</w:t>
      </w:r>
      <w:r>
        <w:rPr>
          <w:sz w:val="21"/>
          <w:b/>
        </w:rPr>
        <w:t>、验收</w:t>
      </w:r>
    </w:p>
    <w:p>
      <w:pPr>
        <w:pStyle w:val="null3"/>
        <w:ind w:firstLine="210"/>
        <w:jc w:val="left"/>
      </w:pPr>
      <w:r>
        <w:rPr>
          <w:sz w:val="21"/>
        </w:rPr>
        <w:t>（1）货物运抵采购人指定地点后，双方对货物进行初验。</w:t>
      </w:r>
    </w:p>
    <w:p>
      <w:pPr>
        <w:pStyle w:val="null3"/>
        <w:ind w:firstLine="420"/>
        <w:jc w:val="left"/>
      </w:pPr>
      <w:r>
        <w:rPr>
          <w:sz w:val="21"/>
        </w:rPr>
        <w:t>①检查货物外观，包括但不限于：外包装有无损伤、货物是否有损坏及腐蚀、掉漆现象。若外观有损坏及腐蚀、掉漆等，影响用户使用，中标人应负责更换。</w:t>
      </w:r>
    </w:p>
    <w:p>
      <w:pPr>
        <w:pStyle w:val="null3"/>
        <w:ind w:firstLine="420"/>
        <w:jc w:val="left"/>
      </w:pPr>
      <w:r>
        <w:rPr>
          <w:sz w:val="21"/>
        </w:rPr>
        <w:t>②检查货物标识，设备类应有铭牌、标注货物名称、规格、型号、生产商、出厂日期等。</w:t>
      </w:r>
    </w:p>
    <w:p>
      <w:pPr>
        <w:pStyle w:val="null3"/>
        <w:ind w:firstLine="210"/>
        <w:jc w:val="left"/>
      </w:pPr>
      <w:r>
        <w:rPr>
          <w:sz w:val="21"/>
        </w:rPr>
        <w:t>（2）货物初验后，需按采购人要求，安装在指定位置，并配置至设备能正常运行后，由中标人向采购人提出正式验收申请。</w:t>
      </w:r>
    </w:p>
    <w:p>
      <w:pPr>
        <w:pStyle w:val="null3"/>
        <w:ind w:firstLine="420"/>
        <w:jc w:val="left"/>
      </w:pPr>
      <w:r>
        <w:rPr>
          <w:sz w:val="21"/>
        </w:rPr>
        <w:t>①正式验收以签订合同中的各类目的数量与参数作为验收条件。设备类应能正常运转，设备配件与配套软件应符合合同要求。</w:t>
      </w:r>
    </w:p>
    <w:p>
      <w:pPr>
        <w:pStyle w:val="null3"/>
        <w:ind w:right="210" w:firstLine="420"/>
      </w:pPr>
      <w:r>
        <w:rPr>
          <w:sz w:val="21"/>
        </w:rPr>
        <w:t>②若提供的货物数量、参数不符，或设备不能运转。采购人不给予验收。</w:t>
      </w:r>
    </w:p>
    <w:p>
      <w:pPr>
        <w:pStyle w:val="null3"/>
        <w:ind w:right="210"/>
      </w:pPr>
      <w:r>
        <w:rPr>
          <w:sz w:val="21"/>
          <w:b/>
        </w:rPr>
        <w:t>6</w:t>
      </w:r>
      <w:r>
        <w:rPr>
          <w:sz w:val="21"/>
          <w:b/>
        </w:rPr>
        <w:t>、售后服务及方案要求</w:t>
      </w:r>
    </w:p>
    <w:p>
      <w:pPr>
        <w:pStyle w:val="null3"/>
        <w:ind w:right="210" w:firstLine="420"/>
      </w:pPr>
      <w:r>
        <w:rPr>
          <w:sz w:val="21"/>
        </w:rPr>
        <w:t>（</w:t>
      </w:r>
      <w:r>
        <w:rPr>
          <w:sz w:val="21"/>
        </w:rPr>
        <w:t>1</w:t>
      </w:r>
      <w:r>
        <w:rPr>
          <w:sz w:val="21"/>
        </w:rPr>
        <w:t>）质保期期限：验收合格后</w:t>
      </w:r>
      <w:r>
        <w:rPr>
          <w:sz w:val="21"/>
        </w:rPr>
        <w:t>3</w:t>
      </w:r>
      <w:r>
        <w:rPr>
          <w:sz w:val="21"/>
        </w:rPr>
        <w:t>年内上门保修（费用已包含在报价中，不另行计费）。</w:t>
      </w:r>
    </w:p>
    <w:p>
      <w:pPr>
        <w:pStyle w:val="null3"/>
        <w:ind w:right="210" w:firstLine="420"/>
      </w:pPr>
      <w:r>
        <w:rPr>
          <w:sz w:val="21"/>
        </w:rPr>
        <w:t>（</w:t>
      </w:r>
      <w:r>
        <w:rPr>
          <w:sz w:val="21"/>
        </w:rPr>
        <w:t>2</w:t>
      </w:r>
      <w:r>
        <w:rPr>
          <w:sz w:val="21"/>
        </w:rPr>
        <w:t>）保期内维修人员接到维修通知后到场时间：</w:t>
      </w:r>
      <w:r>
        <w:rPr>
          <w:sz w:val="21"/>
        </w:rPr>
        <w:t>24</w:t>
      </w:r>
      <w:r>
        <w:rPr>
          <w:sz w:val="21"/>
        </w:rPr>
        <w:t>小时内。</w:t>
      </w:r>
    </w:p>
    <w:p>
      <w:pPr>
        <w:pStyle w:val="null3"/>
        <w:ind w:right="210" w:firstLine="420"/>
      </w:pPr>
      <w:r>
        <w:rPr>
          <w:sz w:val="21"/>
        </w:rPr>
        <w:t>（</w:t>
      </w:r>
      <w:r>
        <w:rPr>
          <w:sz w:val="21"/>
        </w:rPr>
        <w:t>3</w:t>
      </w:r>
      <w:r>
        <w:rPr>
          <w:sz w:val="21"/>
        </w:rPr>
        <w:t>）质保期内中标供应商负责所有因货物质量问题而产生的费用。</w:t>
      </w:r>
    </w:p>
    <w:p>
      <w:pPr>
        <w:pStyle w:val="null3"/>
        <w:ind w:right="210" w:firstLine="420"/>
      </w:pPr>
      <w:r>
        <w:rPr>
          <w:sz w:val="21"/>
        </w:rPr>
        <w:t>（</w:t>
      </w:r>
      <w:r>
        <w:rPr>
          <w:sz w:val="21"/>
        </w:rPr>
        <w:t>4</w:t>
      </w:r>
      <w:r>
        <w:rPr>
          <w:sz w:val="21"/>
        </w:rPr>
        <w:t>）投标人应在报价文件中列表说明所有材料的制造商名称、品牌、产地、参数。</w:t>
      </w:r>
    </w:p>
    <w:p>
      <w:pPr>
        <w:pStyle w:val="null3"/>
        <w:ind w:right="210" w:firstLine="420"/>
      </w:pPr>
      <w:r>
        <w:rPr>
          <w:sz w:val="21"/>
        </w:rPr>
        <w:t>（</w:t>
      </w:r>
      <w:r>
        <w:rPr>
          <w:sz w:val="21"/>
        </w:rPr>
        <w:t>5</w:t>
      </w:r>
      <w:r>
        <w:rPr>
          <w:sz w:val="21"/>
        </w:rPr>
        <w:t>）经采购人确定后的实物样板作为合同货物的一部分和其他相同货物的验收标准。</w:t>
      </w:r>
    </w:p>
    <w:p>
      <w:pPr>
        <w:pStyle w:val="null3"/>
        <w:ind w:right="210" w:firstLine="420"/>
      </w:pPr>
      <w:r>
        <w:rPr>
          <w:sz w:val="21"/>
        </w:rPr>
        <w:t>（</w:t>
      </w:r>
      <w:r>
        <w:rPr>
          <w:sz w:val="21"/>
        </w:rPr>
        <w:t>6</w:t>
      </w:r>
      <w:r>
        <w:rPr>
          <w:sz w:val="21"/>
        </w:rPr>
        <w:t>）中标供应商应保证所供设备是全新、未曾使用过的，其质量、规格及技术特征符合国家标准、规范及招标文件的要求。</w:t>
      </w:r>
    </w:p>
    <w:p>
      <w:pPr>
        <w:pStyle w:val="null3"/>
        <w:ind w:right="210" w:firstLine="420"/>
      </w:pPr>
      <w:r>
        <w:rPr>
          <w:sz w:val="21"/>
        </w:rPr>
        <w:t>（7）售后服务方案包括 但不限于以下内容：</w:t>
      </w:r>
    </w:p>
    <w:p>
      <w:pPr>
        <w:pStyle w:val="null3"/>
        <w:ind w:right="210" w:firstLine="420"/>
      </w:pPr>
      <w:r>
        <w:rPr>
          <w:sz w:val="21"/>
        </w:rPr>
        <w:t>1</w:t>
      </w:r>
      <w:r>
        <w:rPr>
          <w:sz w:val="21"/>
        </w:rPr>
        <w:t>）免费保修期</w:t>
      </w:r>
    </w:p>
    <w:p>
      <w:pPr>
        <w:pStyle w:val="null3"/>
        <w:ind w:right="210" w:firstLine="420"/>
      </w:pPr>
      <w:r>
        <w:rPr>
          <w:sz w:val="21"/>
        </w:rPr>
        <w:t>2</w:t>
      </w:r>
      <w:r>
        <w:rPr>
          <w:sz w:val="21"/>
        </w:rPr>
        <w:t>）应急维修时间安排</w:t>
      </w:r>
    </w:p>
    <w:p>
      <w:pPr>
        <w:pStyle w:val="null3"/>
        <w:ind w:right="210" w:firstLine="420"/>
      </w:pPr>
      <w:r>
        <w:rPr>
          <w:sz w:val="21"/>
        </w:rPr>
        <w:t>3</w:t>
      </w:r>
      <w:r>
        <w:rPr>
          <w:sz w:val="21"/>
        </w:rPr>
        <w:t>）维修地点、地址、联系电话及技术服务人员</w:t>
      </w:r>
    </w:p>
    <w:p>
      <w:pPr>
        <w:pStyle w:val="null3"/>
        <w:ind w:right="210" w:firstLine="420"/>
      </w:pPr>
      <w:r>
        <w:rPr>
          <w:sz w:val="21"/>
        </w:rPr>
        <w:t>4</w:t>
      </w:r>
      <w:r>
        <w:rPr>
          <w:sz w:val="21"/>
        </w:rPr>
        <w:t>）维修服务收费标准</w:t>
      </w:r>
    </w:p>
    <w:p>
      <w:pPr>
        <w:pStyle w:val="null3"/>
        <w:ind w:right="210" w:firstLine="420"/>
      </w:pPr>
      <w:r>
        <w:rPr>
          <w:sz w:val="21"/>
        </w:rPr>
        <w:t>5</w:t>
      </w:r>
      <w:r>
        <w:rPr>
          <w:sz w:val="21"/>
        </w:rPr>
        <w:t>）其他服务承诺</w:t>
      </w:r>
    </w:p>
    <w:p>
      <w:pPr>
        <w:pStyle w:val="null3"/>
        <w:ind w:left="210" w:right="210"/>
      </w:pPr>
      <w:r>
        <w:rPr>
          <w:sz w:val="21"/>
          <w:b/>
        </w:rPr>
        <w:t>7</w:t>
      </w:r>
      <w:r>
        <w:rPr>
          <w:sz w:val="21"/>
          <w:b/>
        </w:rPr>
        <w:t>.</w:t>
      </w:r>
      <w:r>
        <w:rPr>
          <w:sz w:val="21"/>
          <w:b/>
        </w:rPr>
        <w:t>付款方式</w:t>
      </w:r>
    </w:p>
    <w:p>
      <w:pPr>
        <w:pStyle w:val="null3"/>
        <w:ind w:right="210" w:firstLine="420"/>
      </w:pPr>
      <w:r>
        <w:rPr>
          <w:sz w:val="21"/>
        </w:rPr>
        <w:t>（</w:t>
      </w:r>
      <w:r>
        <w:rPr>
          <w:sz w:val="21"/>
        </w:rPr>
        <w:t>1</w:t>
      </w:r>
      <w:r>
        <w:rPr>
          <w:sz w:val="21"/>
        </w:rPr>
        <w:t>）预付款：签订合同后在收到中标人提供的有效发票</w:t>
      </w:r>
      <w:r>
        <w:rPr>
          <w:sz w:val="21"/>
        </w:rPr>
        <w:t>5</w:t>
      </w:r>
      <w:r>
        <w:rPr>
          <w:sz w:val="21"/>
        </w:rPr>
        <w:t>个工作日内，支付合同总价的</w:t>
      </w:r>
      <w:r>
        <w:rPr>
          <w:sz w:val="21"/>
        </w:rPr>
        <w:t>50</w:t>
      </w:r>
      <w:r>
        <w:rPr>
          <w:sz w:val="21"/>
        </w:rPr>
        <w:t>%</w:t>
      </w:r>
      <w:r>
        <w:rPr>
          <w:sz w:val="21"/>
        </w:rPr>
        <w:t>。</w:t>
      </w:r>
    </w:p>
    <w:p>
      <w:pPr>
        <w:pStyle w:val="null3"/>
        <w:ind w:right="210" w:firstLine="420"/>
      </w:pPr>
      <w:r>
        <w:rPr>
          <w:sz w:val="21"/>
        </w:rPr>
        <w:t>（</w:t>
      </w:r>
      <w:r>
        <w:rPr>
          <w:sz w:val="21"/>
        </w:rPr>
        <w:t>2</w:t>
      </w:r>
      <w:r>
        <w:rPr>
          <w:sz w:val="21"/>
        </w:rPr>
        <w:t>）设备安装调试结束，提交全部报告材料，调试完成并验收合格后，</w:t>
      </w:r>
      <w:r>
        <w:rPr>
          <w:sz w:val="21"/>
        </w:rPr>
        <w:t>采购人凭验收报告和</w:t>
      </w:r>
      <w:r>
        <w:rPr>
          <w:sz w:val="21"/>
        </w:rPr>
        <w:t>中标人提供的有效</w:t>
      </w:r>
      <w:r>
        <w:rPr>
          <w:sz w:val="21"/>
        </w:rPr>
        <w:t>发票</w:t>
      </w:r>
      <w:r>
        <w:rPr>
          <w:sz w:val="21"/>
        </w:rPr>
        <w:t>按照合同总价的</w:t>
      </w:r>
      <w:r>
        <w:rPr>
          <w:sz w:val="21"/>
        </w:rPr>
        <w:t>50</w:t>
      </w:r>
      <w:r>
        <w:rPr>
          <w:sz w:val="21"/>
        </w:rPr>
        <w:t>％向中标人支付货款</w:t>
      </w:r>
    </w:p>
    <w:p>
      <w:pPr>
        <w:pStyle w:val="null3"/>
      </w:pPr>
      <w:r>
        <w:rPr>
          <w:sz w:val="21"/>
          <w:b/>
          <w:color w:val="000000"/>
        </w:rPr>
        <w:t>三、采购内容与技术要求：</w:t>
      </w:r>
    </w:p>
    <w:tbl>
      <w:tblPr>
        <w:tblW w:w="0" w:type="auto"/>
        <w:tblBorders>
          <w:top w:val="none" w:color="000000" w:sz="4"/>
          <w:left w:val="none" w:color="000000" w:sz="4"/>
          <w:bottom w:val="none" w:color="000000" w:sz="4"/>
          <w:right w:val="none" w:color="000000" w:sz="4"/>
          <w:insideH w:val="none"/>
          <w:insideV w:val="none"/>
        </w:tblBorders>
      </w:tblPr>
      <w:tblGrid>
        <w:gridCol w:w="375"/>
        <w:gridCol w:w="811"/>
        <w:gridCol w:w="6368"/>
        <w:gridCol w:w="391"/>
        <w:gridCol w:w="360"/>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设备名称</w:t>
            </w:r>
          </w:p>
        </w:tc>
        <w:tc>
          <w:tcPr>
            <w:tcW w:type="dxa" w:w="63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参数</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1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后端管理系统服务节点</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为系统提供计算资源硬件支撑；</w:t>
            </w:r>
          </w:p>
          <w:p>
            <w:pPr>
              <w:pStyle w:val="null3"/>
              <w:jc w:val="both"/>
            </w:pPr>
            <w:r>
              <w:rPr>
                <w:sz w:val="21"/>
              </w:rPr>
              <w:t>2.</w:t>
            </w:r>
            <w:r>
              <w:rPr>
                <w:sz w:val="21"/>
              </w:rPr>
              <w:t>设备能够为用户提供云主机资源，支持用户一系列实验的开展；</w:t>
            </w:r>
          </w:p>
          <w:p>
            <w:pPr>
              <w:pStyle w:val="null3"/>
              <w:jc w:val="both"/>
            </w:pPr>
            <w:r>
              <w:rPr>
                <w:sz w:val="21"/>
              </w:rPr>
              <w:t>3.</w:t>
            </w:r>
            <w:r>
              <w:rPr>
                <w:sz w:val="21"/>
              </w:rPr>
              <w:t>内置虚拟化管理系统，能够实现对设备的虚拟化实现。</w:t>
            </w:r>
          </w:p>
          <w:p>
            <w:pPr>
              <w:pStyle w:val="null3"/>
              <w:jc w:val="both"/>
            </w:pPr>
            <w:r>
              <w:rPr>
                <w:sz w:val="21"/>
              </w:rPr>
              <w:t>4.</w:t>
            </w:r>
            <w:r>
              <w:rPr>
                <w:sz w:val="21"/>
              </w:rPr>
              <w:t>内置资源监测功能，能够实时监测设备的资源占用情况，并且可用</w:t>
            </w:r>
            <w:r>
              <w:rPr>
                <w:sz w:val="21"/>
              </w:rPr>
              <w:t>Web</w:t>
            </w:r>
            <w:r>
              <w:rPr>
                <w:sz w:val="21"/>
              </w:rPr>
              <w:t>管理平台进行图像化显示。</w:t>
            </w:r>
          </w:p>
          <w:p>
            <w:pPr>
              <w:pStyle w:val="null3"/>
              <w:jc w:val="both"/>
            </w:pPr>
            <w:r>
              <w:rPr>
                <w:sz w:val="21"/>
              </w:rPr>
              <w:t>5.</w:t>
            </w:r>
            <w:r>
              <w:rPr>
                <w:sz w:val="21"/>
              </w:rPr>
              <w:t>内置虚拟路由协议，能够实现虚拟资源之间的网络地址智能分配。</w:t>
            </w:r>
          </w:p>
          <w:p>
            <w:pPr>
              <w:pStyle w:val="null3"/>
              <w:jc w:val="both"/>
            </w:pPr>
            <w:r>
              <w:rPr>
                <w:sz w:val="21"/>
              </w:rPr>
              <w:t>6.</w:t>
            </w:r>
            <w:r>
              <w:rPr>
                <w:sz w:val="21"/>
              </w:rPr>
              <w:t>用户管理，授权方式包括所有用户使用、操作员使用和预约使用；</w:t>
            </w:r>
          </w:p>
          <w:p>
            <w:pPr>
              <w:pStyle w:val="null3"/>
              <w:jc w:val="both"/>
            </w:pPr>
            <w:r>
              <w:rPr>
                <w:sz w:val="21"/>
              </w:rPr>
              <w:t>7.</w:t>
            </w:r>
            <w:r>
              <w:rPr>
                <w:sz w:val="21"/>
              </w:rPr>
              <w:t>兼容主流操作系统，支持</w:t>
            </w:r>
            <w:r>
              <w:rPr>
                <w:sz w:val="21"/>
              </w:rPr>
              <w:t>Windows</w:t>
            </w:r>
            <w:r>
              <w:rPr>
                <w:sz w:val="21"/>
              </w:rPr>
              <w:t>与</w:t>
            </w:r>
            <w:r>
              <w:rPr>
                <w:sz w:val="21"/>
              </w:rPr>
              <w:t>Linux</w:t>
            </w:r>
            <w:r>
              <w:rPr>
                <w:sz w:val="21"/>
              </w:rPr>
              <w:t>；</w:t>
            </w:r>
          </w:p>
          <w:p>
            <w:pPr>
              <w:pStyle w:val="null3"/>
              <w:jc w:val="both"/>
            </w:pPr>
            <w:r>
              <w:rPr>
                <w:sz w:val="21"/>
              </w:rPr>
              <w:t>8.</w:t>
            </w:r>
            <w:r>
              <w:rPr>
                <w:sz w:val="21"/>
              </w:rPr>
              <w:t>兼容各种硬件，可通过</w:t>
            </w:r>
            <w:r>
              <w:rPr>
                <w:sz w:val="21"/>
              </w:rPr>
              <w:t>PC</w:t>
            </w:r>
            <w:r>
              <w:rPr>
                <w:sz w:val="21"/>
              </w:rPr>
              <w:t>机，平板和移动终端设备接入系统。</w:t>
            </w:r>
          </w:p>
          <w:p>
            <w:pPr>
              <w:pStyle w:val="null3"/>
              <w:jc w:val="both"/>
            </w:pPr>
            <w:r>
              <w:rPr>
                <w:sz w:val="21"/>
              </w:rPr>
              <w:t>9.</w:t>
            </w:r>
            <w:r>
              <w:rPr>
                <w:sz w:val="21"/>
              </w:rPr>
              <w:t>可支持</w:t>
            </w:r>
            <w:r>
              <w:rPr>
                <w:sz w:val="21"/>
              </w:rPr>
              <w:t>Docker</w:t>
            </w:r>
            <w:r>
              <w:rPr>
                <w:sz w:val="21"/>
              </w:rPr>
              <w:t>容器，实现</w:t>
            </w:r>
            <w:r>
              <w:rPr>
                <w:sz w:val="21"/>
              </w:rPr>
              <w:t>CPU</w:t>
            </w:r>
            <w:r>
              <w:rPr>
                <w:sz w:val="21"/>
              </w:rPr>
              <w:t>、</w:t>
            </w:r>
            <w:r>
              <w:rPr>
                <w:sz w:val="21"/>
              </w:rPr>
              <w:t>GPU</w:t>
            </w:r>
            <w:r>
              <w:rPr>
                <w:sz w:val="21"/>
              </w:rPr>
              <w:t>、内存等资源的</w:t>
            </w:r>
            <w:r>
              <w:rPr>
                <w:sz w:val="21"/>
              </w:rPr>
              <w:t>Docker</w:t>
            </w:r>
            <w:r>
              <w:rPr>
                <w:sz w:val="21"/>
              </w:rPr>
              <w:t>虚拟化；</w:t>
            </w:r>
          </w:p>
          <w:p>
            <w:pPr>
              <w:pStyle w:val="null3"/>
              <w:jc w:val="both"/>
            </w:pPr>
            <w:r>
              <w:rPr>
                <w:sz w:val="21"/>
              </w:rPr>
              <w:t>10.</w:t>
            </w:r>
            <w:r>
              <w:rPr>
                <w:sz w:val="21"/>
              </w:rPr>
              <w:t>实现共享存储功能架构，支持不同主机之间的存储空间共享；</w:t>
            </w:r>
          </w:p>
          <w:p>
            <w:pPr>
              <w:pStyle w:val="null3"/>
              <w:jc w:val="both"/>
            </w:pPr>
            <w:r>
              <w:rPr>
                <w:sz w:val="21"/>
              </w:rPr>
              <w:t>11.</w:t>
            </w:r>
            <w:r>
              <w:rPr>
                <w:sz w:val="21"/>
              </w:rPr>
              <w:t>提供标准</w:t>
            </w:r>
            <w:r>
              <w:rPr>
                <w:sz w:val="21"/>
              </w:rPr>
              <w:t>2U</w:t>
            </w:r>
            <w:r>
              <w:rPr>
                <w:sz w:val="21"/>
              </w:rPr>
              <w:t>机架式硬件设备；</w:t>
            </w:r>
          </w:p>
          <w:p>
            <w:pPr>
              <w:pStyle w:val="null3"/>
              <w:jc w:val="both"/>
            </w:pPr>
            <w:r>
              <w:rPr>
                <w:sz w:val="21"/>
              </w:rPr>
              <w:t>12.</w:t>
            </w:r>
            <w:r>
              <w:rPr>
                <w:sz w:val="21"/>
              </w:rPr>
              <w:t>具有资源导向技术：能为应用程序、虚拟机</w:t>
            </w:r>
            <w:r>
              <w:rPr>
                <w:sz w:val="21"/>
              </w:rPr>
              <w:t xml:space="preserve">(VM) </w:t>
            </w:r>
            <w:r>
              <w:rPr>
                <w:sz w:val="21"/>
              </w:rPr>
              <w:t>和容器对内存带宽等共享资源实现可见性和控制。</w:t>
            </w:r>
          </w:p>
          <w:p>
            <w:pPr>
              <w:pStyle w:val="null3"/>
              <w:jc w:val="both"/>
            </w:pPr>
            <w:r>
              <w:rPr>
                <w:sz w:val="21"/>
              </w:rPr>
              <w:t>13.</w:t>
            </w:r>
            <w:r>
              <w:rPr>
                <w:sz w:val="21"/>
              </w:rPr>
              <w:t>拥有虚拟化技术：使单个平台生成多个“虚拟”平台。可将计算活动隔离到多个独立分区保持工作效率。</w:t>
            </w:r>
          </w:p>
          <w:p>
            <w:pPr>
              <w:pStyle w:val="null3"/>
              <w:jc w:val="both"/>
            </w:pPr>
            <w:r>
              <w:rPr>
                <w:sz w:val="21"/>
              </w:rPr>
              <w:t>14.</w:t>
            </w:r>
            <w:r>
              <w:rPr>
                <w:sz w:val="21"/>
              </w:rPr>
              <w:t>拥有定向</w:t>
            </w:r>
            <w:r>
              <w:rPr>
                <w:sz w:val="21"/>
              </w:rPr>
              <w:t xml:space="preserve"> I/O </w:t>
            </w:r>
            <w:r>
              <w:rPr>
                <w:sz w:val="21"/>
              </w:rPr>
              <w:t>虚拟化技术：能大幅提高系统的安全性和可靠性，大幅改善</w:t>
            </w:r>
            <w:r>
              <w:rPr>
                <w:sz w:val="21"/>
              </w:rPr>
              <w:t xml:space="preserve"> I/O </w:t>
            </w:r>
            <w:r>
              <w:rPr>
                <w:sz w:val="21"/>
              </w:rPr>
              <w:t>设备在虚拟化环境中的性能。</w:t>
            </w:r>
          </w:p>
          <w:p>
            <w:pPr>
              <w:pStyle w:val="null3"/>
              <w:jc w:val="both"/>
            </w:pPr>
            <w:r>
              <w:rPr>
                <w:sz w:val="21"/>
              </w:rPr>
              <w:t>15.</w:t>
            </w:r>
            <w:r>
              <w:rPr>
                <w:sz w:val="21"/>
              </w:rPr>
              <w:t>实配不低于</w:t>
            </w:r>
            <w:r>
              <w:rPr>
                <w:sz w:val="21"/>
              </w:rPr>
              <w:t>1</w:t>
            </w:r>
            <w:r>
              <w:rPr>
                <w:sz w:val="21"/>
              </w:rPr>
              <w:t>颗十二核二十四线程，主频</w:t>
            </w:r>
            <w:r>
              <w:rPr>
                <w:sz w:val="21"/>
              </w:rPr>
              <w:t>2.4GHz/128GB</w:t>
            </w:r>
            <w:r>
              <w:rPr>
                <w:sz w:val="21"/>
              </w:rPr>
              <w:t>内存</w:t>
            </w:r>
            <w:r>
              <w:rPr>
                <w:sz w:val="21"/>
              </w:rPr>
              <w:t>/3*8T SATA</w:t>
            </w:r>
            <w:r>
              <w:rPr>
                <w:sz w:val="21"/>
              </w:rPr>
              <w:t>、</w:t>
            </w:r>
            <w:r>
              <w:rPr>
                <w:sz w:val="21"/>
              </w:rPr>
              <w:t>3*3.84T SATA SSD/</w:t>
            </w:r>
            <w:r>
              <w:rPr>
                <w:sz w:val="21"/>
              </w:rPr>
              <w:t>配置独立阵列卡</w:t>
            </w:r>
            <w:r>
              <w:rPr>
                <w:sz w:val="21"/>
              </w:rPr>
              <w:t xml:space="preserve"> 1G</w:t>
            </w:r>
            <w:r>
              <w:rPr>
                <w:sz w:val="21"/>
              </w:rPr>
              <w:t>缓存</w:t>
            </w:r>
            <w:r>
              <w:rPr>
                <w:sz w:val="21"/>
              </w:rPr>
              <w:t>/2</w:t>
            </w:r>
            <w:r>
              <w:rPr>
                <w:sz w:val="21"/>
              </w:rPr>
              <w:t>个千兆</w:t>
            </w:r>
            <w:r>
              <w:rPr>
                <w:sz w:val="21"/>
              </w:rPr>
              <w:t>+2</w:t>
            </w:r>
            <w:r>
              <w:rPr>
                <w:sz w:val="21"/>
              </w:rPr>
              <w:t>个万兆（含万兆光模块）</w:t>
            </w:r>
          </w:p>
          <w:p>
            <w:pPr>
              <w:pStyle w:val="null3"/>
              <w:jc w:val="both"/>
            </w:pPr>
            <w:r>
              <w:rPr>
                <w:sz w:val="21"/>
              </w:rPr>
              <w:t>16.</w:t>
            </w:r>
            <w:r>
              <w:rPr>
                <w:sz w:val="21"/>
              </w:rPr>
              <w:t>支持管理网络、镜像网络分离设置，保证系统网络安全性与稳定性，三种网络可绑定到不同的物理网卡设备，实现网络分流</w:t>
            </w:r>
          </w:p>
          <w:p>
            <w:pPr>
              <w:pStyle w:val="null3"/>
              <w:jc w:val="both"/>
            </w:pPr>
            <w:r>
              <w:rPr>
                <w:sz w:val="21"/>
              </w:rPr>
              <w:t>17.</w:t>
            </w:r>
            <w:r>
              <w:rPr>
                <w:sz w:val="21"/>
              </w:rPr>
              <w:t>产品满足辐射骚扰抗扰度要求，在</w:t>
            </w:r>
            <w:r>
              <w:rPr>
                <w:sz w:val="21"/>
              </w:rPr>
              <w:t>80MHz-1000MHz</w:t>
            </w:r>
            <w:r>
              <w:rPr>
                <w:sz w:val="21"/>
              </w:rPr>
              <w:t>和</w:t>
            </w:r>
            <w:r>
              <w:rPr>
                <w:sz w:val="21"/>
              </w:rPr>
              <w:t>1000MHz-2700MHz</w:t>
            </w:r>
            <w:r>
              <w:rPr>
                <w:sz w:val="21"/>
              </w:rPr>
              <w:t>范围内符合</w:t>
            </w:r>
            <w:r>
              <w:rPr>
                <w:sz w:val="21"/>
              </w:rPr>
              <w:t>GB/T17626.3-2016</w:t>
            </w:r>
            <w:r>
              <w:rPr>
                <w:sz w:val="21"/>
              </w:rPr>
              <w:t>相关标准（提供带</w:t>
            </w:r>
            <w:r>
              <w:rPr>
                <w:sz w:val="21"/>
              </w:rPr>
              <w:t>CMA</w:t>
            </w:r>
            <w:r>
              <w:rPr>
                <w:sz w:val="21"/>
              </w:rPr>
              <w:t>或</w:t>
            </w:r>
            <w:r>
              <w:rPr>
                <w:sz w:val="21"/>
              </w:rPr>
              <w:t>CNAS</w:t>
            </w:r>
            <w:r>
              <w:rPr>
                <w:sz w:val="21"/>
              </w:rPr>
              <w:t>标识的功能性测试报告扫描件）</w:t>
            </w:r>
          </w:p>
          <w:p>
            <w:pPr>
              <w:pStyle w:val="null3"/>
              <w:jc w:val="both"/>
            </w:pPr>
            <w:r>
              <w:rPr>
                <w:sz w:val="21"/>
              </w:rPr>
              <w:t>▲</w:t>
            </w:r>
            <w:r>
              <w:rPr>
                <w:sz w:val="21"/>
              </w:rPr>
              <w:t>18.</w:t>
            </w:r>
            <w:r>
              <w:rPr>
                <w:sz w:val="21"/>
              </w:rPr>
              <w:t>为防止因电压变化造成的干扰，所投产品符合电压暂降和短时中断和电压变化抗扰度要求（符合</w:t>
            </w:r>
            <w:r>
              <w:rPr>
                <w:sz w:val="21"/>
              </w:rPr>
              <w:t>GB/T17626.11-2008</w:t>
            </w:r>
            <w:r>
              <w:rPr>
                <w:sz w:val="21"/>
              </w:rPr>
              <w:t>相关标准）：电压降低</w:t>
            </w:r>
            <w:r>
              <w:rPr>
                <w:sz w:val="21"/>
              </w:rPr>
              <w:t>30%</w:t>
            </w:r>
            <w:r>
              <w:rPr>
                <w:sz w:val="21"/>
              </w:rPr>
              <w:t>、电压降低</w:t>
            </w:r>
            <w:r>
              <w:rPr>
                <w:sz w:val="21"/>
              </w:rPr>
              <w:t>100%</w:t>
            </w:r>
            <w:r>
              <w:rPr>
                <w:sz w:val="21"/>
              </w:rPr>
              <w:t>，在实验时间条件下，设备不出现画面质量降低，存储数据丢失，按键失灵现象；（提供带</w:t>
            </w:r>
            <w:r>
              <w:rPr>
                <w:sz w:val="21"/>
              </w:rPr>
              <w:t>CMA</w:t>
            </w:r>
            <w:r>
              <w:rPr>
                <w:sz w:val="21"/>
              </w:rPr>
              <w:t>或</w:t>
            </w:r>
            <w:r>
              <w:rPr>
                <w:sz w:val="21"/>
              </w:rPr>
              <w:t>CNAS</w:t>
            </w:r>
            <w:r>
              <w:rPr>
                <w:sz w:val="21"/>
              </w:rPr>
              <w:t>标识的功能性测试报告扫描件）</w:t>
            </w:r>
          </w:p>
          <w:p>
            <w:pPr>
              <w:pStyle w:val="null3"/>
              <w:jc w:val="both"/>
            </w:pPr>
            <w:r>
              <w:rPr>
                <w:sz w:val="21"/>
              </w:rPr>
              <w:t>19.</w:t>
            </w:r>
            <w:r>
              <w:rPr>
                <w:sz w:val="21"/>
              </w:rPr>
              <w:t>要求与分布式桌面云系统可以相互兼容。（投标人投标时提供承诺函，可参考“投标文件格式”中《承诺函》格式）</w:t>
            </w:r>
          </w:p>
          <w:p>
            <w:pPr>
              <w:pStyle w:val="null3"/>
              <w:jc w:val="both"/>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2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分布式桌面云系统</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rPr>
              <w:t>1.</w:t>
            </w:r>
            <w:r>
              <w:rPr>
                <w:sz w:val="21"/>
              </w:rPr>
              <w:t>管理平台和终端支持</w:t>
            </w:r>
            <w:r>
              <w:rPr>
                <w:sz w:val="21"/>
              </w:rPr>
              <w:t>IPv4</w:t>
            </w:r>
            <w:r>
              <w:rPr>
                <w:sz w:val="21"/>
              </w:rPr>
              <w:t>、</w:t>
            </w:r>
            <w:r>
              <w:rPr>
                <w:sz w:val="21"/>
              </w:rPr>
              <w:t>IPv6</w:t>
            </w:r>
            <w:r>
              <w:rPr>
                <w:sz w:val="21"/>
              </w:rPr>
              <w:t>网络环境下的安装使用，可配置</w:t>
            </w:r>
            <w:r>
              <w:rPr>
                <w:sz w:val="21"/>
              </w:rPr>
              <w:t>IPv4</w:t>
            </w:r>
            <w:r>
              <w:rPr>
                <w:sz w:val="21"/>
              </w:rPr>
              <w:t>、</w:t>
            </w:r>
            <w:r>
              <w:rPr>
                <w:sz w:val="21"/>
              </w:rPr>
              <w:t>IPv6</w:t>
            </w:r>
            <w:r>
              <w:rPr>
                <w:sz w:val="21"/>
              </w:rPr>
              <w:t>网络信息；</w:t>
            </w:r>
          </w:p>
          <w:p>
            <w:pPr>
              <w:pStyle w:val="null3"/>
            </w:pPr>
            <w:r>
              <w:rPr>
                <w:sz w:val="21"/>
              </w:rPr>
              <w:t xml:space="preserve">2. </w:t>
            </w:r>
            <w:r>
              <w:rPr>
                <w:sz w:val="21"/>
              </w:rPr>
              <w:t>管理平台采用</w:t>
            </w:r>
            <w:r>
              <w:rPr>
                <w:sz w:val="21"/>
              </w:rPr>
              <w:t>B/S</w:t>
            </w:r>
            <w:r>
              <w:rPr>
                <w:sz w:val="21"/>
              </w:rPr>
              <w:t>架构，无需安装客户端，管理员可以在任意地点使用</w:t>
            </w:r>
            <w:r>
              <w:rPr>
                <w:sz w:val="21"/>
              </w:rPr>
              <w:t>PC</w:t>
            </w:r>
            <w:r>
              <w:rPr>
                <w:sz w:val="21"/>
              </w:rPr>
              <w:t>、手机、平板电脑等设备访问</w:t>
            </w:r>
            <w:r>
              <w:rPr>
                <w:sz w:val="21"/>
              </w:rPr>
              <w:t>WEB</w:t>
            </w:r>
            <w:r>
              <w:rPr>
                <w:sz w:val="21"/>
              </w:rPr>
              <w:t>页面即可进行终端和桌面的管理，支持账号密码和微信扫码多种登录方式；</w:t>
            </w:r>
          </w:p>
          <w:p>
            <w:pPr>
              <w:pStyle w:val="null3"/>
            </w:pPr>
            <w:r>
              <w:rPr>
                <w:sz w:val="21"/>
              </w:rPr>
              <w:t xml:space="preserve">3. </w:t>
            </w:r>
            <w:r>
              <w:rPr>
                <w:sz w:val="21"/>
              </w:rPr>
              <w:t>支持跨校区分散部署，云服务器可部署在不同的校区，单一</w:t>
            </w:r>
            <w:r>
              <w:rPr>
                <w:sz w:val="21"/>
              </w:rPr>
              <w:t>IP</w:t>
            </w:r>
            <w:r>
              <w:rPr>
                <w:sz w:val="21"/>
              </w:rPr>
              <w:t>地址即可访问和管理所有区域，支持多区域切换管理，支持新增区域，便于构建校级云桌面同一管理平台，满足跨校区云桌面建设；（提供功能截图）</w:t>
            </w:r>
          </w:p>
          <w:p>
            <w:pPr>
              <w:pStyle w:val="null3"/>
            </w:pPr>
            <w:r>
              <w:rPr>
                <w:sz w:val="21"/>
              </w:rPr>
              <w:t xml:space="preserve">4. </w:t>
            </w:r>
            <w:r>
              <w:rPr>
                <w:sz w:val="21"/>
              </w:rPr>
              <w:t>支持跨校区多区域资源汇总分析，可统计所有区域的桌面云部署信息，至少包括服务器数量，</w:t>
            </w:r>
            <w:r>
              <w:rPr>
                <w:sz w:val="21"/>
              </w:rPr>
              <w:t>CPU</w:t>
            </w:r>
            <w:r>
              <w:rPr>
                <w:sz w:val="21"/>
              </w:rPr>
              <w:t>、内存、存储使用率，教室数量，终端数量，桌面数量等，也可统计分析区域内桌面使用次数，桌面场景使用时长，机房日均使用时长等信息，便于学校掌握桌面云整体建设使用情况；</w:t>
            </w:r>
          </w:p>
          <w:p>
            <w:pPr>
              <w:pStyle w:val="null3"/>
            </w:pPr>
            <w:r>
              <w:rPr>
                <w:sz w:val="21"/>
              </w:rPr>
              <w:t xml:space="preserve">5. </w:t>
            </w:r>
            <w:r>
              <w:rPr>
                <w:sz w:val="21"/>
              </w:rPr>
              <w:t>支持消息发布功能，管理员可直接通过</w:t>
            </w:r>
            <w:r>
              <w:rPr>
                <w:sz w:val="21"/>
              </w:rPr>
              <w:t>web</w:t>
            </w:r>
            <w:r>
              <w:rPr>
                <w:sz w:val="21"/>
              </w:rPr>
              <w:t>管理平台给终端发送消息，在场景选单页面即可接收消息（还没进入</w:t>
            </w:r>
            <w:r>
              <w:rPr>
                <w:sz w:val="21"/>
              </w:rPr>
              <w:t>windows</w:t>
            </w:r>
            <w:r>
              <w:rPr>
                <w:sz w:val="21"/>
              </w:rPr>
              <w:t>系统环境下），消息可在屏幕上方从右到左滚动显示，在滚动显示消息的状态下，点击选择进入</w:t>
            </w:r>
            <w:r>
              <w:rPr>
                <w:sz w:val="21"/>
              </w:rPr>
              <w:t>win10</w:t>
            </w:r>
            <w:r>
              <w:rPr>
                <w:sz w:val="21"/>
              </w:rPr>
              <w:t>系统后，可看到</w:t>
            </w:r>
            <w:r>
              <w:rPr>
                <w:sz w:val="21"/>
              </w:rPr>
              <w:t>win10</w:t>
            </w:r>
            <w:r>
              <w:rPr>
                <w:sz w:val="21"/>
              </w:rPr>
              <w:t>系统的完整开机流程（需提供设备进行现场演示）；</w:t>
            </w:r>
          </w:p>
          <w:p>
            <w:pPr>
              <w:pStyle w:val="null3"/>
            </w:pPr>
            <w:r>
              <w:rPr>
                <w:sz w:val="21"/>
              </w:rPr>
              <w:t xml:space="preserve">6. </w:t>
            </w:r>
            <w:r>
              <w:rPr>
                <w:sz w:val="21"/>
              </w:rPr>
              <w:t>支持在</w:t>
            </w:r>
            <w:r>
              <w:rPr>
                <w:sz w:val="21"/>
              </w:rPr>
              <w:t>WEB</w:t>
            </w:r>
            <w:r>
              <w:rPr>
                <w:sz w:val="21"/>
              </w:rPr>
              <w:t>管理平台上直接对服务器</w:t>
            </w:r>
            <w:r>
              <w:rPr>
                <w:sz w:val="21"/>
              </w:rPr>
              <w:t>SSD</w:t>
            </w:r>
            <w:r>
              <w:rPr>
                <w:sz w:val="21"/>
              </w:rPr>
              <w:t>硬盘进行性能测试（非命令行的交互方式），不依赖第三方测试工具，可获取</w:t>
            </w:r>
            <w:r>
              <w:rPr>
                <w:sz w:val="21"/>
              </w:rPr>
              <w:t>SSD</w:t>
            </w:r>
            <w:r>
              <w:rPr>
                <w:sz w:val="21"/>
              </w:rPr>
              <w:t>硬盘</w:t>
            </w:r>
            <w:r>
              <w:rPr>
                <w:sz w:val="21"/>
              </w:rPr>
              <w:t>16K</w:t>
            </w:r>
            <w:r>
              <w:rPr>
                <w:sz w:val="21"/>
              </w:rPr>
              <w:t>随机读、顺序写数值，并给出优或良或中或差的综合分值；注册模板时可指定模板应用的教室范围，不同管理员能分权限对模板进行管理，一键自主隐藏无权限的模板，也可对模板进行转让与共享；（需提供设备进行现场演示）</w:t>
            </w:r>
          </w:p>
          <w:p>
            <w:pPr>
              <w:pStyle w:val="null3"/>
            </w:pPr>
            <w:r>
              <w:rPr>
                <w:sz w:val="21"/>
              </w:rPr>
              <w:t xml:space="preserve">7. </w:t>
            </w:r>
            <w:r>
              <w:rPr>
                <w:sz w:val="21"/>
              </w:rPr>
              <w:t>无需安装任何客户端，管理员在办公室即可通过网页浏览器上直接编辑模板镜像，对模板的操作最少应实现加载</w:t>
            </w:r>
            <w:r>
              <w:rPr>
                <w:sz w:val="21"/>
              </w:rPr>
              <w:t>GuestTool</w:t>
            </w:r>
            <w:r>
              <w:rPr>
                <w:sz w:val="21"/>
              </w:rPr>
              <w:t>、开关机、上传文件、更新模板、移除安装介质、加载安装包功能，可以直接将笔记本电脑的文件拖动到网页浏览器打开的模板虚拟机，拖动后可自动弹出文件保存路径选择界面（需提供设备进行现场演示）</w:t>
            </w:r>
          </w:p>
          <w:p>
            <w:pPr>
              <w:pStyle w:val="null3"/>
            </w:pPr>
            <w:r>
              <w:rPr>
                <w:sz w:val="21"/>
              </w:rPr>
              <w:t xml:space="preserve">8. </w:t>
            </w:r>
            <w:r>
              <w:rPr>
                <w:sz w:val="21"/>
              </w:rPr>
              <w:t>终端支持裸机部署模式，本地无操作系统也可连接服务器部署客户端，且局域网内任意安装好</w:t>
            </w:r>
            <w:r>
              <w:rPr>
                <w:sz w:val="21"/>
              </w:rPr>
              <w:t>VOI</w:t>
            </w:r>
            <w:r>
              <w:rPr>
                <w:sz w:val="21"/>
              </w:rPr>
              <w:t>底层客户端的终端，都可以给其他终端传底层客户端系统，便于终端和服务器处在跨</w:t>
            </w:r>
            <w:r>
              <w:rPr>
                <w:sz w:val="21"/>
              </w:rPr>
              <w:t>VLAN</w:t>
            </w:r>
            <w:r>
              <w:rPr>
                <w:sz w:val="21"/>
              </w:rPr>
              <w:t>环境下的环境部署；</w:t>
            </w:r>
          </w:p>
          <w:p>
            <w:pPr>
              <w:pStyle w:val="null3"/>
            </w:pPr>
            <w:r>
              <w:rPr>
                <w:sz w:val="21"/>
              </w:rPr>
              <w:t xml:space="preserve">9. </w:t>
            </w:r>
            <w:r>
              <w:rPr>
                <w:sz w:val="21"/>
              </w:rPr>
              <w:t>系统下发支持</w:t>
            </w:r>
            <w:r>
              <w:rPr>
                <w:sz w:val="21"/>
              </w:rPr>
              <w:t>BT</w:t>
            </w:r>
            <w:r>
              <w:rPr>
                <w:sz w:val="21"/>
              </w:rPr>
              <w:t>和广播两种模式，广播支持跨</w:t>
            </w:r>
            <w:r>
              <w:rPr>
                <w:sz w:val="21"/>
              </w:rPr>
              <w:t>VLAN</w:t>
            </w:r>
            <w:r>
              <w:rPr>
                <w:sz w:val="21"/>
              </w:rPr>
              <w:t>环境且无需第三方软硬件设备，以提升系统下发效率；</w:t>
            </w:r>
          </w:p>
          <w:p>
            <w:pPr>
              <w:pStyle w:val="null3"/>
            </w:pPr>
            <w:r>
              <w:rPr>
                <w:sz w:val="20"/>
              </w:rPr>
              <w:t>10.</w:t>
            </w:r>
            <w:r>
              <w:rPr>
                <w:sz w:val="20"/>
              </w:rPr>
              <w:t>支持底层</w:t>
            </w:r>
            <w:r>
              <w:rPr>
                <w:sz w:val="20"/>
              </w:rPr>
              <w:t>Linux</w:t>
            </w:r>
            <w:r>
              <w:rPr>
                <w:sz w:val="20"/>
              </w:rPr>
              <w:t>系统手动备份保护和实时自动备份保护两种模式，</w:t>
            </w:r>
            <w:r>
              <w:rPr>
                <w:sz w:val="20"/>
              </w:rPr>
              <w:t>需提供下列其中任意一种</w:t>
            </w:r>
            <w:r>
              <w:rPr>
                <w:sz w:val="20"/>
              </w:rPr>
              <w:t>有关于</w:t>
            </w:r>
            <w:r>
              <w:rPr>
                <w:sz w:val="20"/>
              </w:rPr>
              <w:t>Windows</w:t>
            </w:r>
            <w:r>
              <w:rPr>
                <w:sz w:val="20"/>
              </w:rPr>
              <w:t>或</w:t>
            </w:r>
            <w:r>
              <w:rPr>
                <w:sz w:val="20"/>
              </w:rPr>
              <w:t>Linux</w:t>
            </w:r>
            <w:r>
              <w:rPr>
                <w:sz w:val="20"/>
              </w:rPr>
              <w:t>文件系统的手动备份和实时保护</w:t>
            </w:r>
            <w:r>
              <w:rPr>
                <w:sz w:val="20"/>
              </w:rPr>
              <w:t>的证明材料：（1）相关</w:t>
            </w:r>
            <w:r>
              <w:rPr>
                <w:sz w:val="20"/>
              </w:rPr>
              <w:t>的知识产权证明文件扫描件</w:t>
            </w:r>
            <w:r>
              <w:rPr>
                <w:sz w:val="20"/>
              </w:rPr>
              <w:t>；（2）产品功能截图（3）带CMA或CNAS标识的功能性测试报告扫描件。</w:t>
            </w:r>
          </w:p>
          <w:p>
            <w:pPr>
              <w:pStyle w:val="null3"/>
            </w:pPr>
            <w:r>
              <w:rPr>
                <w:sz w:val="21"/>
              </w:rPr>
              <w:t>▲</w:t>
            </w:r>
            <w:r>
              <w:rPr>
                <w:sz w:val="21"/>
              </w:rPr>
              <w:t xml:space="preserve">11. </w:t>
            </w:r>
            <w:r>
              <w:rPr>
                <w:sz w:val="21"/>
              </w:rPr>
              <w:t>支持端对端数据智能传输，可将已有镜像的终端作为发送端，给同教室内其他终端下发镜像，提升系统下发效率；（提供带</w:t>
            </w:r>
            <w:r>
              <w:rPr>
                <w:sz w:val="21"/>
              </w:rPr>
              <w:t>CMA</w:t>
            </w:r>
            <w:r>
              <w:rPr>
                <w:sz w:val="21"/>
              </w:rPr>
              <w:t>或</w:t>
            </w:r>
            <w:r>
              <w:rPr>
                <w:sz w:val="21"/>
              </w:rPr>
              <w:t>CNAS</w:t>
            </w:r>
            <w:r>
              <w:rPr>
                <w:sz w:val="21"/>
              </w:rPr>
              <w:t>标识的功能性测试报告扫描件）；</w:t>
            </w:r>
          </w:p>
          <w:p>
            <w:pPr>
              <w:pStyle w:val="null3"/>
            </w:pPr>
            <w:r>
              <w:rPr>
                <w:sz w:val="21"/>
              </w:rPr>
              <w:t xml:space="preserve">12. </w:t>
            </w:r>
            <w:r>
              <w:rPr>
                <w:sz w:val="21"/>
              </w:rPr>
              <w:t>制作系统模板时支持样机制作方式，可在教室任意选择一台样机，系统和软件安装完成后将样机模板上传到服务器端；同时支持</w:t>
            </w:r>
            <w:r>
              <w:rPr>
                <w:sz w:val="21"/>
              </w:rPr>
              <w:t>web</w:t>
            </w:r>
            <w:r>
              <w:rPr>
                <w:sz w:val="21"/>
              </w:rPr>
              <w:t>平台制作方式，无需到教室寻找样机，直接在管理平台上通过虚拟机制作模板然后下发，提高样机制作便捷度；</w:t>
            </w:r>
          </w:p>
          <w:p>
            <w:pPr>
              <w:pStyle w:val="null3"/>
            </w:pPr>
            <w:r>
              <w:rPr>
                <w:sz w:val="21"/>
              </w:rPr>
              <w:t xml:space="preserve">13. </w:t>
            </w:r>
            <w:r>
              <w:rPr>
                <w:sz w:val="21"/>
              </w:rPr>
              <w:t>系统下发支持分盘下发，可同时下发系统盘和数据盘数据，也可独立分发系统盘数据，满足系统盘更新同时保留数据盘数据的需求，提升系统下发的灵活性；</w:t>
            </w:r>
          </w:p>
          <w:p>
            <w:pPr>
              <w:pStyle w:val="null3"/>
            </w:pPr>
            <w:r>
              <w:rPr>
                <w:sz w:val="21"/>
              </w:rPr>
              <w:t xml:space="preserve">14. </w:t>
            </w:r>
            <w:r>
              <w:rPr>
                <w:sz w:val="21"/>
              </w:rPr>
              <w:t>支持软件方式实现跨</w:t>
            </w:r>
            <w:r>
              <w:rPr>
                <w:sz w:val="21"/>
              </w:rPr>
              <w:t>VLAN</w:t>
            </w:r>
            <w:r>
              <w:rPr>
                <w:sz w:val="21"/>
              </w:rPr>
              <w:t>环境下的终端网络唤醒，无需第三方硬件设备；</w:t>
            </w:r>
          </w:p>
          <w:p>
            <w:pPr>
              <w:pStyle w:val="null3"/>
            </w:pPr>
            <w:r>
              <w:rPr>
                <w:sz w:val="21"/>
              </w:rPr>
              <w:t xml:space="preserve">15. </w:t>
            </w:r>
            <w:r>
              <w:rPr>
                <w:sz w:val="21"/>
              </w:rPr>
              <w:t>能够通过管理平台远程对服务器进行维护管理，例如关机、重启，查看服务器详细硬件配置，例如</w:t>
            </w:r>
            <w:r>
              <w:rPr>
                <w:sz w:val="21"/>
              </w:rPr>
              <w:t>CPU/</w:t>
            </w:r>
            <w:r>
              <w:rPr>
                <w:sz w:val="21"/>
              </w:rPr>
              <w:t>内存</w:t>
            </w:r>
            <w:r>
              <w:rPr>
                <w:sz w:val="21"/>
              </w:rPr>
              <w:t>/</w:t>
            </w:r>
            <w:r>
              <w:rPr>
                <w:sz w:val="21"/>
              </w:rPr>
              <w:t>磁盘</w:t>
            </w:r>
            <w:r>
              <w:rPr>
                <w:sz w:val="21"/>
              </w:rPr>
              <w:t>/</w:t>
            </w:r>
            <w:r>
              <w:rPr>
                <w:sz w:val="21"/>
              </w:rPr>
              <w:t>显卡型号与数量，实时掌握系统服务的开启或关闭状态，能够一键重启关键进程；</w:t>
            </w:r>
          </w:p>
          <w:p>
            <w:pPr>
              <w:pStyle w:val="null3"/>
            </w:pPr>
            <w:r>
              <w:rPr>
                <w:sz w:val="21"/>
              </w:rPr>
              <w:t xml:space="preserve">16. </w:t>
            </w:r>
            <w:r>
              <w:rPr>
                <w:sz w:val="21"/>
              </w:rPr>
              <w:t>为了应对学校网络调整，可在管理平台上灵活修改服务器的</w:t>
            </w:r>
            <w:r>
              <w:rPr>
                <w:sz w:val="21"/>
              </w:rPr>
              <w:t>ip</w:t>
            </w:r>
            <w:r>
              <w:rPr>
                <w:sz w:val="21"/>
              </w:rPr>
              <w:t>地址，无需重启服务器，使用更改后的</w:t>
            </w:r>
            <w:r>
              <w:rPr>
                <w:sz w:val="21"/>
              </w:rPr>
              <w:t>ip</w:t>
            </w:r>
            <w:r>
              <w:rPr>
                <w:sz w:val="21"/>
              </w:rPr>
              <w:t>地址即可访问平台，平台原有模板、桌面信息、网络配置无变化；</w:t>
            </w:r>
          </w:p>
          <w:p>
            <w:pPr>
              <w:pStyle w:val="null3"/>
            </w:pPr>
            <w:r>
              <w:rPr>
                <w:sz w:val="21"/>
              </w:rPr>
              <w:t xml:space="preserve">17. </w:t>
            </w:r>
            <w:r>
              <w:rPr>
                <w:sz w:val="21"/>
              </w:rPr>
              <w:t>支持将服务器映射到公网，可将服务器运维托管于</w:t>
            </w:r>
            <w:r>
              <w:rPr>
                <w:sz w:val="21"/>
              </w:rPr>
              <w:t>DC</w:t>
            </w:r>
            <w:r>
              <w:rPr>
                <w:sz w:val="21"/>
              </w:rPr>
              <w:t>机房，解决跨校区分散终端环境的统一管理；</w:t>
            </w:r>
          </w:p>
          <w:p>
            <w:pPr>
              <w:pStyle w:val="null3"/>
            </w:pPr>
            <w:r>
              <w:rPr>
                <w:sz w:val="21"/>
              </w:rPr>
              <w:t xml:space="preserve">18. </w:t>
            </w:r>
            <w:r>
              <w:rPr>
                <w:sz w:val="21"/>
              </w:rPr>
              <w:t>支持控制服务器</w:t>
            </w:r>
            <w:r>
              <w:rPr>
                <w:sz w:val="21"/>
              </w:rPr>
              <w:t>HA</w:t>
            </w:r>
            <w:r>
              <w:rPr>
                <w:sz w:val="21"/>
              </w:rPr>
              <w:t>，配置两台控制服务器时采用主备模式，当主控服务器故障，备控服务器自动完成接管，执行</w:t>
            </w:r>
            <w:r>
              <w:rPr>
                <w:sz w:val="21"/>
              </w:rPr>
              <w:t>HA</w:t>
            </w:r>
            <w:r>
              <w:rPr>
                <w:sz w:val="21"/>
              </w:rPr>
              <w:t>切换前后，所有终端连接服务器的网络配置无需更改，</w:t>
            </w:r>
            <w:r>
              <w:rPr>
                <w:sz w:val="21"/>
              </w:rPr>
              <w:t>HA</w:t>
            </w:r>
            <w:r>
              <w:rPr>
                <w:sz w:val="21"/>
              </w:rPr>
              <w:t>触发的敏感时间可精细化到秒并可配置；</w:t>
            </w:r>
          </w:p>
          <w:p>
            <w:pPr>
              <w:pStyle w:val="null3"/>
            </w:pPr>
            <w:r>
              <w:rPr>
                <w:sz w:val="21"/>
              </w:rPr>
              <w:t xml:space="preserve">19. </w:t>
            </w:r>
            <w:r>
              <w:rPr>
                <w:sz w:val="21"/>
              </w:rPr>
              <w:t>平台支持下发</w:t>
            </w:r>
            <w:r>
              <w:rPr>
                <w:sz w:val="21"/>
              </w:rPr>
              <w:t>windows</w:t>
            </w:r>
            <w:r>
              <w:rPr>
                <w:sz w:val="21"/>
              </w:rPr>
              <w:t>和</w:t>
            </w:r>
            <w:r>
              <w:rPr>
                <w:sz w:val="21"/>
              </w:rPr>
              <w:t>linux</w:t>
            </w:r>
            <w:r>
              <w:rPr>
                <w:sz w:val="21"/>
              </w:rPr>
              <w:t>系统，在为教室分配桌面时，能够手动选择配置好的</w:t>
            </w:r>
            <w:r>
              <w:rPr>
                <w:sz w:val="21"/>
              </w:rPr>
              <w:t>windows</w:t>
            </w:r>
            <w:r>
              <w:rPr>
                <w:sz w:val="21"/>
              </w:rPr>
              <w:t>和</w:t>
            </w:r>
            <w:r>
              <w:rPr>
                <w:sz w:val="21"/>
              </w:rPr>
              <w:t>linux</w:t>
            </w:r>
            <w:r>
              <w:rPr>
                <w:sz w:val="21"/>
              </w:rPr>
              <w:t>模板，桌面创建支持自动编排终端的计算机名及编号，能够单独设定桌面系统盘</w:t>
            </w:r>
            <w:r>
              <w:rPr>
                <w:sz w:val="21"/>
              </w:rPr>
              <w:t>/</w:t>
            </w:r>
            <w:r>
              <w:rPr>
                <w:sz w:val="21"/>
              </w:rPr>
              <w:t>数据盘的还原属性，支持不还原</w:t>
            </w:r>
            <w:r>
              <w:rPr>
                <w:sz w:val="21"/>
              </w:rPr>
              <w:t>/</w:t>
            </w:r>
            <w:r>
              <w:rPr>
                <w:sz w:val="21"/>
              </w:rPr>
              <w:t>每次还原</w:t>
            </w:r>
            <w:r>
              <w:rPr>
                <w:sz w:val="21"/>
              </w:rPr>
              <w:t>/</w:t>
            </w:r>
            <w:r>
              <w:rPr>
                <w:sz w:val="21"/>
              </w:rPr>
              <w:t>每周还原</w:t>
            </w:r>
            <w:r>
              <w:rPr>
                <w:sz w:val="21"/>
              </w:rPr>
              <w:t>/</w:t>
            </w:r>
            <w:r>
              <w:rPr>
                <w:sz w:val="21"/>
              </w:rPr>
              <w:t>每月还原，支持自动更新桌面；</w:t>
            </w:r>
          </w:p>
          <w:p>
            <w:pPr>
              <w:pStyle w:val="null3"/>
            </w:pPr>
            <w:r>
              <w:rPr>
                <w:sz w:val="21"/>
              </w:rPr>
              <w:t xml:space="preserve">20. </w:t>
            </w:r>
            <w:r>
              <w:rPr>
                <w:sz w:val="21"/>
              </w:rPr>
              <w:t>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满足教学桌面还原和考试环境数据保存等需求；</w:t>
            </w:r>
          </w:p>
          <w:p>
            <w:pPr>
              <w:pStyle w:val="null3"/>
            </w:pPr>
            <w:r>
              <w:rPr>
                <w:sz w:val="21"/>
              </w:rPr>
              <w:t xml:space="preserve">21. </w:t>
            </w:r>
            <w:r>
              <w:rPr>
                <w:sz w:val="21"/>
              </w:rPr>
              <w:t>针对教室桌面，能够设定独立的场景数据盘，并自动挂载到终端操作系统，针对场景数据盘能够设定清空策略，支持不清空</w:t>
            </w:r>
            <w:r>
              <w:rPr>
                <w:sz w:val="21"/>
              </w:rPr>
              <w:t>/</w:t>
            </w:r>
            <w:r>
              <w:rPr>
                <w:sz w:val="21"/>
              </w:rPr>
              <w:t>每周清空</w:t>
            </w:r>
            <w:r>
              <w:rPr>
                <w:sz w:val="21"/>
              </w:rPr>
              <w:t>/</w:t>
            </w:r>
            <w:r>
              <w:rPr>
                <w:sz w:val="21"/>
              </w:rPr>
              <w:t>每月清空等方式，满足单个专业环境下的数据存储要求；（需提供设备进行现场演示）</w:t>
            </w:r>
          </w:p>
          <w:p>
            <w:pPr>
              <w:pStyle w:val="null3"/>
            </w:pPr>
            <w:r>
              <w:rPr>
                <w:sz w:val="21"/>
              </w:rPr>
              <w:t xml:space="preserve">22. </w:t>
            </w:r>
            <w:r>
              <w:rPr>
                <w:sz w:val="21"/>
              </w:rPr>
              <w:t>个人桌面支持还原点功能，当个人桌面损坏时，可通过还原点快速恢复环境，同时不丢失用户个性化配置及个人数据；</w:t>
            </w:r>
          </w:p>
          <w:p>
            <w:pPr>
              <w:pStyle w:val="null3"/>
            </w:pPr>
            <w:r>
              <w:rPr>
                <w:sz w:val="21"/>
              </w:rPr>
              <w:t>23.</w:t>
            </w:r>
            <w:r>
              <w:rPr>
                <w:sz w:val="21"/>
              </w:rPr>
              <w:t>为了提供网络盘储存的文件获取路径，</w:t>
            </w:r>
            <w:r>
              <w:rPr>
                <w:sz w:val="20"/>
              </w:rPr>
              <w:t>需提供下列其中任意一种</w:t>
            </w:r>
            <w:r>
              <w:rPr>
                <w:sz w:val="21"/>
              </w:rPr>
              <w:t>基于本地缓存或者异地缓存的网络盘的实现及维护方法</w:t>
            </w:r>
            <w:r>
              <w:rPr>
                <w:sz w:val="20"/>
              </w:rPr>
              <w:t>的证明材料：（1）相关</w:t>
            </w:r>
            <w:r>
              <w:rPr>
                <w:sz w:val="20"/>
              </w:rPr>
              <w:t>的知识产权证明文件扫描件</w:t>
            </w:r>
            <w:r>
              <w:rPr>
                <w:sz w:val="20"/>
              </w:rPr>
              <w:t>；（2）产品功能截图；（3）带CMA或CNAS标识的功能性测试报告扫描件。</w:t>
            </w:r>
          </w:p>
          <w:p>
            <w:pPr>
              <w:pStyle w:val="null3"/>
            </w:pPr>
            <w:r>
              <w:rPr>
                <w:sz w:val="21"/>
              </w:rPr>
              <w:t xml:space="preserve">24. </w:t>
            </w:r>
            <w:r>
              <w:rPr>
                <w:sz w:val="21"/>
              </w:rPr>
              <w:t>支持</w:t>
            </w:r>
            <w:r>
              <w:rPr>
                <w:sz w:val="21"/>
              </w:rPr>
              <w:t>windows</w:t>
            </w:r>
            <w:r>
              <w:rPr>
                <w:sz w:val="21"/>
              </w:rPr>
              <w:t>系统下的屏幕水印功能，可设置水印显示位置、字体大小、颜色、透明度，可设置显示内容，包括桌面计算机名，终端序号，桌面</w:t>
            </w:r>
            <w:r>
              <w:rPr>
                <w:sz w:val="21"/>
              </w:rPr>
              <w:t>IP</w:t>
            </w:r>
            <w:r>
              <w:rPr>
                <w:sz w:val="21"/>
              </w:rPr>
              <w:t>地址，</w:t>
            </w:r>
            <w:r>
              <w:rPr>
                <w:sz w:val="21"/>
              </w:rPr>
              <w:t>MAC</w:t>
            </w:r>
            <w:r>
              <w:rPr>
                <w:sz w:val="21"/>
              </w:rPr>
              <w:t>地址，还原方式等信息，还可自定义显示内容，进入系统后，桌面右上角可置顶显示设置的信息水印，便于管理员维护时快速查找对应的终端；（提供功能截图）</w:t>
            </w:r>
          </w:p>
          <w:p>
            <w:pPr>
              <w:pStyle w:val="null3"/>
            </w:pPr>
            <w:r>
              <w:rPr>
                <w:sz w:val="21"/>
              </w:rPr>
              <w:t xml:space="preserve">25. </w:t>
            </w:r>
            <w:r>
              <w:rPr>
                <w:sz w:val="21"/>
              </w:rPr>
              <w:t>支持硬件虚拟化功能，开启后针对硬件识别码的软件可实现软件统一注册，大幅度降低激活软件带来的工作量；（提供带</w:t>
            </w:r>
            <w:r>
              <w:rPr>
                <w:sz w:val="21"/>
              </w:rPr>
              <w:t>CMA</w:t>
            </w:r>
            <w:r>
              <w:rPr>
                <w:sz w:val="21"/>
              </w:rPr>
              <w:t>或</w:t>
            </w:r>
            <w:r>
              <w:rPr>
                <w:sz w:val="21"/>
              </w:rPr>
              <w:t>CNAS</w:t>
            </w:r>
            <w:r>
              <w:rPr>
                <w:sz w:val="21"/>
              </w:rPr>
              <w:t>标识的功能性测试报告扫描件，合同签订后需提供资料原件备查）</w:t>
            </w:r>
            <w:r>
              <w:rPr>
                <w:sz w:val="20"/>
              </w:rPr>
              <w:t xml:space="preserve"> </w:t>
            </w:r>
          </w:p>
          <w:p>
            <w:pPr>
              <w:pStyle w:val="null3"/>
            </w:pPr>
            <w:r>
              <w:rPr>
                <w:sz w:val="21"/>
              </w:rPr>
              <w:t xml:space="preserve">26. </w:t>
            </w:r>
            <w:r>
              <w:rPr>
                <w:sz w:val="21"/>
              </w:rPr>
              <w:t>支持模板管理，可针对不同的教学要求提供</w:t>
            </w:r>
            <w:r>
              <w:rPr>
                <w:sz w:val="21"/>
              </w:rPr>
              <w:t>windows</w:t>
            </w:r>
            <w:r>
              <w:rPr>
                <w:sz w:val="21"/>
              </w:rPr>
              <w:t>、</w:t>
            </w:r>
            <w:r>
              <w:rPr>
                <w:sz w:val="21"/>
              </w:rPr>
              <w:t>linux</w:t>
            </w:r>
            <w:r>
              <w:rPr>
                <w:sz w:val="21"/>
              </w:rPr>
              <w:t>等多套教学模板，支持在</w:t>
            </w:r>
            <w:r>
              <w:rPr>
                <w:sz w:val="21"/>
              </w:rPr>
              <w:t>web</w:t>
            </w:r>
            <w:r>
              <w:rPr>
                <w:sz w:val="21"/>
              </w:rPr>
              <w:t>平台对模板进行新增，编辑，注册，删除等操作；</w:t>
            </w:r>
          </w:p>
          <w:p>
            <w:pPr>
              <w:pStyle w:val="null3"/>
            </w:pPr>
            <w:r>
              <w:rPr>
                <w:sz w:val="21"/>
              </w:rPr>
              <w:t xml:space="preserve">27. </w:t>
            </w:r>
            <w:r>
              <w:rPr>
                <w:sz w:val="21"/>
              </w:rPr>
              <w:t>支持模板更新点管理，可默认保留不少于三个时间点的更新进度，可对更新点进行合并、删除，减少资源占用；</w:t>
            </w:r>
          </w:p>
          <w:p>
            <w:pPr>
              <w:pStyle w:val="null3"/>
            </w:pPr>
            <w:r>
              <w:rPr>
                <w:sz w:val="21"/>
              </w:rPr>
              <w:t xml:space="preserve">28. </w:t>
            </w:r>
            <w:r>
              <w:rPr>
                <w:sz w:val="21"/>
              </w:rPr>
              <w:t>支持微信扫码登录</w:t>
            </w:r>
            <w:r>
              <w:rPr>
                <w:sz w:val="21"/>
              </w:rPr>
              <w:t>web</w:t>
            </w:r>
            <w:r>
              <w:rPr>
                <w:sz w:val="21"/>
              </w:rPr>
              <w:t>管理平台后，在</w:t>
            </w:r>
            <w:r>
              <w:rPr>
                <w:sz w:val="21"/>
              </w:rPr>
              <w:t>web</w:t>
            </w:r>
            <w:r>
              <w:rPr>
                <w:sz w:val="21"/>
              </w:rPr>
              <w:t>管理平台里对模板分享链接，管理员可以将编辑模板的链接分享给需要编辑模板的用户，在浏览器中直接输入链接地址即可对模板进行编辑，支持分享日期、分享链接的失效期设置。（需提供设备进行现场演示）</w:t>
            </w:r>
            <w:r>
              <w:rPr>
                <w:sz w:val="20"/>
              </w:rPr>
              <w:t xml:space="preserve"> </w:t>
            </w:r>
          </w:p>
          <w:p>
            <w:pPr>
              <w:pStyle w:val="null3"/>
            </w:pPr>
            <w:r>
              <w:rPr>
                <w:sz w:val="21"/>
              </w:rPr>
              <w:t xml:space="preserve">29. </w:t>
            </w:r>
            <w:r>
              <w:rPr>
                <w:sz w:val="21"/>
              </w:rPr>
              <w:t>支持设定公共的硬件模板，包括</w:t>
            </w:r>
            <w:r>
              <w:rPr>
                <w:sz w:val="21"/>
              </w:rPr>
              <w:t>CPU</w:t>
            </w:r>
            <w:r>
              <w:rPr>
                <w:sz w:val="21"/>
              </w:rPr>
              <w:t>核数、内存、系统盘容量、数据盘容量，便于创建虚拟机搭建考试服务等应用系统；</w:t>
            </w:r>
          </w:p>
          <w:p>
            <w:pPr>
              <w:pStyle w:val="null3"/>
            </w:pPr>
            <w:r>
              <w:rPr>
                <w:sz w:val="21"/>
              </w:rPr>
              <w:t xml:space="preserve">30. </w:t>
            </w:r>
            <w:r>
              <w:rPr>
                <w:sz w:val="21"/>
              </w:rPr>
              <w:t>可通过管理平台上传系统镜像、应用及补丁包（上传文件不限格式），并可进行分类管理，便于在</w:t>
            </w:r>
            <w:r>
              <w:rPr>
                <w:sz w:val="21"/>
              </w:rPr>
              <w:t>web</w:t>
            </w:r>
            <w:r>
              <w:rPr>
                <w:sz w:val="21"/>
              </w:rPr>
              <w:t>平台进行模板制作和更新时随时调用本地文件；</w:t>
            </w:r>
          </w:p>
          <w:p>
            <w:pPr>
              <w:pStyle w:val="null3"/>
            </w:pPr>
            <w:r>
              <w:rPr>
                <w:sz w:val="21"/>
              </w:rPr>
              <w:t xml:space="preserve">31. </w:t>
            </w:r>
            <w:r>
              <w:rPr>
                <w:sz w:val="21"/>
              </w:rPr>
              <w:t>支持在一个界面展示终端名称、</w:t>
            </w:r>
            <w:r>
              <w:rPr>
                <w:sz w:val="21"/>
              </w:rPr>
              <w:t>IP</w:t>
            </w:r>
            <w:r>
              <w:rPr>
                <w:sz w:val="21"/>
              </w:rPr>
              <w:t>地址、</w:t>
            </w:r>
            <w:r>
              <w:rPr>
                <w:sz w:val="21"/>
              </w:rPr>
              <w:t>MAC</w:t>
            </w:r>
            <w:r>
              <w:rPr>
                <w:sz w:val="21"/>
              </w:rPr>
              <w:t>地址，运行状态、磁盘剩余容量、下发状态等信息，可通过管理平台对终端执行唤醒、重启、关机，系统场景切换等操作；</w:t>
            </w:r>
          </w:p>
          <w:p>
            <w:pPr>
              <w:pStyle w:val="null3"/>
            </w:pPr>
            <w:r>
              <w:rPr>
                <w:sz w:val="21"/>
              </w:rPr>
              <w:t xml:space="preserve">32. </w:t>
            </w:r>
            <w:r>
              <w:rPr>
                <w:sz w:val="21"/>
              </w:rPr>
              <w:t>单个终端可部署多个操作系统，支持在管理平台上设置终端数据盘，可任意选定可使用共享盘的操作系统数量，可设置终端数据盘的的空间大小，并能设定清除策略，包含不清除</w:t>
            </w:r>
            <w:r>
              <w:rPr>
                <w:sz w:val="21"/>
              </w:rPr>
              <w:t>/</w:t>
            </w:r>
            <w:r>
              <w:rPr>
                <w:sz w:val="21"/>
              </w:rPr>
              <w:t>每周清除</w:t>
            </w:r>
            <w:r>
              <w:rPr>
                <w:sz w:val="21"/>
              </w:rPr>
              <w:t>/</w:t>
            </w:r>
            <w:r>
              <w:rPr>
                <w:sz w:val="21"/>
              </w:rPr>
              <w:t>每月清除；（提供带</w:t>
            </w:r>
            <w:r>
              <w:rPr>
                <w:sz w:val="21"/>
              </w:rPr>
              <w:t>CMA</w:t>
            </w:r>
            <w:r>
              <w:rPr>
                <w:sz w:val="21"/>
              </w:rPr>
              <w:t>标识的功能性测试报告扫描件）</w:t>
            </w:r>
            <w:r>
              <w:rPr>
                <w:sz w:val="20"/>
              </w:rPr>
              <w:t xml:space="preserve"> </w:t>
            </w:r>
          </w:p>
          <w:p>
            <w:pPr>
              <w:pStyle w:val="null3"/>
            </w:pPr>
            <w:r>
              <w:rPr>
                <w:sz w:val="21"/>
              </w:rPr>
              <w:t xml:space="preserve">33. </w:t>
            </w:r>
            <w:r>
              <w:rPr>
                <w:sz w:val="21"/>
              </w:rPr>
              <w:t>为提升部署效率，教室终端支持按需分配交换机，可设定交换机分组匹配部署，并可生成交换机拓扑图。</w:t>
            </w:r>
          </w:p>
          <w:p>
            <w:pPr>
              <w:pStyle w:val="null3"/>
            </w:pPr>
            <w:r>
              <w:rPr>
                <w:sz w:val="21"/>
              </w:rPr>
              <w:t>▲</w:t>
            </w:r>
            <w:r>
              <w:rPr>
                <w:sz w:val="21"/>
              </w:rPr>
              <w:t>34.</w:t>
            </w:r>
            <w:r>
              <w:rPr>
                <w:sz w:val="21"/>
              </w:rPr>
              <w:t>提供的桌面服务平台须通过符合</w:t>
            </w:r>
            <w:r>
              <w:rPr>
                <w:sz w:val="21"/>
              </w:rPr>
              <w:t>GB/T 25000.51-2016</w:t>
            </w:r>
            <w:r>
              <w:rPr>
                <w:sz w:val="21"/>
              </w:rPr>
              <w:t>标准的外设管理、终端排序、定时开关机、</w:t>
            </w:r>
            <w:r>
              <w:rPr>
                <w:sz w:val="21"/>
              </w:rPr>
              <w:t>SSD</w:t>
            </w:r>
            <w:r>
              <w:rPr>
                <w:sz w:val="21"/>
              </w:rPr>
              <w:t>测速、课表编排等功能测试，提供带</w:t>
            </w:r>
            <w:r>
              <w:rPr>
                <w:sz w:val="21"/>
              </w:rPr>
              <w:t>CMA</w:t>
            </w:r>
            <w:r>
              <w:rPr>
                <w:sz w:val="21"/>
              </w:rPr>
              <w:t>或</w:t>
            </w:r>
            <w:r>
              <w:rPr>
                <w:sz w:val="21"/>
              </w:rPr>
              <w:t>CNAS</w:t>
            </w:r>
            <w:r>
              <w:rPr>
                <w:sz w:val="21"/>
              </w:rPr>
              <w:t>标识的功能性测试报告扫描件。</w:t>
            </w:r>
          </w:p>
          <w:p>
            <w:pPr>
              <w:pStyle w:val="null3"/>
            </w:pPr>
            <w:r>
              <w:rPr>
                <w:sz w:val="21"/>
              </w:rPr>
              <w:t xml:space="preserve">35. </w:t>
            </w:r>
            <w:r>
              <w:rPr>
                <w:sz w:val="21"/>
              </w:rPr>
              <w:t>支持终端的快速筛选，如在隔位考试的情况下，可通过单双号方式，快速筛选定位所要查看的终端；</w:t>
            </w:r>
          </w:p>
          <w:p>
            <w:pPr>
              <w:pStyle w:val="null3"/>
            </w:pPr>
            <w:r>
              <w:rPr>
                <w:sz w:val="21"/>
              </w:rPr>
              <w:t xml:space="preserve">36. </w:t>
            </w:r>
            <w:r>
              <w:rPr>
                <w:sz w:val="21"/>
              </w:rPr>
              <w:t>针对终端可设置定时开关机计划，可按周期在固定时间唤醒和关闭对应的教学桌面终端，日期精确到天、时间精确到分钟，并可以指定开机的范围所对应的终端教室；</w:t>
            </w:r>
          </w:p>
          <w:p>
            <w:pPr>
              <w:pStyle w:val="null3"/>
            </w:pPr>
            <w:r>
              <w:rPr>
                <w:sz w:val="21"/>
              </w:rPr>
              <w:t xml:space="preserve">37. </w:t>
            </w:r>
            <w:r>
              <w:rPr>
                <w:sz w:val="21"/>
              </w:rPr>
              <w:t>可针对不同的功能模块和教室范围进行权限角色的划分，可授权管理员能操作的管理平台功能，权限细分到每一个功能菜单操作；可授权管理员可管理的教室范围；</w:t>
            </w:r>
          </w:p>
          <w:p>
            <w:pPr>
              <w:pStyle w:val="null3"/>
            </w:pPr>
            <w:r>
              <w:rPr>
                <w:sz w:val="21"/>
              </w:rPr>
              <w:t xml:space="preserve">38. </w:t>
            </w:r>
            <w:r>
              <w:rPr>
                <w:sz w:val="21"/>
              </w:rPr>
              <w:t>桌面云平台支持教学网盘功能，无需第三方组件，创建桌面账户时可同步生成网盘账号，启用网盘后可通过该账号直接登录网盘，网盘直接网页端和本地客户端两种登录方式，用户在本地同步目录下的文件会自动与云端保持同步，便于数据移动访问和使用；</w:t>
            </w:r>
          </w:p>
          <w:p>
            <w:pPr>
              <w:pStyle w:val="null3"/>
            </w:pPr>
            <w:r>
              <w:rPr>
                <w:sz w:val="21"/>
              </w:rPr>
              <w:t xml:space="preserve">39. </w:t>
            </w:r>
            <w:r>
              <w:rPr>
                <w:sz w:val="21"/>
              </w:rPr>
              <w:t>为了保证服务器不因拉闸断电导致硬件损坏，能够通过平台设置服务器定时关机策略，能够设定周一至周五，服务器自动关机的时间，能够精确到分钟。（提供功能截图）</w:t>
            </w:r>
          </w:p>
          <w:p>
            <w:pPr>
              <w:pStyle w:val="null3"/>
            </w:pPr>
            <w:r>
              <w:rPr>
                <w:sz w:val="21"/>
              </w:rPr>
              <w:t xml:space="preserve">40. </w:t>
            </w:r>
            <w:r>
              <w:rPr>
                <w:sz w:val="21"/>
              </w:rPr>
              <w:t>支持在虚拟桌面管理平台上编辑学期课表</w:t>
            </w:r>
            <w:r>
              <w:rPr>
                <w:sz w:val="21"/>
              </w:rPr>
              <w:t xml:space="preserve"> (</w:t>
            </w:r>
            <w:r>
              <w:rPr>
                <w:sz w:val="21"/>
              </w:rPr>
              <w:t>无需依赖第三方软件或脚本</w:t>
            </w:r>
            <w:r>
              <w:rPr>
                <w:sz w:val="21"/>
              </w:rPr>
              <w:t>)</w:t>
            </w:r>
            <w:r>
              <w:rPr>
                <w:sz w:val="21"/>
              </w:rPr>
              <w:t>，可设置学期开始和结束时间、每节课起始时间（支持单双周排课），可直接将桌面模板拖拽到课表中，例如将</w:t>
            </w:r>
            <w:r>
              <w:rPr>
                <w:sz w:val="21"/>
              </w:rPr>
              <w:t>win10</w:t>
            </w:r>
            <w:r>
              <w:rPr>
                <w:sz w:val="21"/>
              </w:rPr>
              <w:t>镜像拖动到周一的第</w:t>
            </w:r>
            <w:r>
              <w:rPr>
                <w:sz w:val="21"/>
              </w:rPr>
              <w:t>3</w:t>
            </w:r>
            <w:r>
              <w:rPr>
                <w:sz w:val="21"/>
              </w:rPr>
              <w:t>、</w:t>
            </w:r>
            <w:r>
              <w:rPr>
                <w:sz w:val="21"/>
              </w:rPr>
              <w:t>4</w:t>
            </w:r>
            <w:r>
              <w:rPr>
                <w:sz w:val="21"/>
              </w:rPr>
              <w:t>节课（需提供设备进行现场演示）</w:t>
            </w:r>
            <w:r>
              <w:rPr>
                <w:sz w:val="20"/>
              </w:rPr>
              <w:t xml:space="preserve"> </w:t>
            </w:r>
          </w:p>
          <w:p>
            <w:pPr>
              <w:pStyle w:val="null3"/>
            </w:pPr>
            <w:r>
              <w:rPr>
                <w:sz w:val="21"/>
              </w:rPr>
              <w:t xml:space="preserve">41. </w:t>
            </w:r>
            <w:r>
              <w:rPr>
                <w:sz w:val="21"/>
              </w:rPr>
              <w:t>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p>
            <w:pPr>
              <w:pStyle w:val="null3"/>
            </w:pPr>
            <w:r>
              <w:rPr>
                <w:sz w:val="21"/>
              </w:rPr>
              <w:t xml:space="preserve">42. </w:t>
            </w:r>
            <w:r>
              <w:rPr>
                <w:sz w:val="21"/>
              </w:rPr>
              <w:t>支持提供虚拟服务器的系统桌面功能，可在管理平台直接选择安装包创建虚拟机，能够选择虚拟机的</w:t>
            </w:r>
            <w:r>
              <w:rPr>
                <w:sz w:val="21"/>
              </w:rPr>
              <w:t>CPU/</w:t>
            </w:r>
            <w:r>
              <w:rPr>
                <w:sz w:val="21"/>
              </w:rPr>
              <w:t>内存</w:t>
            </w:r>
            <w:r>
              <w:rPr>
                <w:sz w:val="21"/>
              </w:rPr>
              <w:t>/</w:t>
            </w:r>
            <w:r>
              <w:rPr>
                <w:sz w:val="21"/>
              </w:rPr>
              <w:t>系统盘</w:t>
            </w:r>
            <w:r>
              <w:rPr>
                <w:sz w:val="21"/>
              </w:rPr>
              <w:t>/</w:t>
            </w:r>
            <w:r>
              <w:rPr>
                <w:sz w:val="21"/>
              </w:rPr>
              <w:t>数据盘</w:t>
            </w:r>
            <w:r>
              <w:rPr>
                <w:sz w:val="21"/>
              </w:rPr>
              <w:t>/</w:t>
            </w:r>
            <w:r>
              <w:rPr>
                <w:sz w:val="21"/>
              </w:rPr>
              <w:t>网络，能够设定虚拟机开机随宿主机启动，可用于搭建考试服务器等应用服务；</w:t>
            </w:r>
          </w:p>
          <w:p>
            <w:pPr>
              <w:pStyle w:val="null3"/>
            </w:pPr>
            <w:r>
              <w:rPr>
                <w:sz w:val="21"/>
              </w:rPr>
              <w:t>43.</w:t>
            </w:r>
            <w:r>
              <w:rPr>
                <w:sz w:val="21"/>
              </w:rPr>
              <w:t>提供系统操作日志功能，可独立查看管理日志和用户日志（包括操作内容，操作者，操作时间，登录主机</w:t>
            </w:r>
            <w:r>
              <w:rPr>
                <w:sz w:val="21"/>
              </w:rPr>
              <w:t>IP</w:t>
            </w:r>
            <w:r>
              <w:rPr>
                <w:sz w:val="21"/>
              </w:rPr>
              <w:t>，操作对象等），便于管理员精确定位操作记录，可设置日志的保留时间，如一个月，一年，永久等，支持对日志文件的备份，包括立即备份和自动备份，可设置自动备份周期、备份时间、备份文件保留数量；（提供功能截图）</w:t>
            </w:r>
          </w:p>
          <w:p>
            <w:pPr>
              <w:pStyle w:val="null3"/>
            </w:pPr>
            <w:r>
              <w:rPr>
                <w:sz w:val="21"/>
              </w:rPr>
              <w:t xml:space="preserve">44. </w:t>
            </w:r>
            <w:r>
              <w:rPr>
                <w:sz w:val="21"/>
              </w:rPr>
              <w:t>支持保留最少一周内的桌面下发记录，包括下发的终端名称，桌面名称，起止时间，下发状态等信息，便于后期可追溯；</w:t>
            </w:r>
          </w:p>
          <w:p>
            <w:pPr>
              <w:pStyle w:val="null3"/>
            </w:pPr>
            <w:r>
              <w:rPr>
                <w:sz w:val="21"/>
              </w:rPr>
              <w:t>45.</w:t>
            </w:r>
            <w:r>
              <w:rPr>
                <w:sz w:val="21"/>
              </w:rPr>
              <w:t>兼容使用虚拟机并进行分布式存储级别的安全冗余，</w:t>
            </w:r>
            <w:r>
              <w:rPr>
                <w:sz w:val="20"/>
              </w:rPr>
              <w:t>需提供下列其中任意一种</w:t>
            </w:r>
            <w:r>
              <w:rPr>
                <w:sz w:val="21"/>
              </w:rPr>
              <w:t>基于</w:t>
            </w:r>
            <w:r>
              <w:rPr>
                <w:sz w:val="21"/>
              </w:rPr>
              <w:t>Ceph</w:t>
            </w:r>
            <w:r>
              <w:rPr>
                <w:sz w:val="21"/>
              </w:rPr>
              <w:t>或其他分布式存储软件的虚拟机高可用实现方法及系统</w:t>
            </w:r>
            <w:r>
              <w:rPr>
                <w:sz w:val="20"/>
              </w:rPr>
              <w:t>的证明材料：（1）相关</w:t>
            </w:r>
            <w:r>
              <w:rPr>
                <w:sz w:val="20"/>
              </w:rPr>
              <w:t>的知识产权证明文件扫描件</w:t>
            </w:r>
            <w:r>
              <w:rPr>
                <w:sz w:val="20"/>
              </w:rPr>
              <w:t>；（2）产品功能截图（3）带CMA或CNAS标识的功能性测试报告扫描件。</w:t>
            </w:r>
          </w:p>
          <w:p>
            <w:pPr>
              <w:pStyle w:val="null3"/>
            </w:pPr>
            <w:r>
              <w:rPr>
                <w:sz w:val="21"/>
              </w:rPr>
              <w:t>▲</w:t>
            </w:r>
            <w:r>
              <w:rPr>
                <w:sz w:val="21"/>
              </w:rPr>
              <w:t>46.</w:t>
            </w:r>
            <w:r>
              <w:rPr>
                <w:sz w:val="21"/>
              </w:rPr>
              <w:t>底层服务器虚拟化软件需通过《信息技术弹性计算应用接口》测评；（投标文件中提供第三方检测机构出具的功能性测试报告扫描件）；</w:t>
            </w:r>
          </w:p>
          <w:p>
            <w:pPr>
              <w:pStyle w:val="null3"/>
            </w:pPr>
            <w:r>
              <w:rPr>
                <w:sz w:val="21"/>
              </w:rPr>
              <w:t xml:space="preserve">47. </w:t>
            </w:r>
            <w:r>
              <w:rPr>
                <w:sz w:val="21"/>
              </w:rPr>
              <w:t>单个界面下终端管理除了支持右击选定终端进行修改</w:t>
            </w:r>
            <w:r>
              <w:rPr>
                <w:sz w:val="21"/>
              </w:rPr>
              <w:t>IP</w:t>
            </w:r>
            <w:r>
              <w:rPr>
                <w:sz w:val="21"/>
              </w:rPr>
              <w:t>（最少包括</w:t>
            </w:r>
            <w:r>
              <w:rPr>
                <w:sz w:val="21"/>
              </w:rPr>
              <w:t>IPv4</w:t>
            </w:r>
            <w:r>
              <w:rPr>
                <w:sz w:val="21"/>
              </w:rPr>
              <w:t>、</w:t>
            </w:r>
            <w:r>
              <w:rPr>
                <w:sz w:val="21"/>
              </w:rPr>
              <w:t>IPv6</w:t>
            </w:r>
            <w:r>
              <w:rPr>
                <w:sz w:val="21"/>
              </w:rPr>
              <w:t>），设定终端数据盘还原属性（最少按次、按天、按周、按月还原）、端对端同传、无盘确认安装、进入维护模式、单双数序号筛选。终端管理的下发中心还支持保留一周或一周以上的桌面下发记录，包括下发的终端名称，场景名称，场景类型，起止时间，下发状态等信息，便于后期可追溯；</w:t>
            </w:r>
          </w:p>
          <w:p>
            <w:pPr>
              <w:pStyle w:val="null3"/>
            </w:pPr>
            <w:r>
              <w:rPr>
                <w:sz w:val="21"/>
              </w:rPr>
              <w:t>48.</w:t>
            </w:r>
            <w:r>
              <w:rPr>
                <w:sz w:val="21"/>
              </w:rPr>
              <w:t>兼容多个不同品牌的旧</w:t>
            </w:r>
            <w:r>
              <w:rPr>
                <w:sz w:val="21"/>
              </w:rPr>
              <w:t>PC</w:t>
            </w:r>
            <w:r>
              <w:rPr>
                <w:sz w:val="21"/>
              </w:rPr>
              <w:t>客户端，可将老旧</w:t>
            </w:r>
            <w:r>
              <w:rPr>
                <w:sz w:val="21"/>
              </w:rPr>
              <w:t>PC</w:t>
            </w:r>
            <w:r>
              <w:rPr>
                <w:sz w:val="21"/>
              </w:rPr>
              <w:t>客户端接入平台进行统一部署系统软件，</w:t>
            </w:r>
            <w:r>
              <w:rPr>
                <w:sz w:val="20"/>
              </w:rPr>
              <w:t>需提供下列其中任意一种</w:t>
            </w:r>
            <w:r>
              <w:rPr>
                <w:sz w:val="21"/>
              </w:rPr>
              <w:t>具有给多个客户端或者多个</w:t>
            </w:r>
            <w:r>
              <w:rPr>
                <w:sz w:val="21"/>
              </w:rPr>
              <w:t>PC</w:t>
            </w:r>
            <w:r>
              <w:rPr>
                <w:sz w:val="21"/>
              </w:rPr>
              <w:t>终端设备快速部署软件的方法</w:t>
            </w:r>
            <w:r>
              <w:rPr>
                <w:sz w:val="20"/>
              </w:rPr>
              <w:t>的证明材料：（1）相关</w:t>
            </w:r>
            <w:r>
              <w:rPr>
                <w:sz w:val="20"/>
              </w:rPr>
              <w:t>的知识产权证明文件扫描件</w:t>
            </w:r>
            <w:r>
              <w:rPr>
                <w:sz w:val="20"/>
              </w:rPr>
              <w:t>；（2）产品功能截图；（3）带CMA或CNAS标识的功能性测试报告扫描件。</w:t>
            </w:r>
          </w:p>
          <w:p>
            <w:pPr>
              <w:pStyle w:val="null3"/>
            </w:pPr>
            <w:r>
              <w:rPr>
                <w:sz w:val="21"/>
              </w:rPr>
              <w:t xml:space="preserve">49. </w:t>
            </w:r>
            <w:r>
              <w:rPr>
                <w:sz w:val="21"/>
              </w:rPr>
              <w:t>不限定终端类型，支持各种品牌</w:t>
            </w:r>
            <w:r>
              <w:rPr>
                <w:sz w:val="21"/>
              </w:rPr>
              <w:t>PC</w:t>
            </w:r>
            <w:r>
              <w:rPr>
                <w:sz w:val="21"/>
              </w:rPr>
              <w:t>，兼容</w:t>
            </w:r>
            <w:r>
              <w:rPr>
                <w:sz w:val="21"/>
              </w:rPr>
              <w:t>PC</w:t>
            </w:r>
            <w:r>
              <w:rPr>
                <w:sz w:val="21"/>
              </w:rPr>
              <w:t>机等异构设备的统一管理，一个桌面模板自动适配所有异构设备；</w:t>
            </w:r>
          </w:p>
          <w:p>
            <w:pPr>
              <w:pStyle w:val="null3"/>
            </w:pPr>
            <w:r>
              <w:rPr>
                <w:sz w:val="21"/>
              </w:rPr>
              <w:t xml:space="preserve">50. </w:t>
            </w:r>
            <w:r>
              <w:rPr>
                <w:sz w:val="21"/>
              </w:rPr>
              <w:t>支持</w:t>
            </w:r>
            <w:r>
              <w:rPr>
                <w:sz w:val="21"/>
              </w:rPr>
              <w:t>usb</w:t>
            </w:r>
            <w:r>
              <w:rPr>
                <w:sz w:val="21"/>
              </w:rPr>
              <w:t>急救恢复，无需通过管理平台或者样机模式下发桌面，直接在终端插入专用急救</w:t>
            </w:r>
            <w:r>
              <w:rPr>
                <w:sz w:val="21"/>
              </w:rPr>
              <w:t>u</w:t>
            </w:r>
            <w:r>
              <w:rPr>
                <w:sz w:val="21"/>
              </w:rPr>
              <w:t>盘，即可快速恢复操作系统，恢复以后仍可被管理平台识别和管理；</w:t>
            </w:r>
          </w:p>
          <w:p>
            <w:pPr>
              <w:pStyle w:val="null3"/>
            </w:pPr>
            <w:r>
              <w:rPr>
                <w:sz w:val="21"/>
              </w:rPr>
              <w:t xml:space="preserve">51. </w:t>
            </w:r>
            <w:r>
              <w:rPr>
                <w:sz w:val="21"/>
              </w:rPr>
              <w:t>提供独立的桌面云系统检测工具，可检测服务器、终端连接状态，集群网络状态，数据库状态，文件系统状态，模板状态，桌面状态等内容，可提供体检分数和检测结果详情展示，并可生成检测报告，也可对检测的问题进行一键恢复，便于系统的日常运维；</w:t>
            </w:r>
          </w:p>
          <w:p>
            <w:pPr>
              <w:pStyle w:val="null3"/>
            </w:pPr>
            <w:r>
              <w:rPr>
                <w:sz w:val="21"/>
              </w:rPr>
              <w:t>▲</w:t>
            </w:r>
            <w:r>
              <w:rPr>
                <w:sz w:val="21"/>
              </w:rPr>
              <w:t>52.</w:t>
            </w:r>
            <w:r>
              <w:rPr>
                <w:sz w:val="21"/>
              </w:rPr>
              <w:t>要求所投产品提供对主流国产操作系统及国产芯片（如海光、兆芯）的兼容性联合互认证明文件的扫描件（证明文件是第三方认证测试报告或认证证书）。</w:t>
            </w:r>
          </w:p>
          <w:p>
            <w:pPr>
              <w:pStyle w:val="null3"/>
            </w:pPr>
            <w:r>
              <w:rPr>
                <w:sz w:val="21"/>
              </w:rPr>
              <w:t xml:space="preserve">53. </w:t>
            </w:r>
            <w:r>
              <w:rPr>
                <w:sz w:val="21"/>
              </w:rPr>
              <w:t>含</w:t>
            </w:r>
            <w:r>
              <w:rPr>
                <w:sz w:val="21"/>
              </w:rPr>
              <w:t>171</w:t>
            </w:r>
            <w:r>
              <w:rPr>
                <w:sz w:val="21"/>
              </w:rPr>
              <w:t>个分布式桌面云系统授权点</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3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高性能图形工作站</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一、图形工作站（教师端）</w:t>
            </w:r>
          </w:p>
          <w:tbl>
            <w:tblPr>
              <w:tblBorders>
                <w:top w:val="none" w:color="000000" w:sz="4"/>
                <w:left w:val="none" w:color="000000" w:sz="4"/>
                <w:bottom w:val="none" w:color="000000" w:sz="4"/>
                <w:right w:val="none" w:color="000000" w:sz="4"/>
                <w:insideH w:val="none"/>
                <w:insideV w:val="none"/>
              </w:tblBorders>
            </w:tblPr>
            <w:tblGrid>
              <w:gridCol w:w="389"/>
              <w:gridCol w:w="45"/>
              <w:gridCol w:w="225"/>
              <w:gridCol w:w="569"/>
              <w:gridCol w:w="75"/>
              <w:gridCol w:w="614"/>
              <w:gridCol w:w="15"/>
              <w:gridCol w:w="973"/>
              <w:gridCol w:w="15"/>
              <w:gridCol w:w="3009"/>
              <w:gridCol w:w="105"/>
              <w:gridCol w:w="120"/>
            </w:tblGrid>
            <w:tr>
              <w:tc>
                <w:tcPr>
                  <w:tcW w:type="dxa" w:w="65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644"/>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指标分类</w:t>
                  </w:r>
                </w:p>
              </w:tc>
              <w:tc>
                <w:tcPr>
                  <w:tcW w:type="dxa" w:w="629"/>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92"/>
                    <w:jc w:val="center"/>
                  </w:pPr>
                  <w:r>
                    <w:rPr>
                      <w:sz w:val="21"/>
                      <w:b/>
                    </w:rPr>
                    <w:t>一级指标</w:t>
                  </w:r>
                </w:p>
              </w:tc>
              <w:tc>
                <w:tcPr>
                  <w:tcW w:type="dxa" w:w="988"/>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92"/>
                    <w:jc w:val="center"/>
                  </w:pPr>
                  <w:r>
                    <w:rPr>
                      <w:sz w:val="21"/>
                      <w:b/>
                    </w:rPr>
                    <w:t>二级指标</w:t>
                  </w:r>
                </w:p>
              </w:tc>
              <w:tc>
                <w:tcPr>
                  <w:tcW w:type="dxa" w:w="300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指标要求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产品规格</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*CPU</w:t>
                  </w:r>
                  <w:r>
                    <w:rPr>
                      <w:sz w:val="21"/>
                      <w:b/>
                    </w:rPr>
                    <w:t>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*CPU</w:t>
                  </w:r>
                  <w:r>
                    <w:rPr>
                      <w:sz w:val="21"/>
                      <w:b/>
                    </w:rPr>
                    <w:t>信息</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 xml:space="preserve">i5-13500  </w:t>
                  </w:r>
                  <w:r>
                    <w:rPr>
                      <w:sz w:val="21"/>
                    </w:rPr>
                    <w:t>缓存≥</w:t>
                  </w:r>
                  <w:r>
                    <w:rPr>
                      <w:sz w:val="21"/>
                    </w:rPr>
                    <w:t>24MB</w:t>
                  </w:r>
                  <w:r>
                    <w:rPr>
                      <w:sz w:val="21"/>
                    </w:rPr>
                    <w:t>，≥</w:t>
                  </w:r>
                  <w:r>
                    <w:rPr>
                      <w:sz w:val="21"/>
                    </w:rPr>
                    <w:t>14</w:t>
                  </w:r>
                  <w:r>
                    <w:rPr>
                      <w:sz w:val="21"/>
                    </w:rPr>
                    <w:t>核，≥</w:t>
                  </w:r>
                  <w:r>
                    <w:rPr>
                      <w:sz w:val="21"/>
                    </w:rPr>
                    <w:t>20</w:t>
                  </w:r>
                  <w:r>
                    <w:rPr>
                      <w:sz w:val="21"/>
                    </w:rPr>
                    <w:t>线程</w:t>
                  </w:r>
                  <w:r>
                    <w:rPr>
                      <w:sz w:val="21"/>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w:t>
                  </w:r>
                  <w:r>
                    <w:rPr>
                      <w:sz w:val="21"/>
                      <w:b/>
                    </w:rPr>
                    <w:t>内存规格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w:t>
                  </w:r>
                  <w:r>
                    <w:rPr>
                      <w:sz w:val="21"/>
                      <w:b/>
                    </w:rPr>
                    <w:t>内存配置容量</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 xml:space="preserve">16GB </w:t>
                  </w:r>
                  <w:r>
                    <w:rPr>
                      <w:sz w:val="18"/>
                    </w:rPr>
                    <w:t>DDR4 3200</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w:t>
                  </w:r>
                  <w:r>
                    <w:rPr>
                      <w:sz w:val="21"/>
                      <w:b/>
                    </w:rPr>
                    <w:t>内存类型</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支持</w:t>
                  </w:r>
                  <w:r>
                    <w:rPr>
                      <w:sz w:val="21"/>
                    </w:rPr>
                    <w:t xml:space="preserve"> DDR5</w:t>
                  </w:r>
                  <w:r>
                    <w:rPr>
                      <w:sz w:val="21"/>
                    </w:rPr>
                    <w:t>及以上内存类型</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4</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w:t>
                  </w:r>
                  <w:r>
                    <w:rPr>
                      <w:sz w:val="21"/>
                      <w:b/>
                    </w:rPr>
                    <w:t>内存条配置数量（板载内存不涉及）</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w:t>
                  </w:r>
                  <w:r>
                    <w:rPr>
                      <w:sz w:val="21"/>
                    </w:rPr>
                    <w:t>条</w:t>
                  </w:r>
                  <w:r>
                    <w:rPr>
                      <w:sz w:val="18"/>
                    </w:rPr>
                    <w:t>，最大可支持</w:t>
                  </w:r>
                  <w:r>
                    <w:rPr>
                      <w:sz w:val="18"/>
                    </w:rPr>
                    <w:t>64GB</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5</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w:t>
                  </w:r>
                  <w:r>
                    <w:rPr>
                      <w:sz w:val="21"/>
                      <w:b/>
                    </w:rPr>
                    <w:t>主板规格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主板集成模块</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rPr>
                    <w:t>集成资源扩展模块、计算处理模块、音频扩展模块等，主板的互联拓扑可通过处理器或交换电路实现</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6</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主板支持的</w:t>
                  </w:r>
                  <w:r>
                    <w:rPr>
                      <w:sz w:val="21"/>
                      <w:b/>
                      <w:color w:val="000000"/>
                    </w:rPr>
                    <w:t>CPU</w:t>
                  </w:r>
                  <w:r>
                    <w:rPr>
                      <w:sz w:val="21"/>
                      <w:b/>
                      <w:color w:val="000000"/>
                    </w:rPr>
                    <w:t>和内存情况</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芯片组需与处理器匹配，</w:t>
                  </w:r>
                  <w:r>
                    <w:rPr>
                      <w:sz w:val="21"/>
                    </w:rPr>
                    <w:t xml:space="preserve">PCI Express </w:t>
                  </w:r>
                  <w:r>
                    <w:rPr>
                      <w:sz w:val="21"/>
                    </w:rPr>
                    <w:t>通道数的最大值不低于</w:t>
                  </w:r>
                  <w:r>
                    <w:rPr>
                      <w:sz w:val="21"/>
                    </w:rPr>
                    <w:t>24</w:t>
                  </w:r>
                  <w:r>
                    <w:rPr>
                      <w:sz w:val="21"/>
                    </w:rPr>
                    <w:t>，为保证品质，主板需带原厂统一标识（纸质标签无效）</w:t>
                  </w:r>
                  <w:r>
                    <w:rPr>
                      <w:sz w:val="21"/>
                    </w:rPr>
                    <w:t>,</w:t>
                  </w:r>
                  <w:r>
                    <w:rPr>
                      <w:sz w:val="21"/>
                    </w:rPr>
                    <w:t>具有不少于</w:t>
                  </w:r>
                  <w:r>
                    <w:rPr>
                      <w:sz w:val="21"/>
                    </w:rPr>
                    <w:t>4</w:t>
                  </w:r>
                  <w:r>
                    <w:rPr>
                      <w:sz w:val="21"/>
                    </w:rPr>
                    <w:t>个内存插槽，最大支持内存不低于</w:t>
                  </w:r>
                  <w:r>
                    <w:rPr>
                      <w:sz w:val="21"/>
                    </w:rPr>
                    <w:t>128G</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主板内置</w:t>
                  </w:r>
                  <w:r>
                    <w:rPr>
                      <w:sz w:val="21"/>
                      <w:b/>
                      <w:color w:val="000000"/>
                    </w:rPr>
                    <w:t>PCIe</w:t>
                  </w:r>
                  <w:r>
                    <w:rPr>
                      <w:sz w:val="21"/>
                      <w:b/>
                      <w:color w:val="000000"/>
                    </w:rPr>
                    <w:t>插槽数量</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支持数量≥</w:t>
                  </w:r>
                  <w:r>
                    <w:rPr>
                      <w:sz w:val="21"/>
                      <w:b/>
                      <w:color w:val="000000"/>
                    </w:rPr>
                    <w:t>4</w:t>
                  </w:r>
                  <w:r>
                    <w:rPr>
                      <w:sz w:val="21"/>
                      <w:b/>
                      <w:color w:val="000000"/>
                    </w:rPr>
                    <w:t>（</w:t>
                  </w:r>
                  <w:r>
                    <w:rPr>
                      <w:sz w:val="21"/>
                      <w:b/>
                      <w:color w:val="000000"/>
                    </w:rPr>
                    <w:t xml:space="preserve">1 </w:t>
                  </w:r>
                  <w:r>
                    <w:rPr>
                      <w:sz w:val="21"/>
                      <w:b/>
                      <w:color w:val="000000"/>
                    </w:rPr>
                    <w:t>个</w:t>
                  </w:r>
                  <w:r>
                    <w:rPr>
                      <w:sz w:val="21"/>
                      <w:b/>
                      <w:color w:val="000000"/>
                    </w:rPr>
                    <w:t xml:space="preserve"> PCIe 4 x16</w:t>
                  </w:r>
                  <w:r>
                    <w:rPr>
                      <w:sz w:val="21"/>
                      <w:b/>
                      <w:color w:val="000000"/>
                    </w:rPr>
                    <w:t>，</w:t>
                  </w:r>
                  <w:r>
                    <w:rPr>
                      <w:sz w:val="21"/>
                      <w:b/>
                      <w:color w:val="000000"/>
                    </w:rPr>
                    <w:t xml:space="preserve">2 </w:t>
                  </w:r>
                  <w:r>
                    <w:rPr>
                      <w:sz w:val="21"/>
                      <w:b/>
                      <w:color w:val="000000"/>
                    </w:rPr>
                    <w:t>个</w:t>
                  </w:r>
                  <w:r>
                    <w:rPr>
                      <w:sz w:val="21"/>
                      <w:b/>
                      <w:color w:val="000000"/>
                    </w:rPr>
                    <w:t xml:space="preserve"> PCIe x1</w:t>
                  </w:r>
                  <w:r>
                    <w:rPr>
                      <w:sz w:val="21"/>
                      <w:b/>
                      <w:color w:val="000000"/>
                    </w:rPr>
                    <w:t>，</w:t>
                  </w:r>
                  <w:r>
                    <w:rPr>
                      <w:sz w:val="21"/>
                      <w:b/>
                      <w:color w:val="000000"/>
                    </w:rPr>
                    <w:t xml:space="preserve">1 </w:t>
                  </w:r>
                  <w:r>
                    <w:rPr>
                      <w:sz w:val="21"/>
                      <w:b/>
                      <w:color w:val="000000"/>
                    </w:rPr>
                    <w:t>个</w:t>
                  </w:r>
                  <w:r>
                    <w:rPr>
                      <w:sz w:val="21"/>
                      <w:b/>
                      <w:color w:val="000000"/>
                    </w:rPr>
                    <w:t xml:space="preserve"> PCIe 3 x16</w:t>
                  </w:r>
                  <w:r>
                    <w:rPr>
                      <w:sz w:val="21"/>
                      <w:b/>
                      <w:color w:val="000000"/>
                    </w:rPr>
                    <w:t>（</w:t>
                  </w:r>
                  <w:r>
                    <w:rPr>
                      <w:sz w:val="21"/>
                      <w:b/>
                      <w:color w:val="000000"/>
                    </w:rPr>
                    <w:t xml:space="preserve">x4 </w:t>
                  </w:r>
                  <w:r>
                    <w:rPr>
                      <w:sz w:val="21"/>
                      <w:b/>
                      <w:color w:val="000000"/>
                    </w:rPr>
                    <w:t>链接）</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特殊孔位及接口</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特殊孔位及接口</w:t>
                  </w:r>
                  <w:r>
                    <w:rPr>
                      <w:sz w:val="20"/>
                      <w:b/>
                    </w:rPr>
                    <w:t xml:space="preserve">  </w:t>
                  </w:r>
                  <w:r>
                    <w:rPr>
                      <w:sz w:val="21"/>
                      <w:b/>
                      <w:color w:val="000000"/>
                    </w:rPr>
                    <w:t>在计算机主板预留满足</w:t>
                  </w:r>
                  <w:r>
                    <w:rPr>
                      <w:sz w:val="21"/>
                      <w:b/>
                      <w:color w:val="000000"/>
                    </w:rPr>
                    <w:t xml:space="preserve"> USB3.0 </w:t>
                  </w:r>
                  <w:r>
                    <w:rPr>
                      <w:sz w:val="21"/>
                      <w:b/>
                      <w:color w:val="000000"/>
                    </w:rPr>
                    <w:t>数据传输规范的接口，工作电压</w:t>
                  </w:r>
                  <w:r>
                    <w:rPr>
                      <w:sz w:val="21"/>
                      <w:b/>
                      <w:color w:val="000000"/>
                    </w:rPr>
                    <w:t xml:space="preserve"> 5V</w:t>
                  </w:r>
                  <w:r>
                    <w:rPr>
                      <w:sz w:val="21"/>
                      <w:b/>
                      <w:color w:val="000000"/>
                    </w:rPr>
                    <w:t>，最大过电流应不小于</w:t>
                  </w:r>
                  <w:r>
                    <w:rPr>
                      <w:sz w:val="21"/>
                      <w:b/>
                      <w:color w:val="000000"/>
                    </w:rPr>
                    <w:t xml:space="preserve"> 3A</w:t>
                  </w: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sz w:val="21"/>
                      <w:b/>
                      <w:color w:val="000000"/>
                    </w:rPr>
                    <w:t>主板其他内置接口</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提供一个</w:t>
                  </w:r>
                  <w:r>
                    <w:rPr>
                      <w:sz w:val="21"/>
                      <w:b/>
                      <w:color w:val="000000"/>
                    </w:rPr>
                    <w:t>SATA</w:t>
                  </w:r>
                  <w:r>
                    <w:rPr>
                      <w:sz w:val="21"/>
                      <w:b/>
                      <w:color w:val="000000"/>
                    </w:rPr>
                    <w:t>硬盘扩展位、配置</w:t>
                  </w:r>
                  <w:r>
                    <w:rPr>
                      <w:sz w:val="21"/>
                      <w:b/>
                      <w:color w:val="000000"/>
                    </w:rPr>
                    <w:t>2</w:t>
                  </w:r>
                  <w:r>
                    <w:rPr>
                      <w:sz w:val="21"/>
                      <w:b/>
                      <w:color w:val="000000"/>
                    </w:rPr>
                    <w:t>个</w:t>
                  </w:r>
                  <w:r>
                    <w:rPr>
                      <w:sz w:val="21"/>
                      <w:b/>
                      <w:color w:val="000000"/>
                    </w:rPr>
                    <w:t>M.2</w:t>
                  </w:r>
                  <w:r>
                    <w:rPr>
                      <w:sz w:val="21"/>
                      <w:b/>
                      <w:color w:val="000000"/>
                    </w:rPr>
                    <w:t>接口、及</w:t>
                  </w:r>
                  <w:r>
                    <w:rPr>
                      <w:sz w:val="21"/>
                      <w:b/>
                      <w:color w:val="000000"/>
                    </w:rPr>
                    <w:t>2</w:t>
                  </w:r>
                  <w:r>
                    <w:rPr>
                      <w:sz w:val="21"/>
                      <w:b/>
                      <w:color w:val="000000"/>
                    </w:rPr>
                    <w:t>个内置</w:t>
                  </w:r>
                  <w:r>
                    <w:rPr>
                      <w:sz w:val="21"/>
                      <w:b/>
                      <w:color w:val="000000"/>
                    </w:rPr>
                    <w:t xml:space="preserve">USB </w:t>
                  </w:r>
                  <w:r>
                    <w:rPr>
                      <w:sz w:val="21"/>
                      <w:b/>
                      <w:color w:val="000000"/>
                    </w:rPr>
                    <w:t>接口</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0"/>
                    </w:rPr>
                    <w:t xml:space="preserve"> </w:t>
                  </w:r>
                </w:p>
              </w:tc>
            </w:tr>
            <w:tr>
              <w:tc>
                <w:tcPr>
                  <w:tcW w:type="dxa" w:w="6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w:t>
                  </w:r>
                </w:p>
              </w:tc>
              <w:tc>
                <w:tcPr>
                  <w:tcW w:type="dxa" w:w="64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单内存插槽最大可支持容量（板载内存不涉及）</w:t>
                  </w:r>
                </w:p>
              </w:tc>
              <w:tc>
                <w:tcPr>
                  <w:tcW w:type="dxa" w:w="30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32GB DDR5</w:t>
                  </w:r>
                </w:p>
              </w:tc>
              <w:tc>
                <w:tcPr>
                  <w:tcW w:type="dxa" w:w="225"/>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0"/>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内存插槽满配时提供的最高内存总容量</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128GB</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存储设备规格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固态盘数量</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固态存储容量</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512GB M.2 PCIE SSD</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机械硬盘数量</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0</w:t>
                  </w:r>
                  <w:r>
                    <w:rPr>
                      <w:sz w:val="21"/>
                      <w:b/>
                      <w:color w:val="000000"/>
                    </w:rPr>
                    <w:t>个</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机械硬盘总容量</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机械硬盘转速</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机械硬盘接口协议</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机械硬盘形态</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19</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固态存储接口协议</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UFS/SATA/PCIe/NVMe/M.2 </w:t>
                  </w:r>
                  <w:r>
                    <w:rPr>
                      <w:sz w:val="21"/>
                      <w:b/>
                      <w:color w:val="000000"/>
                    </w:rPr>
                    <w:t>等类型接口协议</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20</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固态存储形态</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M.2</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21</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存储设备扩展盘位</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22</w:t>
                  </w:r>
                </w:p>
              </w:tc>
              <w:tc>
                <w:tcPr>
                  <w:tcW w:type="dxa" w:w="86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存储设备其他参数要求</w:t>
                  </w:r>
                </w:p>
              </w:tc>
              <w:tc>
                <w:tcPr>
                  <w:tcW w:type="dxa" w:w="3234"/>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固态盘应符合</w:t>
                  </w:r>
                  <w:r>
                    <w:rPr>
                      <w:sz w:val="21"/>
                      <w:b/>
                      <w:color w:val="000000"/>
                    </w:rPr>
                    <w:t xml:space="preserve"> SJ/T 11654 </w:t>
                  </w:r>
                  <w:r>
                    <w:rPr>
                      <w:sz w:val="21"/>
                      <w:b/>
                      <w:color w:val="000000"/>
                    </w:rPr>
                    <w:t>相关规定；</w:t>
                  </w:r>
                </w:p>
              </w:tc>
            </w:tr>
            <w:tr>
              <w:tc>
                <w:tcPr>
                  <w:tcW w:type="dxa" w:w="43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 xml:space="preserve"> </w:t>
                  </w:r>
                </w:p>
              </w:tc>
              <w:tc>
                <w:tcPr>
                  <w:tcW w:type="dxa" w:w="2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 xml:space="preserve"> </w:t>
                  </w:r>
                </w:p>
              </w:tc>
              <w:tc>
                <w:tcPr>
                  <w:tcW w:type="dxa" w:w="64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 xml:space="preserve"> </w:t>
                  </w:r>
                </w:p>
              </w:tc>
              <w:tc>
                <w:tcPr>
                  <w:tcW w:type="dxa" w:w="62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 xml:space="preserve"> </w:t>
                  </w:r>
                </w:p>
              </w:tc>
              <w:tc>
                <w:tcPr>
                  <w:tcW w:type="dxa" w:w="98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 xml:space="preserve"> </w:t>
                  </w:r>
                </w:p>
              </w:tc>
              <w:tc>
                <w:tcPr>
                  <w:tcW w:type="dxa" w:w="300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 xml:space="preserve"> </w:t>
                  </w:r>
                </w:p>
              </w:tc>
              <w:tc>
                <w:tcPr>
                  <w:tcW w:type="dxa" w:w="22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rPr>
                    <w:t xml:space="preserve"> </w:t>
                  </w:r>
                </w:p>
              </w:tc>
            </w:tr>
            <w:tr>
              <w:tc>
                <w:tcPr>
                  <w:tcW w:type="dxa" w:w="3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914"/>
                  <w:gridSpan w:val="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29"/>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114"/>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显卡类型</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独立显卡</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独立显卡显存类型</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配置独立显卡，显存类型</w:t>
                  </w:r>
                  <w:r>
                    <w:rPr>
                      <w:sz w:val="21"/>
                      <w:b/>
                      <w:color w:val="000000"/>
                    </w:rPr>
                    <w:t>GDDR6</w:t>
                  </w:r>
                  <w:r>
                    <w:rPr>
                      <w:sz w:val="21"/>
                      <w:b/>
                      <w:color w:val="000000"/>
                    </w:rPr>
                    <w:t>或以上</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独立显卡显存位宽</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配置独立显卡，显存位宽≥</w:t>
                  </w:r>
                  <w:r>
                    <w:rPr>
                      <w:sz w:val="21"/>
                      <w:b/>
                      <w:color w:val="000000"/>
                    </w:rPr>
                    <w:t xml:space="preserve">128 </w:t>
                  </w:r>
                  <w:r>
                    <w:rPr>
                      <w:sz w:val="21"/>
                      <w:b/>
                      <w:color w:val="000000"/>
                    </w:rPr>
                    <w:t>位</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独立显卡显存容量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配置独立显卡，显存容量≥</w:t>
                  </w:r>
                  <w:r>
                    <w:rPr>
                      <w:sz w:val="21"/>
                      <w:b/>
                      <w:color w:val="000000"/>
                    </w:rPr>
                    <w:t>8GB</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独立显卡接口协议</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产品支持</w:t>
                  </w:r>
                  <w:r>
                    <w:rPr>
                      <w:sz w:val="21"/>
                      <w:b/>
                      <w:color w:val="000000"/>
                    </w:rPr>
                    <w:t xml:space="preserve"> PCIe </w:t>
                  </w:r>
                  <w:r>
                    <w:rPr>
                      <w:sz w:val="21"/>
                      <w:b/>
                      <w:color w:val="000000"/>
                    </w:rPr>
                    <w:t>协议版本大于等于</w:t>
                  </w:r>
                  <w:r>
                    <w:rPr>
                      <w:sz w:val="21"/>
                      <w:b/>
                      <w:color w:val="000000"/>
                    </w:rPr>
                    <w:t xml:space="preserve"> 2.0</w:t>
                  </w:r>
                  <w:r>
                    <w:rPr>
                      <w:sz w:val="21"/>
                      <w:b/>
                      <w:color w:val="000000"/>
                    </w:rPr>
                    <w:t>或</w:t>
                  </w:r>
                  <w:r>
                    <w:rPr>
                      <w:sz w:val="21"/>
                      <w:b/>
                      <w:color w:val="000000"/>
                    </w:rPr>
                    <w:t xml:space="preserve"> HT</w:t>
                  </w:r>
                  <w:r>
                    <w:rPr>
                      <w:sz w:val="21"/>
                      <w:b/>
                      <w:color w:val="000000"/>
                    </w:rPr>
                    <w:t>（</w:t>
                  </w:r>
                  <w:r>
                    <w:rPr>
                      <w:sz w:val="21"/>
                      <w:b/>
                      <w:color w:val="000000"/>
                    </w:rPr>
                    <w:t>HyperTransport</w:t>
                  </w:r>
                  <w:r>
                    <w:rPr>
                      <w:sz w:val="21"/>
                      <w:b/>
                      <w:color w:val="000000"/>
                    </w:rPr>
                    <w:t>）协议版本大于等于</w:t>
                  </w:r>
                  <w:r>
                    <w:rPr>
                      <w:sz w:val="21"/>
                      <w:b/>
                      <w:color w:val="000000"/>
                    </w:rPr>
                    <w:t xml:space="preserve"> 3.0 </w:t>
                  </w:r>
                  <w:r>
                    <w:rPr>
                      <w:sz w:val="21"/>
                      <w:b/>
                      <w:color w:val="000000"/>
                    </w:rPr>
                    <w:t>的独立显卡接口协议</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显示设备规格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显示屏屏占比</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80%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显示屏分辨率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1920</w:t>
                  </w:r>
                  <w:r>
                    <w:rPr>
                      <w:sz w:val="21"/>
                      <w:b/>
                      <w:color w:val="000000"/>
                    </w:rPr>
                    <w:t>×</w:t>
                  </w:r>
                  <w:r>
                    <w:rPr>
                      <w:sz w:val="21"/>
                      <w:b/>
                      <w:color w:val="000000"/>
                    </w:rPr>
                    <w:t>1080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显示屏像素密度</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120 </w:t>
                  </w:r>
                  <w:r>
                    <w:rPr>
                      <w:sz w:val="18"/>
                      <w:b/>
                      <w:color w:val="000000"/>
                    </w:rPr>
                    <w:t>像素</w:t>
                  </w:r>
                  <w:r>
                    <w:rPr>
                      <w:sz w:val="18"/>
                      <w:b/>
                      <w:color w:val="000000"/>
                    </w:rPr>
                    <w:t>/</w:t>
                  </w:r>
                  <w:r>
                    <w:rPr>
                      <w:sz w:val="18"/>
                      <w:b/>
                      <w:color w:val="000000"/>
                    </w:rPr>
                    <w:t>英寸</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显示屏可视角度</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水平≥</w:t>
                  </w:r>
                  <w:r>
                    <w:rPr>
                      <w:sz w:val="18"/>
                      <w:b/>
                      <w:color w:val="000000"/>
                    </w:rPr>
                    <w:t xml:space="preserve">178 </w:t>
                  </w:r>
                  <w:r>
                    <w:rPr>
                      <w:sz w:val="18"/>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显示屏尺寸</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23.8 </w:t>
                  </w:r>
                  <w:r>
                    <w:rPr>
                      <w:sz w:val="18"/>
                      <w:b/>
                      <w:color w:val="000000"/>
                    </w:rPr>
                    <w:t>英寸</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显示屏屏幕比例</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16:9 </w:t>
                  </w:r>
                  <w:r>
                    <w:rPr>
                      <w:sz w:val="21"/>
                      <w:b/>
                      <w:color w:val="000000"/>
                    </w:rPr>
                    <w:t>等</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显示器外观颜色</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黑色商务色系</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显示屏防蓝光</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显示屏支持低蓝光</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显示屏低频闪</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显示屏支持低闪屏</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显示屏防炫目</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显示屏支持防炫目</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外设规格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传声器数量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鼠标数量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r>
                    <w:rPr>
                      <w:sz w:val="21"/>
                      <w:b/>
                      <w:color w:val="000000"/>
                    </w:rPr>
                    <w:t>个</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r>
                    <w:rPr>
                      <w:sz w:val="21"/>
                      <w:b/>
                      <w:color w:val="000000"/>
                    </w:rPr>
                    <w:t>个</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光驱数量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键盘按键数目</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104</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摄像头像素</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摄像头分辨率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扬声器功率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扬声器频率范围</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扬声器总谐波失真</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扬声器最大声压级</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键盘连接方式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有线</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键盘键程</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2.3mm ~ 4.0mm</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键盘按键压力</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按键压力应在</w:t>
                  </w:r>
                  <w:r>
                    <w:rPr>
                      <w:sz w:val="18"/>
                      <w:b/>
                      <w:color w:val="000000"/>
                    </w:rPr>
                    <w:t xml:space="preserve"> 0.54 N</w:t>
                  </w:r>
                  <w:r>
                    <w:rPr>
                      <w:sz w:val="18"/>
                      <w:b/>
                      <w:color w:val="000000"/>
                    </w:rPr>
                    <w:t>±</w:t>
                  </w:r>
                  <w:r>
                    <w:rPr>
                      <w:sz w:val="18"/>
                      <w:b/>
                      <w:color w:val="000000"/>
                    </w:rPr>
                    <w:t>0.14N</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有线键盘连接线</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1.5 </w:t>
                  </w:r>
                  <w:r>
                    <w:rPr>
                      <w:sz w:val="18"/>
                      <w:b/>
                      <w:color w:val="000000"/>
                    </w:rPr>
                    <w:t>米</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键盘颜色</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键盘其他要求</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键盘外观结构、连接方式、主要功能、安全、电磁兼容性、可靠性应符合</w:t>
                  </w:r>
                  <w:r>
                    <w:rPr>
                      <w:sz w:val="18"/>
                      <w:b/>
                      <w:color w:val="000000"/>
                    </w:rPr>
                    <w:t xml:space="preserve">GB/T14081 </w:t>
                  </w:r>
                  <w:r>
                    <w:rPr>
                      <w:sz w:val="18"/>
                      <w:b/>
                      <w:color w:val="000000"/>
                    </w:rPr>
                    <w:t>的相关规定。</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鼠标连接方式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有线</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sz w:val="21"/>
                      <w:b/>
                      <w:color w:val="000000"/>
                    </w:rPr>
                    <w:t>有线鼠标连接线</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1.5 </w:t>
                  </w:r>
                  <w:r>
                    <w:rPr>
                      <w:sz w:val="18"/>
                      <w:b/>
                      <w:color w:val="000000"/>
                    </w:rPr>
                    <w:t>米</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w:t>
                  </w:r>
                </w:p>
                <w:p>
                  <w:pPr>
                    <w:pStyle w:val="null3"/>
                    <w:jc w:val="center"/>
                  </w:pPr>
                  <w:r>
                    <w:rPr>
                      <w:sz w:val="21"/>
                      <w:b/>
                      <w:color w:val="000000"/>
                    </w:rPr>
                    <w:t>DPI</w:t>
                  </w:r>
                  <w:r>
                    <w:rPr>
                      <w:sz w:val="21"/>
                      <w:b/>
                      <w:color w:val="000000"/>
                    </w:rPr>
                    <w:t>分辨率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800~1600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鼠标颜色</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鼠标其他要求</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鼠标参数应符合</w:t>
                  </w:r>
                  <w:r>
                    <w:rPr>
                      <w:sz w:val="21"/>
                      <w:b/>
                      <w:color w:val="000000"/>
                    </w:rPr>
                    <w:t xml:space="preserve">GB/T 26245 </w:t>
                  </w:r>
                  <w:r>
                    <w:rPr>
                      <w:sz w:val="21"/>
                      <w:b/>
                      <w:color w:val="000000"/>
                    </w:rPr>
                    <w:t>的相关规定。</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内置光驱</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支持内置光驱</w:t>
                  </w:r>
                  <w:r>
                    <w:rPr>
                      <w:sz w:val="18"/>
                      <w:b/>
                      <w:color w:val="000000"/>
                    </w:rPr>
                    <w:t>,</w:t>
                  </w:r>
                  <w:r>
                    <w:rPr>
                      <w:sz w:val="18"/>
                      <w:b/>
                      <w:color w:val="000000"/>
                    </w:rPr>
                    <w:t>此次不配置</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网络设备规格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有线网卡数量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无线网卡及天线数量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单无线网卡天线数量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外部接口规格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*USB</w:t>
                  </w:r>
                  <w:r>
                    <w:rPr>
                      <w:sz w:val="21"/>
                      <w:b/>
                      <w:color w:val="000000"/>
                    </w:rPr>
                    <w:t>接口数量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不少于</w:t>
                  </w:r>
                  <w:r>
                    <w:rPr>
                      <w:sz w:val="18"/>
                      <w:b/>
                      <w:color w:val="000000"/>
                    </w:rPr>
                    <w:t>10</w:t>
                  </w:r>
                  <w:r>
                    <w:rPr>
                      <w:sz w:val="18"/>
                      <w:b/>
                      <w:color w:val="000000"/>
                    </w:rPr>
                    <w:t>个</w:t>
                  </w:r>
                  <w:r>
                    <w:rPr>
                      <w:sz w:val="18"/>
                      <w:b/>
                      <w:color w:val="000000"/>
                    </w:rPr>
                    <w:t>USB TYPE-A</w:t>
                  </w:r>
                  <w:r>
                    <w:rPr>
                      <w:sz w:val="18"/>
                      <w:b/>
                      <w:color w:val="000000"/>
                    </w:rPr>
                    <w:t>接口及</w:t>
                  </w:r>
                  <w:r>
                    <w:rPr>
                      <w:sz w:val="18"/>
                      <w:b/>
                      <w:color w:val="000000"/>
                    </w:rPr>
                    <w:t>1</w:t>
                  </w:r>
                  <w:r>
                    <w:rPr>
                      <w:sz w:val="18"/>
                      <w:b/>
                      <w:color w:val="000000"/>
                    </w:rPr>
                    <w:t>个</w:t>
                  </w:r>
                  <w:r>
                    <w:rPr>
                      <w:sz w:val="18"/>
                      <w:b/>
                      <w:color w:val="000000"/>
                    </w:rPr>
                    <w:t xml:space="preserve">Type-C </w:t>
                  </w:r>
                  <w:r>
                    <w:rPr>
                      <w:sz w:val="18"/>
                      <w:b/>
                      <w:color w:val="000000"/>
                    </w:rPr>
                    <w:t>口</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USB</w:t>
                  </w:r>
                  <w:r>
                    <w:rPr>
                      <w:sz w:val="21"/>
                      <w:b/>
                      <w:color w:val="000000"/>
                    </w:rPr>
                    <w:t>母座接口要求</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机箱前面板额外预留</w:t>
                  </w:r>
                  <w:r>
                    <w:rPr>
                      <w:sz w:val="18"/>
                      <w:b/>
                      <w:color w:val="000000"/>
                    </w:rPr>
                    <w:t xml:space="preserve">2 </w:t>
                  </w:r>
                  <w:r>
                    <w:rPr>
                      <w:sz w:val="18"/>
                      <w:b/>
                      <w:color w:val="000000"/>
                    </w:rPr>
                    <w:t>个专用</w:t>
                  </w:r>
                  <w:r>
                    <w:rPr>
                      <w:sz w:val="18"/>
                      <w:b/>
                      <w:color w:val="000000"/>
                    </w:rPr>
                    <w:t xml:space="preserve"> USB </w:t>
                  </w:r>
                  <w:r>
                    <w:rPr>
                      <w:sz w:val="18"/>
                      <w:b/>
                      <w:color w:val="000000"/>
                    </w:rPr>
                    <w:t>母座接口孔位和</w:t>
                  </w:r>
                  <w:r>
                    <w:rPr>
                      <w:sz w:val="18"/>
                      <w:b/>
                      <w:color w:val="000000"/>
                    </w:rPr>
                    <w:t xml:space="preserve"> 1 </w:t>
                  </w:r>
                  <w:r>
                    <w:rPr>
                      <w:sz w:val="18"/>
                      <w:b/>
                      <w:color w:val="000000"/>
                    </w:rPr>
                    <w:t>个通用</w:t>
                  </w:r>
                  <w:r>
                    <w:rPr>
                      <w:sz w:val="18"/>
                      <w:b/>
                      <w:color w:val="000000"/>
                    </w:rPr>
                    <w:t xml:space="preserve">A </w:t>
                  </w:r>
                  <w:r>
                    <w:rPr>
                      <w:sz w:val="18"/>
                      <w:b/>
                      <w:color w:val="000000"/>
                    </w:rPr>
                    <w:t>型</w:t>
                  </w:r>
                  <w:r>
                    <w:rPr>
                      <w:sz w:val="18"/>
                      <w:b/>
                      <w:color w:val="000000"/>
                    </w:rPr>
                    <w:t xml:space="preserve"> USB </w:t>
                  </w:r>
                  <w:r>
                    <w:rPr>
                      <w:sz w:val="18"/>
                      <w:b/>
                      <w:color w:val="000000"/>
                    </w:rPr>
                    <w:t>母座接口孔位</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视频接口数量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4</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音频接口数量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2</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存储卡接口数量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整机基础规格</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整机外观</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a) </w:t>
                  </w:r>
                  <w:r>
                    <w:rPr>
                      <w:sz w:val="21"/>
                      <w:b/>
                      <w:color w:val="000000"/>
                    </w:rPr>
                    <w:t>产品表面不应有凹痕、划伤、裂缝、变形和污染等。表面涂层均匀，不应起泡、龟裂、脱落和磨损，金属零部件无锈蚀及其它机械损伤；</w:t>
                  </w:r>
                </w:p>
                <w:p>
                  <w:pPr>
                    <w:pStyle w:val="null3"/>
                    <w:jc w:val="center"/>
                  </w:pPr>
                  <w:r>
                    <w:rPr>
                      <w:sz w:val="21"/>
                      <w:b/>
                      <w:color w:val="000000"/>
                    </w:rPr>
                    <w:t xml:space="preserve">b) </w:t>
                  </w:r>
                  <w:r>
                    <w:rPr>
                      <w:sz w:val="21"/>
                      <w:b/>
                      <w:color w:val="000000"/>
                    </w:rPr>
                    <w:t>产品表面说明功能的文字、符号、标志，应清晰、端正、牢固；</w:t>
                  </w:r>
                </w:p>
                <w:p>
                  <w:pPr>
                    <w:pStyle w:val="null3"/>
                    <w:jc w:val="center"/>
                  </w:pPr>
                  <w:r>
                    <w:rPr>
                      <w:sz w:val="21"/>
                      <w:b/>
                      <w:color w:val="000000"/>
                    </w:rPr>
                    <w:t xml:space="preserve">c) </w:t>
                  </w:r>
                  <w:r>
                    <w:rPr>
                      <w:sz w:val="21"/>
                      <w:b/>
                      <w:color w:val="000000"/>
                    </w:rPr>
                    <w:t>宜在产品显著位置提供运行状态指示功能，并提供详细参数</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整机结构</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 xml:space="preserve">a) </w:t>
                  </w:r>
                  <w:r>
                    <w:rPr>
                      <w:sz w:val="21"/>
                      <w:b/>
                      <w:color w:val="000000"/>
                    </w:rPr>
                    <w:t>机箱应符合</w:t>
                  </w:r>
                  <w:r>
                    <w:rPr>
                      <w:sz w:val="21"/>
                      <w:b/>
                      <w:color w:val="000000"/>
                    </w:rPr>
                    <w:t xml:space="preserve"> GB/T 4208</w:t>
                  </w:r>
                  <w:r>
                    <w:rPr>
                      <w:sz w:val="21"/>
                      <w:b/>
                      <w:color w:val="000000"/>
                    </w:rPr>
                    <w:t>、</w:t>
                  </w:r>
                  <w:r>
                    <w:rPr>
                      <w:sz w:val="21"/>
                      <w:b/>
                      <w:color w:val="000000"/>
                    </w:rPr>
                    <w:t>GB/T 26246</w:t>
                  </w:r>
                  <w:r>
                    <w:rPr>
                      <w:sz w:val="21"/>
                      <w:b/>
                      <w:color w:val="000000"/>
                    </w:rPr>
                    <w:t>的相关规定；</w:t>
                  </w:r>
                </w:p>
                <w:p>
                  <w:pPr>
                    <w:pStyle w:val="null3"/>
                    <w:jc w:val="both"/>
                  </w:pPr>
                  <w:r>
                    <w:rPr>
                      <w:sz w:val="21"/>
                      <w:b/>
                      <w:color w:val="000000"/>
                    </w:rPr>
                    <w:t xml:space="preserve">b) </w:t>
                  </w:r>
                  <w:r>
                    <w:rPr>
                      <w:sz w:val="21"/>
                      <w:b/>
                      <w:color w:val="000000"/>
                    </w:rPr>
                    <w:t>产品内部结构应符合通用部件的安装需要；</w:t>
                  </w:r>
                </w:p>
                <w:p>
                  <w:pPr>
                    <w:pStyle w:val="null3"/>
                    <w:jc w:val="both"/>
                  </w:pPr>
                  <w:r>
                    <w:rPr>
                      <w:sz w:val="21"/>
                      <w:b/>
                      <w:color w:val="000000"/>
                    </w:rPr>
                    <w:t xml:space="preserve">c) </w:t>
                  </w:r>
                  <w:r>
                    <w:rPr>
                      <w:sz w:val="21"/>
                      <w:b/>
                      <w:color w:val="000000"/>
                    </w:rPr>
                    <w:t>所有输入输出接口应符合相关国家或行业标准；</w:t>
                  </w:r>
                </w:p>
                <w:p>
                  <w:pPr>
                    <w:pStyle w:val="null3"/>
                    <w:jc w:val="both"/>
                  </w:pPr>
                  <w:r>
                    <w:rPr>
                      <w:sz w:val="21"/>
                      <w:b/>
                      <w:color w:val="000000"/>
                    </w:rPr>
                    <w:t xml:space="preserve">d) </w:t>
                  </w:r>
                  <w:r>
                    <w:rPr>
                      <w:sz w:val="21"/>
                      <w:b/>
                      <w:color w:val="000000"/>
                    </w:rPr>
                    <w:t>产品零部件应紧固无松动，可插拔部件应可靠连接，开关、按钮和其它控制部件应灵活可靠，布局应方便使用；</w:t>
                  </w:r>
                </w:p>
                <w:p>
                  <w:pPr>
                    <w:pStyle w:val="null3"/>
                    <w:jc w:val="both"/>
                  </w:pPr>
                  <w:r>
                    <w:rPr>
                      <w:sz w:val="21"/>
                      <w:b/>
                      <w:color w:val="000000"/>
                    </w:rPr>
                    <w:t xml:space="preserve">e) </w:t>
                  </w:r>
                  <w:r>
                    <w:rPr>
                      <w:sz w:val="21"/>
                      <w:b/>
                      <w:color w:val="000000"/>
                    </w:rPr>
                    <w:t>所有</w:t>
                  </w:r>
                  <w:r>
                    <w:rPr>
                      <w:sz w:val="21"/>
                      <w:b/>
                      <w:color w:val="000000"/>
                    </w:rPr>
                    <w:t xml:space="preserve"> I/O </w:t>
                  </w:r>
                  <w:r>
                    <w:rPr>
                      <w:sz w:val="21"/>
                      <w:b/>
                      <w:color w:val="000000"/>
                    </w:rPr>
                    <w:t>连接器及需插接线缆的部位应预留用户操作空间，方便插拔解锁与插拔线缆；</w:t>
                  </w:r>
                </w:p>
                <w:p>
                  <w:pPr>
                    <w:pStyle w:val="null3"/>
                    <w:jc w:val="both"/>
                  </w:pPr>
                  <w:r>
                    <w:rPr>
                      <w:sz w:val="21"/>
                      <w:b/>
                      <w:color w:val="000000"/>
                    </w:rPr>
                    <w:t xml:space="preserve">f) </w:t>
                  </w:r>
                  <w:r>
                    <w:rPr>
                      <w:sz w:val="21"/>
                      <w:b/>
                      <w:color w:val="000000"/>
                    </w:rPr>
                    <w:t>可插拔板卡插槽部位应预留安装、拆卸或更换板卡空间；</w:t>
                  </w:r>
                </w:p>
                <w:p>
                  <w:pPr>
                    <w:pStyle w:val="null3"/>
                    <w:jc w:val="both"/>
                  </w:pPr>
                  <w:r>
                    <w:rPr>
                      <w:sz w:val="21"/>
                      <w:b/>
                      <w:color w:val="000000"/>
                    </w:rPr>
                    <w:t xml:space="preserve">g) </w:t>
                  </w:r>
                  <w:r>
                    <w:rPr>
                      <w:sz w:val="21"/>
                      <w:b/>
                      <w:color w:val="000000"/>
                    </w:rPr>
                    <w:t>拆装可能接触到的金属剪口或金属尖角部位应做防划伤处理，以保证安全；</w:t>
                  </w:r>
                </w:p>
                <w:p>
                  <w:pPr>
                    <w:pStyle w:val="null3"/>
                    <w:jc w:val="both"/>
                  </w:pPr>
                  <w:r>
                    <w:rPr>
                      <w:sz w:val="21"/>
                      <w:b/>
                      <w:color w:val="000000"/>
                    </w:rPr>
                    <w:t xml:space="preserve">h) </w:t>
                  </w:r>
                  <w:r>
                    <w:rPr>
                      <w:sz w:val="21"/>
                      <w:b/>
                      <w:color w:val="000000"/>
                    </w:rPr>
                    <w:t>整机内部走线应规整，固线结构和位置要合理可靠并做防割线处理，需便于理线和插拔操作，走线应不影响系统各主要部件组装和拆卸；</w:t>
                  </w:r>
                </w:p>
                <w:p>
                  <w:pPr>
                    <w:pStyle w:val="null3"/>
                    <w:jc w:val="both"/>
                  </w:pPr>
                  <w:r>
                    <w:rPr>
                      <w:sz w:val="21"/>
                      <w:b/>
                      <w:color w:val="000000"/>
                    </w:rPr>
                    <w:t xml:space="preserve">i) </w:t>
                  </w:r>
                  <w:r>
                    <w:rPr>
                      <w:sz w:val="21"/>
                      <w:b/>
                      <w:color w:val="000000"/>
                    </w:rPr>
                    <w:t>如需通过孔走线，过线孔应做防割线处理；</w:t>
                  </w:r>
                </w:p>
                <w:p>
                  <w:pPr>
                    <w:pStyle w:val="null3"/>
                    <w:jc w:val="both"/>
                  </w:pPr>
                  <w:r>
                    <w:rPr>
                      <w:sz w:val="21"/>
                      <w:b/>
                      <w:color w:val="000000"/>
                    </w:rPr>
                    <w:t xml:space="preserve">j) </w:t>
                  </w:r>
                  <w:r>
                    <w:rPr>
                      <w:sz w:val="21"/>
                      <w:b/>
                      <w:color w:val="000000"/>
                    </w:rPr>
                    <w:t>各插头位置和插拔方向应合理，应做到插拔无障碍设计，具备防呆设计，有效避免误操作；</w:t>
                  </w:r>
                </w:p>
                <w:p>
                  <w:pPr>
                    <w:pStyle w:val="null3"/>
                    <w:jc w:val="both"/>
                  </w:pPr>
                  <w:r>
                    <w:rPr>
                      <w:sz w:val="21"/>
                      <w:b/>
                      <w:color w:val="000000"/>
                    </w:rPr>
                    <w:t xml:space="preserve">k) </w:t>
                  </w:r>
                  <w:r>
                    <w:rPr>
                      <w:sz w:val="21"/>
                      <w:b/>
                      <w:color w:val="000000"/>
                    </w:rPr>
                    <w:t>各主要部件拆装无障碍，使用常规工具拆装，无特殊拆装工具需求；</w:t>
                  </w:r>
                </w:p>
                <w:p>
                  <w:pPr>
                    <w:pStyle w:val="null3"/>
                    <w:jc w:val="both"/>
                  </w:pPr>
                  <w:r>
                    <w:rPr>
                      <w:sz w:val="21"/>
                      <w:b/>
                      <w:color w:val="000000"/>
                    </w:rPr>
                    <w:t xml:space="preserve">l) </w:t>
                  </w:r>
                  <w:r>
                    <w:rPr>
                      <w:sz w:val="21"/>
                      <w:b/>
                      <w:color w:val="000000"/>
                    </w:rPr>
                    <w:t>各主要部件拆装步骤要少，各自拆装需避免相互干扰；</w:t>
                  </w:r>
                </w:p>
                <w:p>
                  <w:pPr>
                    <w:pStyle w:val="null3"/>
                    <w:jc w:val="both"/>
                  </w:pPr>
                  <w:r>
                    <w:rPr>
                      <w:sz w:val="21"/>
                      <w:b/>
                      <w:color w:val="000000"/>
                    </w:rPr>
                    <w:t xml:space="preserve">m) </w:t>
                  </w:r>
                  <w:r>
                    <w:rPr>
                      <w:sz w:val="21"/>
                      <w:b/>
                      <w:color w:val="000000"/>
                    </w:rPr>
                    <w:t>对于整机或零部件外表面为高亮面的，应粘贴保护膜，保护膜需粘贴牢固，运输、组装等过程不易脱落，撕下无残留；</w:t>
                  </w:r>
                </w:p>
                <w:p>
                  <w:pPr>
                    <w:pStyle w:val="null3"/>
                    <w:jc w:val="both"/>
                  </w:pPr>
                  <w:r>
                    <w:rPr>
                      <w:sz w:val="21"/>
                      <w:b/>
                      <w:color w:val="000000"/>
                    </w:rPr>
                    <w:t xml:space="preserve">n) </w:t>
                  </w:r>
                  <w:r>
                    <w:rPr>
                      <w:sz w:val="21"/>
                      <w:b/>
                      <w:color w:val="000000"/>
                    </w:rPr>
                    <w:t>其它要求应符合</w:t>
                  </w:r>
                  <w:r>
                    <w:rPr>
                      <w:sz w:val="21"/>
                      <w:b/>
                      <w:color w:val="000000"/>
                    </w:rPr>
                    <w:t xml:space="preserve"> GB/T 9813.1 </w:t>
                  </w:r>
                  <w:r>
                    <w:rPr>
                      <w:sz w:val="21"/>
                      <w:b/>
                      <w:color w:val="000000"/>
                    </w:rPr>
                    <w:t>的相关规定</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机箱防护要求</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机箱应符合</w:t>
                  </w:r>
                  <w:r>
                    <w:rPr>
                      <w:sz w:val="21"/>
                      <w:b/>
                      <w:color w:val="000000"/>
                    </w:rPr>
                    <w:t xml:space="preserve"> GB/T 4208 </w:t>
                  </w:r>
                  <w:r>
                    <w:rPr>
                      <w:sz w:val="21"/>
                      <w:b/>
                      <w:color w:val="000000"/>
                    </w:rPr>
                    <w:t>中</w:t>
                  </w:r>
                  <w:r>
                    <w:rPr>
                      <w:sz w:val="21"/>
                      <w:b/>
                      <w:color w:val="000000"/>
                    </w:rPr>
                    <w:t xml:space="preserve"> IP5x </w:t>
                  </w:r>
                  <w:r>
                    <w:rPr>
                      <w:sz w:val="21"/>
                      <w:b/>
                      <w:color w:val="000000"/>
                    </w:rPr>
                    <w:t>防护要求</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整机噪音</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产品的声功率级应不超过</w:t>
                  </w:r>
                  <w:r>
                    <w:rPr>
                      <w:sz w:val="21"/>
                      <w:b/>
                      <w:color w:val="000000"/>
                    </w:rPr>
                    <w:t xml:space="preserve"> 4.7 Bel</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整机散热</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支持整机散热</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整机能效限定值</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产品能效限定值应达到</w:t>
                  </w:r>
                  <w:r>
                    <w:rPr>
                      <w:sz w:val="21"/>
                      <w:b/>
                      <w:color w:val="000000"/>
                    </w:rPr>
                    <w:t xml:space="preserve"> GB 28380-2012</w:t>
                  </w:r>
                  <w:r>
                    <w:rPr>
                      <w:sz w:val="21"/>
                      <w:b/>
                      <w:color w:val="000000"/>
                    </w:rPr>
                    <w:t>标准中能效等级</w:t>
                  </w:r>
                  <w:r>
                    <w:rPr>
                      <w:sz w:val="21"/>
                      <w:b/>
                      <w:color w:val="000000"/>
                    </w:rPr>
                    <w:t xml:space="preserve"> 2 </w:t>
                  </w:r>
                  <w:r>
                    <w:rPr>
                      <w:sz w:val="21"/>
                      <w:b/>
                      <w:color w:val="000000"/>
                    </w:rPr>
                    <w:t>级及以上</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机身材质</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金属等</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机身颜色</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机箱尺寸容量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机箱体积不小于</w:t>
                  </w:r>
                  <w:r>
                    <w:rPr>
                      <w:sz w:val="21"/>
                      <w:b/>
                      <w:color w:val="000000"/>
                    </w:rPr>
                    <w:t>15L</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性能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物理核数</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不低于</w:t>
                  </w:r>
                  <w:r>
                    <w:rPr>
                      <w:sz w:val="21"/>
                      <w:b/>
                      <w:color w:val="000000"/>
                    </w:rPr>
                    <w:t>14</w:t>
                  </w:r>
                  <w:r>
                    <w:rPr>
                      <w:sz w:val="21"/>
                      <w:b/>
                      <w:color w:val="000000"/>
                    </w:rPr>
                    <w:t>核</w:t>
                  </w:r>
                  <w:r>
                    <w:rPr>
                      <w:sz w:val="21"/>
                      <w:b/>
                      <w:color w:val="000000"/>
                    </w:rPr>
                    <w:t xml:space="preserve"> 20</w:t>
                  </w:r>
                  <w:r>
                    <w:rPr>
                      <w:sz w:val="21"/>
                      <w:b/>
                      <w:color w:val="000000"/>
                    </w:rPr>
                    <w:t>线程</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主频</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不低于主频</w:t>
                  </w:r>
                  <w:r>
                    <w:rPr>
                      <w:sz w:val="21"/>
                      <w:b/>
                      <w:color w:val="000000"/>
                    </w:rPr>
                    <w:t>2.5G</w:t>
                  </w:r>
                  <w:r>
                    <w:rPr>
                      <w:sz w:val="21"/>
                      <w:b/>
                      <w:color w:val="000000"/>
                    </w:rPr>
                    <w:t>，支持睿频技术，最大睿频</w:t>
                  </w:r>
                  <w:r>
                    <w:rPr>
                      <w:sz w:val="21"/>
                      <w:b/>
                      <w:color w:val="000000"/>
                    </w:rPr>
                    <w:t>4.8G</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末级缓存容量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18MB</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4"/>
                    <w:jc w:val="center"/>
                  </w:pPr>
                  <w:r>
                    <w:rPr>
                      <w:sz w:val="21"/>
                      <w:b/>
                      <w:color w:val="000000"/>
                    </w:rPr>
                    <w:t>*CPU</w:t>
                  </w:r>
                  <w:r>
                    <w:rPr>
                      <w:sz w:val="21"/>
                      <w:b/>
                      <w:color w:val="000000"/>
                    </w:rPr>
                    <w:t>支持的内存最高速率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3200MT/s</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内存性能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内存读写速率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2666MT/s</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显卡性能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显示分辨率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7680x4320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显卡显示芯片核心频率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1755MHz</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显存等效频率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1600MT/s</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显卡可支持多屏同时显示数量</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w:t>
                  </w:r>
                  <w:r>
                    <w:rPr>
                      <w:sz w:val="21"/>
                      <w:b/>
                      <w:color w:val="000000"/>
                    </w:rPr>
                    <w:t xml:space="preserve"> 2</w:t>
                  </w:r>
                  <w:r>
                    <w:rPr>
                      <w:sz w:val="21"/>
                      <w:b/>
                      <w:color w:val="000000"/>
                    </w:rPr>
                    <w:t>块屏幕同时显示，分辨率应不低于</w:t>
                  </w:r>
                  <w:r>
                    <w:rPr>
                      <w:sz w:val="21"/>
                      <w:b/>
                      <w:color w:val="000000"/>
                    </w:rPr>
                    <w:t xml:space="preserve"> 2560</w:t>
                  </w:r>
                  <w:r>
                    <w:rPr>
                      <w:sz w:val="21"/>
                      <w:b/>
                      <w:color w:val="000000"/>
                    </w:rPr>
                    <w:t>×</w:t>
                  </w:r>
                  <w:r>
                    <w:rPr>
                      <w:sz w:val="21"/>
                      <w:b/>
                      <w:color w:val="000000"/>
                    </w:rPr>
                    <w:t>1440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显示设备性能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显示屏刷新率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75Hz</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显示屏位深</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8 </w:t>
                  </w:r>
                  <w:r>
                    <w:rPr>
                      <w:sz w:val="18"/>
                      <w:b/>
                      <w:color w:val="000000"/>
                    </w:rPr>
                    <w:t>位</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2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显示屏色域</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72% NTSC</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显示屏色准</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 xml:space="preserve">E </w:t>
                  </w:r>
                  <w:r>
                    <w:rPr>
                      <w:sz w:val="21"/>
                      <w:b/>
                      <w:color w:val="000000"/>
                    </w:rPr>
                    <w:t>≤</w:t>
                  </w:r>
                  <w:r>
                    <w:rPr>
                      <w:sz w:val="21"/>
                      <w:b/>
                      <w:color w:val="000000"/>
                    </w:rPr>
                    <w:t xml:space="preserve"> 3</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显示屏响应时间</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5ms</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显示屏亮度</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250</w:t>
                  </w:r>
                  <w:r>
                    <w:rPr>
                      <w:sz w:val="21"/>
                      <w:b/>
                      <w:color w:val="000000"/>
                    </w:rPr>
                    <w:t>流明</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显示屏亮度一致性</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70%</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96</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显示屏对比度</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1000:1</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97</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显示屏其他参数</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其它参数应符合</w:t>
                  </w:r>
                  <w:r>
                    <w:rPr>
                      <w:sz w:val="21"/>
                      <w:b/>
                      <w:color w:val="000000"/>
                    </w:rPr>
                    <w:t xml:space="preserve">SJ/T 11292 </w:t>
                  </w:r>
                  <w:r>
                    <w:rPr>
                      <w:sz w:val="21"/>
                      <w:b/>
                      <w:color w:val="000000"/>
                    </w:rPr>
                    <w:t>的相关规定，不小于</w:t>
                  </w:r>
                  <w:r>
                    <w:rPr>
                      <w:sz w:val="21"/>
                      <w:b/>
                      <w:color w:val="000000"/>
                    </w:rPr>
                    <w:t>23.8"</w:t>
                  </w:r>
                  <w:r>
                    <w:rPr>
                      <w:sz w:val="21"/>
                      <w:b/>
                      <w:color w:val="000000"/>
                    </w:rPr>
                    <w:t>宽屏</w:t>
                  </w:r>
                  <w:r>
                    <w:rPr>
                      <w:sz w:val="21"/>
                      <w:b/>
                      <w:color w:val="000000"/>
                    </w:rPr>
                    <w:t xml:space="preserve">16:9 </w:t>
                  </w:r>
                  <w:r>
                    <w:rPr>
                      <w:sz w:val="21"/>
                      <w:b/>
                      <w:color w:val="000000"/>
                    </w:rPr>
                    <w:t>低蓝光宽屏液晶显示器</w:t>
                  </w:r>
                  <w:r>
                    <w:rPr>
                      <w:sz w:val="21"/>
                      <w:b/>
                      <w:color w:val="000000"/>
                    </w:rPr>
                    <w:t>,DP,HDMI</w:t>
                  </w:r>
                  <w:r>
                    <w:rPr>
                      <w:sz w:val="21"/>
                      <w:b/>
                      <w:color w:val="000000"/>
                    </w:rPr>
                    <w:t>接口</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98</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网络设备性能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有线网卡速率</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最高速率应不低于</w:t>
                  </w:r>
                  <w:r>
                    <w:rPr>
                      <w:sz w:val="18"/>
                      <w:b/>
                      <w:color w:val="000000"/>
                    </w:rPr>
                    <w:t xml:space="preserve"> 1000Mbps</w:t>
                  </w:r>
                  <w:r>
                    <w:rPr>
                      <w:sz w:val="18"/>
                      <w:b/>
                      <w:color w:val="000000"/>
                    </w:rPr>
                    <w:t>，应支持</w:t>
                  </w:r>
                  <w:r>
                    <w:rPr>
                      <w:sz w:val="18"/>
                      <w:b/>
                      <w:color w:val="000000"/>
                    </w:rPr>
                    <w:t>10Mbps</w:t>
                  </w:r>
                  <w:r>
                    <w:rPr>
                      <w:sz w:val="18"/>
                      <w:b/>
                      <w:color w:val="000000"/>
                    </w:rPr>
                    <w:t>、</w:t>
                  </w:r>
                  <w:r>
                    <w:rPr>
                      <w:sz w:val="18"/>
                      <w:b/>
                      <w:color w:val="000000"/>
                    </w:rPr>
                    <w:t>100Mbps</w:t>
                  </w:r>
                  <w:r>
                    <w:rPr>
                      <w:sz w:val="18"/>
                      <w:b/>
                      <w:color w:val="000000"/>
                    </w:rPr>
                    <w:t>、</w:t>
                  </w:r>
                  <w:r>
                    <w:rPr>
                      <w:sz w:val="18"/>
                      <w:b/>
                      <w:color w:val="000000"/>
                    </w:rPr>
                    <w:t xml:space="preserve">1000Mbps </w:t>
                  </w:r>
                  <w:r>
                    <w:rPr>
                      <w:sz w:val="18"/>
                      <w:b/>
                      <w:color w:val="000000"/>
                    </w:rPr>
                    <w:t>速率自适应</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99</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4"/>
                    <w:jc w:val="center"/>
                  </w:pPr>
                  <w:r>
                    <w:rPr>
                      <w:sz w:val="21"/>
                      <w:b/>
                      <w:color w:val="000000"/>
                    </w:rPr>
                    <w:t>支持无线网络通信技术协议</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100</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无线网卡频宽</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101</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2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sz w:val="21"/>
                      <w:b/>
                      <w:color w:val="000000"/>
                    </w:rPr>
                    <w:t>*</w:t>
                  </w:r>
                  <w:r>
                    <w:rPr>
                      <w:sz w:val="21"/>
                      <w:b/>
                      <w:color w:val="000000"/>
                    </w:rPr>
                    <w:t>内存扩展接口</w:t>
                  </w:r>
                  <w:r>
                    <w:rPr>
                      <w:sz w:val="21"/>
                      <w:b/>
                      <w:color w:val="000000"/>
                    </w:rPr>
                    <w:t>(</w:t>
                  </w:r>
                  <w:r>
                    <w:rPr>
                      <w:sz w:val="21"/>
                      <w:b/>
                      <w:color w:val="000000"/>
                    </w:rPr>
                    <w:t>板载内存不涉及</w:t>
                  </w:r>
                  <w:r>
                    <w:rPr>
                      <w:sz w:val="21"/>
                      <w:b/>
                      <w:color w:val="000000"/>
                    </w:rPr>
                    <w:t>)</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2</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102</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存储扩展</w:t>
                  </w:r>
                </w:p>
                <w:p>
                  <w:pPr>
                    <w:pStyle w:val="null3"/>
                    <w:jc w:val="center"/>
                  </w:pPr>
                  <w:r>
                    <w:rPr>
                      <w:sz w:val="21"/>
                      <w:b/>
                      <w:color w:val="000000"/>
                    </w:rPr>
                    <w:t>接口</w:t>
                  </w:r>
                </w:p>
                <w:p>
                  <w:pPr>
                    <w:pStyle w:val="null3"/>
                    <w:jc w:val="center"/>
                  </w:pPr>
                  <w:r>
                    <w:rPr>
                      <w:sz w:val="21"/>
                      <w:b/>
                      <w:color w:val="000000"/>
                    </w:rPr>
                    <w:t>(</w:t>
                  </w:r>
                  <w:r>
                    <w:rPr>
                      <w:sz w:val="21"/>
                      <w:b/>
                      <w:color w:val="000000"/>
                    </w:rPr>
                    <w:t>板载存储不涉及</w:t>
                  </w:r>
                  <w:r>
                    <w:rPr>
                      <w:sz w:val="21"/>
                      <w:b/>
                      <w:color w:val="000000"/>
                    </w:rPr>
                    <w:t>)</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color w:val="000000"/>
                    </w:rPr>
                    <w:t>支持存储设备扩展接口≥</w:t>
                  </w:r>
                  <w:r>
                    <w:rPr>
                      <w:sz w:val="18"/>
                      <w:color w:val="000000"/>
                    </w:rPr>
                    <w:t xml:space="preserve">2 </w:t>
                  </w:r>
                  <w:r>
                    <w:rPr>
                      <w:sz w:val="18"/>
                      <w:color w:val="000000"/>
                    </w:rPr>
                    <w:t>个，如</w:t>
                  </w:r>
                  <w:r>
                    <w:rPr>
                      <w:sz w:val="18"/>
                      <w:color w:val="000000"/>
                    </w:rPr>
                    <w:t>UFS3.0</w:t>
                  </w:r>
                  <w:r>
                    <w:rPr>
                      <w:sz w:val="18"/>
                      <w:color w:val="000000"/>
                    </w:rPr>
                    <w:t>、</w:t>
                  </w:r>
                  <w:r>
                    <w:rPr>
                      <w:sz w:val="18"/>
                      <w:color w:val="000000"/>
                    </w:rPr>
                    <w:t>SATA3.0</w:t>
                  </w:r>
                  <w:r>
                    <w:rPr>
                      <w:sz w:val="18"/>
                      <w:color w:val="000000"/>
                    </w:rPr>
                    <w:t>、</w:t>
                  </w:r>
                  <w:r>
                    <w:rPr>
                      <w:sz w:val="18"/>
                      <w:color w:val="000000"/>
                    </w:rPr>
                    <w:t>SAS3.0</w:t>
                  </w:r>
                  <w:r>
                    <w:rPr>
                      <w:sz w:val="18"/>
                      <w:color w:val="000000"/>
                    </w:rPr>
                    <w:t>、</w:t>
                  </w:r>
                  <w:r>
                    <w:rPr>
                      <w:sz w:val="18"/>
                      <w:color w:val="000000"/>
                    </w:rPr>
                    <w:t xml:space="preserve">M.2 </w:t>
                  </w:r>
                  <w:r>
                    <w:rPr>
                      <w:sz w:val="18"/>
                      <w:color w:val="000000"/>
                    </w:rPr>
                    <w:t>等接口类型</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103</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w:t>
                  </w:r>
                </w:p>
                <w:p>
                  <w:pPr>
                    <w:pStyle w:val="null3"/>
                    <w:jc w:val="center"/>
                  </w:pPr>
                  <w:r>
                    <w:rPr>
                      <w:sz w:val="21"/>
                      <w:b/>
                      <w:color w:val="000000"/>
                    </w:rPr>
                    <w:t>USB</w:t>
                  </w:r>
                  <w:r>
                    <w:rPr>
                      <w:sz w:val="21"/>
                      <w:b/>
                      <w:color w:val="000000"/>
                    </w:rPr>
                    <w:t>瞬间过流保护</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支持主板</w:t>
                  </w:r>
                  <w:r>
                    <w:rPr>
                      <w:sz w:val="21"/>
                      <w:b/>
                      <w:color w:val="000000"/>
                    </w:rPr>
                    <w:t xml:space="preserve">USB </w:t>
                  </w:r>
                  <w:r>
                    <w:rPr>
                      <w:sz w:val="21"/>
                      <w:b/>
                      <w:color w:val="000000"/>
                    </w:rPr>
                    <w:t>瞬间过流保护功能</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104</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主板防静电保护</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支持主板防静电保护功能</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105</w:t>
                  </w:r>
                </w:p>
              </w:tc>
              <w:tc>
                <w:tcPr>
                  <w:tcW w:type="dxa" w:w="914"/>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2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*I/O</w:t>
                  </w:r>
                  <w:r>
                    <w:rPr>
                      <w:sz w:val="21"/>
                      <w:b/>
                      <w:color w:val="000000"/>
                    </w:rPr>
                    <w:t>接口功能</w:t>
                  </w:r>
                </w:p>
              </w:tc>
              <w:tc>
                <w:tcPr>
                  <w:tcW w:type="dxa" w:w="311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提供基于标准</w:t>
                  </w:r>
                  <w:r>
                    <w:rPr>
                      <w:sz w:val="21"/>
                      <w:b/>
                      <w:color w:val="000000"/>
                    </w:rPr>
                    <w:t xml:space="preserve"> USB </w:t>
                  </w:r>
                  <w:r>
                    <w:rPr>
                      <w:sz w:val="21"/>
                      <w:b/>
                      <w:color w:val="000000"/>
                    </w:rPr>
                    <w:t>接口外设连接功能、基于音频输入输出接口的音频扩展功能、基于</w:t>
                  </w:r>
                  <w:r>
                    <w:rPr>
                      <w:sz w:val="21"/>
                      <w:b/>
                      <w:color w:val="000000"/>
                    </w:rPr>
                    <w:t xml:space="preserve"> PCIe </w:t>
                  </w:r>
                  <w:r>
                    <w:rPr>
                      <w:sz w:val="21"/>
                      <w:b/>
                      <w:color w:val="000000"/>
                    </w:rPr>
                    <w:t>接口板卡扩展功能、基于</w:t>
                  </w:r>
                  <w:r>
                    <w:rPr>
                      <w:sz w:val="21"/>
                      <w:b/>
                      <w:color w:val="000000"/>
                    </w:rPr>
                    <w:t xml:space="preserve">HDMI/VGA/Type-C/DVI/DP </w:t>
                  </w:r>
                  <w:r>
                    <w:rPr>
                      <w:sz w:val="21"/>
                      <w:b/>
                      <w:color w:val="000000"/>
                    </w:rPr>
                    <w:t>等接口外</w:t>
                  </w:r>
                  <w:r>
                    <w:rPr>
                      <w:sz w:val="21"/>
                      <w:b/>
                      <w:color w:val="000000"/>
                    </w:rPr>
                    <w:t>接显示器扩展功能、基于存储接口对产品进行增容功能等。</w:t>
                  </w:r>
                </w:p>
              </w:tc>
              <w:tc>
                <w:tcPr>
                  <w:tcW w:type="dxa" w:w="12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显卡外接显示接口</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显卡支持</w:t>
                  </w:r>
                  <w:r>
                    <w:rPr>
                      <w:sz w:val="21"/>
                      <w:b/>
                      <w:color w:val="000000"/>
                    </w:rPr>
                    <w:t>HDMI</w:t>
                  </w:r>
                  <w:r>
                    <w:rPr>
                      <w:sz w:val="21"/>
                      <w:b/>
                      <w:color w:val="000000"/>
                    </w:rPr>
                    <w:t>、</w:t>
                  </w:r>
                  <w:r>
                    <w:rPr>
                      <w:sz w:val="21"/>
                      <w:b/>
                      <w:color w:val="000000"/>
                    </w:rPr>
                    <w:t>DP2</w:t>
                  </w:r>
                  <w:r>
                    <w:rPr>
                      <w:sz w:val="21"/>
                      <w:b/>
                      <w:color w:val="000000"/>
                    </w:rPr>
                    <w:t>种显示接口，并与显示器接口相匹配</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独立显卡数量</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显示设备功能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显示器接口</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显示器应与显卡外接显示接口匹配</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109</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显示器支架</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显示器含显示器底座</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110</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显示器参数调节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 xml:space="preserve">a) </w:t>
                  </w:r>
                  <w:r>
                    <w:rPr>
                      <w:sz w:val="18"/>
                      <w:b/>
                      <w:color w:val="000000"/>
                    </w:rPr>
                    <w:t>提供</w:t>
                  </w:r>
                  <w:r>
                    <w:rPr>
                      <w:sz w:val="18"/>
                      <w:b/>
                      <w:color w:val="000000"/>
                    </w:rPr>
                    <w:t xml:space="preserve"> OSD </w:t>
                  </w:r>
                  <w:r>
                    <w:rPr>
                      <w:sz w:val="18"/>
                      <w:b/>
                      <w:color w:val="000000"/>
                    </w:rPr>
                    <w:t>选单按钮用于调节色彩、模式等；</w:t>
                  </w:r>
                  <w:r>
                    <w:rPr>
                      <w:sz w:val="18"/>
                      <w:b/>
                      <w:color w:val="000000"/>
                    </w:rPr>
                    <w:t xml:space="preserve"> b) </w:t>
                  </w:r>
                  <w:r>
                    <w:rPr>
                      <w:sz w:val="18"/>
                      <w:b/>
                      <w:color w:val="000000"/>
                    </w:rPr>
                    <w:t>支持色温、亮度、对比度调节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111</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外设功能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摄像头物理隐私保护开关</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112</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传声器降噪</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113</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键盘背光</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114</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光驱功能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115</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存储功能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存储功能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通过</w:t>
                  </w:r>
                  <w:r>
                    <w:rPr>
                      <w:sz w:val="21"/>
                      <w:b/>
                      <w:color w:val="000000"/>
                    </w:rPr>
                    <w:t xml:space="preserve"> PCIe </w:t>
                  </w:r>
                  <w:r>
                    <w:rPr>
                      <w:sz w:val="21"/>
                      <w:b/>
                      <w:color w:val="000000"/>
                    </w:rPr>
                    <w:t>固态存储提供存储功能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1"/>
                      <w:b/>
                      <w:color w:val="000000"/>
                    </w:rPr>
                    <w:t>内置控制器固态存储加密</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固态存储宜通过内置控制器硬件支持加密，不依赖处理器，保障数据安全性，但不得影响存储性能。符合如下要求：</w:t>
                  </w:r>
                  <w:r>
                    <w:rPr>
                      <w:sz w:val="18"/>
                      <w:b/>
                      <w:color w:val="000000"/>
                    </w:rPr>
                    <w:t xml:space="preserve"> a) </w:t>
                  </w:r>
                  <w:r>
                    <w:rPr>
                      <w:sz w:val="18"/>
                      <w:b/>
                      <w:color w:val="000000"/>
                    </w:rPr>
                    <w:t>支持加密功能，且加密功能开启不影响</w:t>
                  </w:r>
                  <w:r>
                    <w:rPr>
                      <w:sz w:val="18"/>
                      <w:b/>
                      <w:color w:val="000000"/>
                    </w:rPr>
                    <w:t xml:space="preserve"> SSD </w:t>
                  </w:r>
                  <w:r>
                    <w:rPr>
                      <w:sz w:val="18"/>
                      <w:b/>
                      <w:color w:val="000000"/>
                    </w:rPr>
                    <w:t>读写性能；</w:t>
                  </w:r>
                  <w:r>
                    <w:rPr>
                      <w:sz w:val="18"/>
                      <w:b/>
                      <w:color w:val="000000"/>
                    </w:rPr>
                    <w:t xml:space="preserve"> b) </w:t>
                  </w:r>
                  <w:r>
                    <w:rPr>
                      <w:sz w:val="18"/>
                      <w:b/>
                      <w:color w:val="000000"/>
                    </w:rPr>
                    <w:t>支持固件加密、安全启动和安全升级；</w:t>
                  </w:r>
                  <w:r>
                    <w:rPr>
                      <w:sz w:val="18"/>
                      <w:b/>
                      <w:color w:val="000000"/>
                    </w:rPr>
                    <w:t xml:space="preserve"> c) </w:t>
                  </w:r>
                  <w:r>
                    <w:rPr>
                      <w:sz w:val="18"/>
                      <w:b/>
                      <w:color w:val="000000"/>
                    </w:rPr>
                    <w:t>支持数据的安全擦除；</w:t>
                  </w:r>
                  <w:r>
                    <w:rPr>
                      <w:sz w:val="18"/>
                      <w:b/>
                      <w:color w:val="000000"/>
                    </w:rPr>
                    <w:t xml:space="preserve"> d) </w:t>
                  </w:r>
                  <w:r>
                    <w:rPr>
                      <w:sz w:val="18"/>
                      <w:b/>
                      <w:color w:val="000000"/>
                    </w:rPr>
                    <w:t>宜具有存储状态指示灯，并可通过不同显示方式给出数据读写状态</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网络设备功能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网络功能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a)</w:t>
                  </w:r>
                  <w:r>
                    <w:rPr>
                      <w:sz w:val="21"/>
                      <w:b/>
                      <w:color w:val="000000"/>
                    </w:rPr>
                    <w:t>支持网络连接、网络开启</w:t>
                  </w:r>
                  <w:r>
                    <w:rPr>
                      <w:sz w:val="21"/>
                      <w:b/>
                      <w:color w:val="000000"/>
                    </w:rPr>
                    <w:t>/</w:t>
                  </w:r>
                  <w:r>
                    <w:rPr>
                      <w:sz w:val="21"/>
                      <w:b/>
                      <w:color w:val="000000"/>
                    </w:rPr>
                    <w:t>关闭功能；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无线网卡频段</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119</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物理开关</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120</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数据传输</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支持数据传输能力，并提供数据流量和异常日志记录功能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121</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蓝牙协议</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122</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有线网卡接口类型</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w:t>
                  </w:r>
                  <w:r>
                    <w:rPr>
                      <w:sz w:val="18"/>
                      <w:b/>
                      <w:color w:val="000000"/>
                    </w:rPr>
                    <w:t xml:space="preserve"> RJ45 </w:t>
                  </w:r>
                  <w:r>
                    <w:rPr>
                      <w:sz w:val="18"/>
                      <w:b/>
                      <w:color w:val="000000"/>
                    </w:rPr>
                    <w:t>接口，</w:t>
                  </w:r>
                  <w:r>
                    <w:rPr>
                      <w:sz w:val="21"/>
                      <w:b/>
                      <w:color w:val="FF0000"/>
                    </w:rPr>
                    <w:t>有线网卡接口类型、数据传输集成式</w:t>
                  </w:r>
                  <w:r>
                    <w:rPr>
                      <w:sz w:val="21"/>
                      <w:b/>
                      <w:color w:val="FF0000"/>
                    </w:rPr>
                    <w:t>RJ-45  10/100/1000M</w:t>
                  </w:r>
                  <w:r>
                    <w:rPr>
                      <w:sz w:val="21"/>
                      <w:b/>
                      <w:color w:val="FF0000"/>
                    </w:rPr>
                    <w:t>网卡</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123</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无线网卡标准</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124</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网络设备拆装</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无限制</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125</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外部接口功能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音频接口类型</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w:t>
                  </w:r>
                  <w:r>
                    <w:rPr>
                      <w:sz w:val="21"/>
                      <w:b/>
                      <w:color w:val="000000"/>
                    </w:rPr>
                    <w:t xml:space="preserve"> 3.5mm </w:t>
                  </w:r>
                  <w:r>
                    <w:rPr>
                      <w:sz w:val="21"/>
                      <w:b/>
                      <w:color w:val="000000"/>
                    </w:rPr>
                    <w:t>孔径</w:t>
                  </w:r>
                  <w:r>
                    <w:rPr>
                      <w:sz w:val="21"/>
                      <w:b/>
                      <w:color w:val="000000"/>
                    </w:rPr>
                    <w:t xml:space="preserve"> 3 </w:t>
                  </w:r>
                  <w:r>
                    <w:rPr>
                      <w:sz w:val="21"/>
                      <w:b/>
                      <w:color w:val="000000"/>
                    </w:rPr>
                    <w:t>段式</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w:t>
                  </w:r>
                  <w:r>
                    <w:rPr>
                      <w:sz w:val="21"/>
                      <w:b/>
                      <w:color w:val="000000"/>
                    </w:rPr>
                    <w:t>视频接口类型</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显卡支持</w:t>
                  </w:r>
                  <w:r>
                    <w:rPr>
                      <w:sz w:val="21"/>
                      <w:b/>
                      <w:color w:val="000000"/>
                    </w:rPr>
                    <w:t>HDMI</w:t>
                  </w:r>
                  <w:r>
                    <w:rPr>
                      <w:sz w:val="21"/>
                      <w:b/>
                      <w:color w:val="000000"/>
                    </w:rPr>
                    <w:t>、</w:t>
                  </w:r>
                  <w:r>
                    <w:rPr>
                      <w:sz w:val="21"/>
                      <w:b/>
                      <w:color w:val="000000"/>
                    </w:rPr>
                    <w:t>DP2</w:t>
                  </w:r>
                  <w:r>
                    <w:rPr>
                      <w:sz w:val="21"/>
                      <w:b/>
                      <w:color w:val="000000"/>
                    </w:rPr>
                    <w:t>种显示接口，并与显示器接口相匹配</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*HDMI</w:t>
                  </w:r>
                  <w:r>
                    <w:rPr>
                      <w:sz w:val="21"/>
                      <w:b/>
                      <w:color w:val="000000"/>
                    </w:rPr>
                    <w:t>、</w:t>
                  </w:r>
                  <w:r>
                    <w:rPr>
                      <w:sz w:val="21"/>
                      <w:b/>
                      <w:color w:val="000000"/>
                    </w:rPr>
                    <w:t>DP</w:t>
                  </w:r>
                  <w:r>
                    <w:rPr>
                      <w:sz w:val="21"/>
                      <w:b/>
                      <w:color w:val="000000"/>
                    </w:rPr>
                    <w:t>、</w:t>
                  </w:r>
                  <w:r>
                    <w:rPr>
                      <w:sz w:val="21"/>
                      <w:b/>
                      <w:color w:val="000000"/>
                    </w:rPr>
                    <w:t>Type-C</w:t>
                  </w:r>
                </w:p>
                <w:p>
                  <w:pPr>
                    <w:pStyle w:val="null3"/>
                    <w:jc w:val="center"/>
                  </w:pPr>
                  <w:r>
                    <w:rPr>
                      <w:sz w:val="21"/>
                      <w:b/>
                      <w:color w:val="000000"/>
                    </w:rPr>
                    <w:t>显示接口要求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w:t>
                  </w:r>
                  <w:r>
                    <w:rPr>
                      <w:sz w:val="21"/>
                      <w:b/>
                      <w:color w:val="000000"/>
                    </w:rPr>
                    <w:t xml:space="preserve"> HDMI </w:t>
                  </w:r>
                  <w:r>
                    <w:rPr>
                      <w:sz w:val="21"/>
                      <w:b/>
                      <w:color w:val="000000"/>
                    </w:rPr>
                    <w:t>支持音频和视频同步输出</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其他接口</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产品支持串行接口，可实现</w:t>
                  </w:r>
                  <w:r>
                    <w:rPr>
                      <w:sz w:val="21"/>
                      <w:b/>
                      <w:color w:val="000000"/>
                    </w:rPr>
                    <w:t xml:space="preserve">GB/T 6107 </w:t>
                  </w:r>
                  <w:r>
                    <w:rPr>
                      <w:sz w:val="21"/>
                      <w:b/>
                      <w:color w:val="000000"/>
                    </w:rPr>
                    <w:t>的功能；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129</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存储卡接口类型</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130</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电源功能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电源线适配能力</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电源适配器电线组件应符合</w:t>
                  </w:r>
                  <w:r>
                    <w:rPr>
                      <w:sz w:val="21"/>
                      <w:b/>
                      <w:color w:val="000000"/>
                    </w:rPr>
                    <w:t xml:space="preserve">GB/T15934 </w:t>
                  </w:r>
                  <w:r>
                    <w:rPr>
                      <w:sz w:val="21"/>
                      <w:b/>
                      <w:color w:val="000000"/>
                    </w:rPr>
                    <w:t>的要求，功率要求不低于</w:t>
                  </w:r>
                  <w:r>
                    <w:rPr>
                      <w:sz w:val="21"/>
                      <w:b/>
                      <w:color w:val="000000"/>
                    </w:rPr>
                    <w:t>400W</w:t>
                  </w:r>
                  <w:r>
                    <w:rPr>
                      <w:sz w:val="21"/>
                      <w:b/>
                      <w:color w:val="000000"/>
                    </w:rPr>
                    <w:t>，节能设计，要求和主机同品牌</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131</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操作</w:t>
                  </w:r>
                </w:p>
                <w:p>
                  <w:pPr>
                    <w:pStyle w:val="null3"/>
                    <w:jc w:val="center"/>
                  </w:pPr>
                  <w:r>
                    <w:rPr>
                      <w:sz w:val="21"/>
                      <w:b/>
                      <w:color w:val="000000"/>
                    </w:rPr>
                    <w:t>系统</w:t>
                  </w:r>
                </w:p>
                <w:p>
                  <w:pPr>
                    <w:pStyle w:val="null3"/>
                    <w:jc w:val="center"/>
                  </w:pPr>
                  <w:r>
                    <w:rPr>
                      <w:sz w:val="21"/>
                      <w:b/>
                      <w:color w:val="000000"/>
                    </w:rPr>
                    <w:t>及软</w:t>
                  </w:r>
                </w:p>
                <w:p>
                  <w:pPr>
                    <w:pStyle w:val="null3"/>
                    <w:jc w:val="center"/>
                  </w:pPr>
                  <w:r>
                    <w:rPr>
                      <w:sz w:val="21"/>
                      <w:b/>
                      <w:color w:val="000000"/>
                    </w:rPr>
                    <w:t>件功</w:t>
                  </w:r>
                </w:p>
                <w:p>
                  <w:pPr>
                    <w:pStyle w:val="null3"/>
                    <w:jc w:val="center"/>
                  </w:pPr>
                  <w:r>
                    <w:rPr>
                      <w:sz w:val="21"/>
                      <w:b/>
                      <w:color w:val="000000"/>
                    </w:rPr>
                    <w:t>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中文信息处理要求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 18030 </w:t>
                  </w:r>
                  <w:r>
                    <w:rPr>
                      <w:sz w:val="18"/>
                      <w:b/>
                      <w:color w:val="000000"/>
                    </w:rPr>
                    <w:t>的相关规定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132</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操作系统备份及还原功能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支持操作系统备份及还原功能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133</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固件备份还原能力</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支持备份及还原固件的功能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134</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操作系统及驱动升级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支持通过网络、闪存盘等方式对操作系统、驱动进行升级</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135</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固件升级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支持通过网络、闪存盘等方式对固件进行升级</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*BIOS</w:t>
                  </w:r>
                  <w:r>
                    <w:rPr>
                      <w:sz w:val="21"/>
                      <w:b/>
                      <w:color w:val="000000"/>
                    </w:rPr>
                    <w:t>支持关闭通讯接口</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w:t>
                  </w:r>
                  <w:r>
                    <w:rPr>
                      <w:sz w:val="18"/>
                      <w:b/>
                      <w:color w:val="000000"/>
                    </w:rPr>
                    <w:t xml:space="preserve">BIOS </w:t>
                  </w:r>
                  <w:r>
                    <w:rPr>
                      <w:sz w:val="18"/>
                      <w:b/>
                      <w:color w:val="000000"/>
                    </w:rPr>
                    <w:t>关闭以太网及</w:t>
                  </w:r>
                  <w:r>
                    <w:rPr>
                      <w:sz w:val="18"/>
                      <w:b/>
                      <w:color w:val="000000"/>
                    </w:rPr>
                    <w:t xml:space="preserve"> USB </w:t>
                  </w:r>
                  <w:r>
                    <w:rPr>
                      <w:sz w:val="18"/>
                      <w:b/>
                      <w:color w:val="000000"/>
                    </w:rPr>
                    <w:t>接口功能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固件查看信息</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支持查看固件版本、内存信息、主板信息、处理器信息和系统时间信息等功能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固件设置启动顺序</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支持设置启动顺序功能，并按照设置的启动顺序启动</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139</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固件设置口令</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支持设置口令、修改口令、验证口令功能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140</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固件设置网络引导</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支持网络引导启动和关闭功能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141</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8"/>
                    <w:jc w:val="center"/>
                  </w:pPr>
                  <w:r>
                    <w:rPr>
                      <w:sz w:val="21"/>
                      <w:b/>
                      <w:color w:val="000000"/>
                    </w:rPr>
                    <w:t>生物识别功能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指纹识别</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142</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人脸识别</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143</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静脉识别</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144</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8"/>
                    <w:jc w:val="center"/>
                  </w:pPr>
                  <w:r>
                    <w:rPr>
                      <w:sz w:val="21"/>
                      <w:b/>
                      <w:color w:val="000000"/>
                    </w:rPr>
                    <w:t>硬件加速功能</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NPU/GPU</w:t>
                  </w:r>
                  <w:r>
                    <w:rPr>
                      <w:sz w:val="21"/>
                      <w:b/>
                      <w:color w:val="000000"/>
                    </w:rPr>
                    <w:t>等</w:t>
                  </w:r>
                  <w:r>
                    <w:rPr>
                      <w:sz w:val="21"/>
                      <w:b/>
                      <w:color w:val="000000"/>
                    </w:rPr>
                    <w:t>AI</w:t>
                  </w:r>
                  <w:r>
                    <w:rPr>
                      <w:sz w:val="21"/>
                      <w:b/>
                      <w:color w:val="000000"/>
                    </w:rPr>
                    <w:t>加速模块</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145</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视频编解码加速模块</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影像处理加速模块</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存储设备</w:t>
                  </w:r>
                </w:p>
                <w:p>
                  <w:pPr>
                    <w:pStyle w:val="null3"/>
                    <w:jc w:val="center"/>
                  </w:pPr>
                  <w:r>
                    <w:rPr>
                      <w:sz w:val="21"/>
                      <w:b/>
                      <w:color w:val="000000"/>
                    </w:rPr>
                    <w:t>可靠性</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固态存储寿命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 xml:space="preserve">TBW </w:t>
                  </w:r>
                  <w:r>
                    <w:rPr>
                      <w:sz w:val="18"/>
                      <w:b/>
                      <w:color w:val="000000"/>
                    </w:rPr>
                    <w:t>≥</w:t>
                  </w:r>
                  <w:r>
                    <w:rPr>
                      <w:sz w:val="18"/>
                      <w:b/>
                      <w:color w:val="000000"/>
                    </w:rPr>
                    <w:t xml:space="preserve"> 80TB</w:t>
                  </w:r>
                  <w:r>
                    <w:rPr>
                      <w:sz w:val="18"/>
                      <w:b/>
                      <w:color w:val="000000"/>
                    </w:rPr>
                    <w:t>（条件：</w:t>
                  </w:r>
                  <w:r>
                    <w:rPr>
                      <w:sz w:val="18"/>
                      <w:b/>
                      <w:color w:val="000000"/>
                    </w:rPr>
                    <w:t xml:space="preserve">240GB </w:t>
                  </w:r>
                  <w:r>
                    <w:rPr>
                      <w:sz w:val="18"/>
                      <w:b/>
                      <w:color w:val="000000"/>
                    </w:rPr>
                    <w:t>硬盘容量）</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机械硬盘寿命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通电时间≥</w:t>
                  </w:r>
                  <w:r>
                    <w:rPr>
                      <w:sz w:val="18"/>
                      <w:b/>
                      <w:color w:val="000000"/>
                    </w:rPr>
                    <w:t xml:space="preserve">5 </w:t>
                  </w:r>
                  <w:r>
                    <w:rPr>
                      <w:sz w:val="18"/>
                      <w:b/>
                      <w:color w:val="000000"/>
                    </w:rPr>
                    <w:t>万小时</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149</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显示设备</w:t>
                  </w:r>
                </w:p>
                <w:p>
                  <w:pPr>
                    <w:pStyle w:val="null3"/>
                    <w:jc w:val="center"/>
                  </w:pPr>
                  <w:r>
                    <w:rPr>
                      <w:sz w:val="21"/>
                      <w:b/>
                      <w:color w:val="000000"/>
                    </w:rPr>
                    <w:t>可靠性</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显示屏屏幕失效点</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9813.2 </w:t>
                  </w:r>
                  <w:r>
                    <w:rPr>
                      <w:sz w:val="18"/>
                      <w:b/>
                      <w:color w:val="000000"/>
                    </w:rPr>
                    <w:t>的要求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150</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外设可靠性</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键盘按键寿命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1000 </w:t>
                  </w:r>
                  <w:r>
                    <w:rPr>
                      <w:sz w:val="18"/>
                      <w:b/>
                      <w:color w:val="000000"/>
                    </w:rPr>
                    <w:t>万次</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151</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鼠标按键寿命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500 </w:t>
                  </w:r>
                  <w:r>
                    <w:rPr>
                      <w:sz w:val="18"/>
                      <w:b/>
                      <w:color w:val="000000"/>
                    </w:rPr>
                    <w:t>万次</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152</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键盘鼠标线材寿命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键盘鼠标所用线材经±</w:t>
                  </w:r>
                  <w:r>
                    <w:rPr>
                      <w:sz w:val="18"/>
                      <w:b/>
                      <w:color w:val="000000"/>
                    </w:rPr>
                    <w:t xml:space="preserve">60 </w:t>
                  </w:r>
                  <w:r>
                    <w:rPr>
                      <w:sz w:val="18"/>
                      <w:b/>
                      <w:color w:val="000000"/>
                    </w:rPr>
                    <w:t>°弯折不低于</w:t>
                  </w:r>
                  <w:r>
                    <w:rPr>
                      <w:sz w:val="18"/>
                      <w:b/>
                      <w:color w:val="000000"/>
                    </w:rPr>
                    <w:t xml:space="preserve"> 3000 </w:t>
                  </w:r>
                  <w:r>
                    <w:rPr>
                      <w:sz w:val="18"/>
                      <w:b/>
                      <w:color w:val="000000"/>
                    </w:rPr>
                    <w:t>次，功能、外观完好</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153</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风扇寿命</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4 </w:t>
                  </w:r>
                  <w:r>
                    <w:rPr>
                      <w:sz w:val="18"/>
                      <w:b/>
                      <w:color w:val="000000"/>
                    </w:rPr>
                    <w:t>万小时</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154</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整机可靠性要求</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电磁兼容性要求的抗扰度</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9254.2 </w:t>
                  </w:r>
                  <w:r>
                    <w:rPr>
                      <w:sz w:val="18"/>
                      <w:b/>
                      <w:color w:val="000000"/>
                    </w:rPr>
                    <w:t>的规定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155</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环境条件要求的气候环境适应性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环境条件要求的振动适应性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环境条件要求的冲击适应性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环境条件要求的碰撞适应性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159</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环境条件要求的运输包装件跌落适应性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160</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*MTBF</w:t>
                  </w:r>
                  <w:r>
                    <w:rPr>
                      <w:sz w:val="21"/>
                      <w:b/>
                      <w:color w:val="000000"/>
                    </w:rPr>
                    <w:t>测试</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MTBF</w:t>
                  </w:r>
                  <w:r>
                    <w:rPr>
                      <w:sz w:val="18"/>
                      <w:b/>
                      <w:color w:val="000000"/>
                    </w:rPr>
                    <w:t>≥</w:t>
                  </w:r>
                  <w:r>
                    <w:rPr>
                      <w:sz w:val="18"/>
                      <w:b/>
                      <w:color w:val="000000"/>
                    </w:rPr>
                    <w:t>5</w:t>
                  </w:r>
                  <w:r>
                    <w:rPr>
                      <w:sz w:val="18"/>
                      <w:b/>
                      <w:color w:val="000000"/>
                    </w:rPr>
                    <w:t>万小时</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161</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兼容要求</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常用软件兼容</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支持流式软件、版式软件、浏览器、邮件客户端、解压软件、多媒体、图形图像处理等常用软件</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162</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数据库兼容</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w:t>
                  </w:r>
                  <w:r>
                    <w:rPr>
                      <w:sz w:val="21"/>
                      <w:b/>
                      <w:color w:val="000000"/>
                    </w:rPr>
                    <w:t xml:space="preserve"> 3 </w:t>
                  </w:r>
                  <w:r>
                    <w:rPr>
                      <w:sz w:val="21"/>
                      <w:b/>
                      <w:color w:val="000000"/>
                    </w:rPr>
                    <w:t>个及以上厂商的数据库产品</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163</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中间件兼容</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兼容</w:t>
                  </w:r>
                  <w:r>
                    <w:rPr>
                      <w:sz w:val="18"/>
                      <w:b/>
                      <w:color w:val="000000"/>
                    </w:rPr>
                    <w:t xml:space="preserve"> 3 </w:t>
                  </w:r>
                  <w:r>
                    <w:rPr>
                      <w:sz w:val="18"/>
                      <w:b/>
                      <w:color w:val="000000"/>
                    </w:rPr>
                    <w:t>个及以上厂商中间件产品</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164</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平台软件兼容</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兼容</w:t>
                  </w:r>
                  <w:r>
                    <w:rPr>
                      <w:sz w:val="18"/>
                      <w:b/>
                      <w:color w:val="000000"/>
                    </w:rPr>
                    <w:t xml:space="preserve"> 3 </w:t>
                  </w:r>
                  <w:r>
                    <w:rPr>
                      <w:sz w:val="18"/>
                      <w:b/>
                      <w:color w:val="000000"/>
                    </w:rPr>
                    <w:t>个及以上厂商云计算及大数据平台</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165</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8"/>
                    <w:jc w:val="center"/>
                  </w:pPr>
                  <w:r>
                    <w:rPr>
                      <w:sz w:val="21"/>
                      <w:b/>
                      <w:color w:val="000000"/>
                    </w:rPr>
                    <w:t>包装及运输要求</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包装</w:t>
                  </w:r>
                </w:p>
                <w:p>
                  <w:pPr>
                    <w:pStyle w:val="null3"/>
                    <w:jc w:val="center"/>
                  </w:pPr>
                  <w:r>
                    <w:rPr>
                      <w:sz w:val="21"/>
                      <w:b/>
                      <w:color w:val="000000"/>
                    </w:rPr>
                    <w:t>及运</w:t>
                  </w:r>
                </w:p>
                <w:p>
                  <w:pPr>
                    <w:pStyle w:val="null3"/>
                    <w:jc w:val="center"/>
                  </w:pPr>
                  <w:r>
                    <w:rPr>
                      <w:sz w:val="21"/>
                      <w:b/>
                      <w:color w:val="000000"/>
                    </w:rPr>
                    <w:t>输要</w:t>
                  </w:r>
                </w:p>
                <w:p>
                  <w:pPr>
                    <w:pStyle w:val="null3"/>
                    <w:jc w:val="center"/>
                  </w:pPr>
                  <w:r>
                    <w:rPr>
                      <w:sz w:val="21"/>
                      <w:b/>
                      <w:color w:val="000000"/>
                    </w:rPr>
                    <w:t>求</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标志、包装、运输和贮存</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和商品包装政府采购需求标准的相关规定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服务要求</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配置检查工具</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供应商提供经自检测试工具</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服务响应</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提供产品</w:t>
                  </w:r>
                  <w:r>
                    <w:rPr>
                      <w:sz w:val="21"/>
                      <w:b/>
                      <w:color w:val="000000"/>
                    </w:rPr>
                    <w:t xml:space="preserve">3 </w:t>
                  </w:r>
                  <w:r>
                    <w:rPr>
                      <w:sz w:val="21"/>
                      <w:b/>
                      <w:color w:val="000000"/>
                    </w:rPr>
                    <w:t>年维保及上门服务</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服务周期</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供应商三年上门服务（含键盘鼠标、显示器等所有部件）</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169</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预装操作系统</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预装符合桌面操作系统政府采购需求标准的正版操作系统</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170</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培训服务</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供应商提供培训材料、产品手册、培训视频等培训相关内容</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171</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典型问题解决手册</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供应商提供典型问题解决说明文档或视频</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172</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厂家升级软件与扩容服务</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供应商提供上门升级部件</w:t>
                  </w:r>
                  <w:r>
                    <w:rPr>
                      <w:sz w:val="18"/>
                      <w:b/>
                      <w:color w:val="000000"/>
                    </w:rPr>
                    <w:t>/</w:t>
                  </w:r>
                  <w:r>
                    <w:rPr>
                      <w:sz w:val="18"/>
                      <w:b/>
                      <w:color w:val="000000"/>
                    </w:rPr>
                    <w:t>软件的增值服务</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173</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整机质量服务要求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免费服务周期（含换件和维修）</w:t>
                  </w:r>
                  <w:r>
                    <w:rPr>
                      <w:sz w:val="21"/>
                      <w:b/>
                      <w:color w:val="000000"/>
                    </w:rPr>
                    <w:t xml:space="preserve">3 </w:t>
                  </w:r>
                  <w:r>
                    <w:rPr>
                      <w:sz w:val="21"/>
                      <w:b/>
                      <w:color w:val="000000"/>
                    </w:rPr>
                    <w:t>年，</w:t>
                  </w:r>
                  <w:r>
                    <w:rPr>
                      <w:sz w:val="21"/>
                      <w:b/>
                      <w:color w:val="FF0000"/>
                    </w:rPr>
                    <w:t>3</w:t>
                  </w:r>
                  <w:r>
                    <w:rPr>
                      <w:sz w:val="21"/>
                      <w:b/>
                      <w:color w:val="FF0000"/>
                    </w:rPr>
                    <w:t>年原厂免费上门服务（含显示器、鼠标、键盘等所有部件）</w:t>
                  </w:r>
                  <w:r>
                    <w:rPr>
                      <w:sz w:val="21"/>
                      <w:b/>
                      <w:color w:val="FF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174</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合格证书要求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供应商提供产品合格证和整机检测报告</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175</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开箱组装</w:t>
                  </w:r>
                  <w:r>
                    <w:rPr>
                      <w:sz w:val="21"/>
                      <w:b/>
                      <w:color w:val="000000"/>
                    </w:rPr>
                    <w:t>/</w:t>
                  </w:r>
                  <w:r>
                    <w:rPr>
                      <w:sz w:val="21"/>
                      <w:b/>
                      <w:color w:val="000000"/>
                    </w:rPr>
                    <w:t>使用指导要求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供应商提供开箱组装</w:t>
                  </w:r>
                  <w:r>
                    <w:rPr>
                      <w:sz w:val="18"/>
                      <w:b/>
                      <w:color w:val="000000"/>
                    </w:rPr>
                    <w:t>/</w:t>
                  </w:r>
                  <w:r>
                    <w:rPr>
                      <w:sz w:val="18"/>
                      <w:b/>
                      <w:color w:val="000000"/>
                    </w:rPr>
                    <w:t>使用指导</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176</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驱动下载服务要求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供应商提供驱动下载方式</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177</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兼容适配软件下载服务要求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供应商提供兼容适配软件下载渠道（网站）</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178</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跨架构平台应用兼容</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179</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4"/>
                    <w:jc w:val="center"/>
                  </w:pPr>
                  <w:r>
                    <w:rPr>
                      <w:sz w:val="21"/>
                      <w:b/>
                      <w:color w:val="000000"/>
                    </w:rPr>
                    <w:t>供应保障要求</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供应链合规性</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产品部件保障</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保障产品主要部件提供</w:t>
                  </w:r>
                  <w:r>
                    <w:rPr>
                      <w:sz w:val="18"/>
                      <w:b/>
                      <w:color w:val="000000"/>
                    </w:rPr>
                    <w:t xml:space="preserve"> 6 </w:t>
                  </w:r>
                  <w:r>
                    <w:rPr>
                      <w:sz w:val="18"/>
                      <w:b/>
                      <w:color w:val="000000"/>
                    </w:rPr>
                    <w:t>年的备件服务能力</w:t>
                  </w:r>
                  <w:r>
                    <w:rPr>
                      <w:sz w:val="18"/>
                      <w:b/>
                      <w:color w:val="000000"/>
                    </w:rPr>
                    <w:t>(</w:t>
                  </w:r>
                  <w:r>
                    <w:rPr>
                      <w:sz w:val="18"/>
                      <w:b/>
                      <w:color w:val="000000"/>
                    </w:rPr>
                    <w:t>自购买之日起</w:t>
                  </w:r>
                  <w:r>
                    <w:rPr>
                      <w:sz w:val="18"/>
                      <w:b/>
                      <w:color w:val="000000"/>
                    </w:rPr>
                    <w:t>)</w:t>
                  </w:r>
                  <w:r>
                    <w:rPr>
                      <w:sz w:val="18"/>
                      <w:b/>
                      <w:color w:val="000000"/>
                    </w:rPr>
                    <w:t>，或提供可兼容原设备的升级换代产品</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180</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4"/>
                    <w:jc w:val="center"/>
                  </w:pPr>
                  <w:r>
                    <w:rPr>
                      <w:sz w:val="21"/>
                      <w:b/>
                      <w:color w:val="000000"/>
                    </w:rPr>
                    <w:t>供应保障要求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供应链质量</w:t>
                  </w:r>
                  <w:r>
                    <w:rPr>
                      <w:sz w:val="21"/>
                      <w:b/>
                      <w:color w:val="000000"/>
                    </w:rPr>
                    <w:t>*</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抗干扰性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当产品部件出现供应风险时，供应商应通知采购人并提供风险应对方案确保产品的服务保障</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181</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4"/>
                    <w:jc w:val="center"/>
                  </w:pPr>
                  <w:r>
                    <w:rPr>
                      <w:sz w:val="21"/>
                      <w:b/>
                      <w:color w:val="000000"/>
                    </w:rPr>
                    <w:t>供应保障要求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供应能力证明</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供应商提供供应链稳定承诺书，确保产品的部件在产品服务周期内稳定供货</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182</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16"/>
                    <w:jc w:val="center"/>
                  </w:pPr>
                  <w:r>
                    <w:rPr>
                      <w:sz w:val="21"/>
                      <w:b/>
                      <w:color w:val="000000"/>
                    </w:rPr>
                    <w:t>*</w:t>
                  </w:r>
                  <w:r>
                    <w:rPr>
                      <w:sz w:val="21"/>
                      <w:b/>
                      <w:color w:val="000000"/>
                    </w:rPr>
                    <w:t>关键部件安全要求</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关键部件安全要求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和操作系统等关键部件应当符合安全可靠测评要求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183</w:t>
                  </w:r>
                </w:p>
              </w:tc>
              <w:tc>
                <w:tcPr>
                  <w:tcW w:type="dxa" w:w="79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整机安全性要求</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密码算法实现</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芯片应符合</w:t>
                  </w:r>
                  <w:r>
                    <w:rPr>
                      <w:sz w:val="21"/>
                      <w:b/>
                      <w:color w:val="000000"/>
                    </w:rPr>
                    <w:t>GM/T0008</w:t>
                  </w:r>
                  <w:r>
                    <w:rPr>
                      <w:sz w:val="21"/>
                      <w:b/>
                      <w:color w:val="000000"/>
                    </w:rPr>
                    <w:t>的相关规定，</w:t>
                  </w:r>
                  <w:r>
                    <w:rPr>
                      <w:sz w:val="21"/>
                      <w:b/>
                      <w:color w:val="000000"/>
                    </w:rPr>
                    <w:t>或芯片密码模块应符合</w:t>
                  </w:r>
                  <w:r>
                    <w:rPr>
                      <w:sz w:val="21"/>
                      <w:b/>
                      <w:color w:val="000000"/>
                    </w:rPr>
                    <w:t>GB/T 37092</w:t>
                  </w:r>
                  <w:r>
                    <w:rPr>
                      <w:sz w:val="21"/>
                      <w:b/>
                      <w:color w:val="000000"/>
                    </w:rPr>
                    <w:t>或</w:t>
                  </w:r>
                  <w:r>
                    <w:rPr>
                      <w:sz w:val="21"/>
                      <w:b/>
                      <w:color w:val="000000"/>
                    </w:rPr>
                    <w:t>GM/T0028</w:t>
                  </w:r>
                  <w:r>
                    <w:rPr>
                      <w:sz w:val="21"/>
                      <w:b/>
                      <w:color w:val="000000"/>
                    </w:rPr>
                    <w:t>的相关规定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8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184</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89"/>
                  <w:gridSpan w:val="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USB</w:t>
                  </w:r>
                  <w:r>
                    <w:rPr>
                      <w:sz w:val="21"/>
                      <w:b/>
                      <w:color w:val="000000"/>
                    </w:rPr>
                    <w:t>端口管控</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w:t>
                  </w:r>
                  <w:r>
                    <w:rPr>
                      <w:sz w:val="21"/>
                      <w:b/>
                      <w:color w:val="000000"/>
                    </w:rPr>
                    <w:t>USB</w:t>
                  </w:r>
                  <w:r>
                    <w:rPr>
                      <w:sz w:val="21"/>
                      <w:b/>
                      <w:color w:val="000000"/>
                    </w:rPr>
                    <w:t>端口管控</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185</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安全物理锁</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支持安全物理锁</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186</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信息安全基本要求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a) </w:t>
                  </w:r>
                  <w:r>
                    <w:rPr>
                      <w:sz w:val="21"/>
                      <w:b/>
                      <w:color w:val="000000"/>
                    </w:rPr>
                    <w:t>应符合</w:t>
                  </w:r>
                  <w:r>
                    <w:rPr>
                      <w:sz w:val="21"/>
                      <w:b/>
                      <w:color w:val="000000"/>
                    </w:rPr>
                    <w:t>GB/T 39276</w:t>
                  </w:r>
                  <w:r>
                    <w:rPr>
                      <w:sz w:val="21"/>
                      <w:b/>
                      <w:color w:val="000000"/>
                    </w:rPr>
                    <w:t>的</w:t>
                  </w:r>
                  <w:r>
                    <w:rPr>
                      <w:sz w:val="21"/>
                      <w:b/>
                      <w:color w:val="000000"/>
                    </w:rPr>
                    <w:t>5.2</w:t>
                  </w:r>
                  <w:r>
                    <w:rPr>
                      <w:sz w:val="21"/>
                      <w:b/>
                      <w:color w:val="000000"/>
                    </w:rPr>
                    <w:t>的规定；</w:t>
                  </w:r>
                  <w:r>
                    <w:rPr>
                      <w:sz w:val="21"/>
                      <w:b/>
                      <w:color w:val="000000"/>
                    </w:rPr>
                    <w:t xml:space="preserve"> b) </w:t>
                  </w:r>
                  <w:r>
                    <w:rPr>
                      <w:sz w:val="21"/>
                      <w:b/>
                      <w:color w:val="000000"/>
                    </w:rPr>
                    <w:t>生产厂商应建立漏洞跟踪表，保证</w:t>
                  </w:r>
                  <w:r>
                    <w:rPr>
                      <w:sz w:val="21"/>
                      <w:b/>
                      <w:color w:val="000000"/>
                    </w:rPr>
                    <w:t>产品版本涉及到的漏洞</w:t>
                  </w:r>
                  <w:r>
                    <w:rPr>
                      <w:sz w:val="21"/>
                      <w:b/>
                      <w:color w:val="000000"/>
                    </w:rPr>
                    <w:t>(</w:t>
                  </w:r>
                  <w:r>
                    <w:rPr>
                      <w:sz w:val="21"/>
                      <w:b/>
                      <w:color w:val="000000"/>
                    </w:rPr>
                    <w:t>如驱动程序</w:t>
                  </w:r>
                  <w:r>
                    <w:rPr>
                      <w:sz w:val="21"/>
                      <w:b/>
                      <w:color w:val="000000"/>
                    </w:rPr>
                    <w:t>等</w:t>
                  </w:r>
                  <w:r>
                    <w:rPr>
                      <w:sz w:val="21"/>
                      <w:b/>
                      <w:color w:val="000000"/>
                    </w:rPr>
                    <w:t>)</w:t>
                  </w:r>
                  <w:r>
                    <w:rPr>
                      <w:sz w:val="21"/>
                      <w:b/>
                      <w:color w:val="000000"/>
                    </w:rPr>
                    <w:t>可查看；</w:t>
                  </w:r>
                  <w:r>
                    <w:rPr>
                      <w:sz w:val="21"/>
                      <w:b/>
                      <w:color w:val="000000"/>
                    </w:rPr>
                    <w:t xml:space="preserve"> c) </w:t>
                  </w:r>
                  <w:r>
                    <w:rPr>
                      <w:sz w:val="21"/>
                      <w:b/>
                      <w:color w:val="000000"/>
                    </w:rPr>
                    <w:t>产品不得包含已知的恶意代码或漏</w:t>
                  </w:r>
                  <w:r>
                    <w:rPr>
                      <w:sz w:val="21"/>
                      <w:b/>
                      <w:color w:val="000000"/>
                    </w:rPr>
                    <w:t>洞，不存在未声明的指令、功能、接口</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187</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固件安全启动</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支持固件安全启动功能，固件启动过程</w:t>
                  </w:r>
                  <w:r>
                    <w:rPr>
                      <w:sz w:val="21"/>
                      <w:b/>
                      <w:color w:val="000000"/>
                    </w:rPr>
                    <w:t>中只有通过启动校验才能正常启动</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188</w:t>
                  </w:r>
                </w:p>
              </w:tc>
              <w:tc>
                <w:tcPr>
                  <w:tcW w:type="dxa" w:w="839"/>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89"/>
                  <w:gridSpan w:val="2"/>
                  <w:vMerge/>
                  <w:tcBorders>
                    <w:top w:val="none" w:color="000000" w:sz="4"/>
                    <w:left w:val="none" w:color="000000" w:sz="4"/>
                    <w:bottom w:val="single" w:color="000000" w:sz="4"/>
                    <w:right w:val="single" w:color="000000" w:sz="4"/>
                  </w:tcBorders>
                </w:tcPr>
                <w:p/>
              </w:tc>
              <w:tc>
                <w:tcPr>
                  <w:tcW w:type="dxa" w:w="9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限用物质的限量要求</w:t>
                  </w:r>
                </w:p>
              </w:tc>
              <w:tc>
                <w:tcPr>
                  <w:tcW w:type="dxa" w:w="302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符合</w:t>
                  </w:r>
                  <w:r>
                    <w:rPr>
                      <w:sz w:val="21"/>
                      <w:b/>
                      <w:color w:val="000000"/>
                    </w:rPr>
                    <w:t>GB/T 26572</w:t>
                  </w:r>
                  <w:r>
                    <w:rPr>
                      <w:sz w:val="21"/>
                      <w:b/>
                      <w:color w:val="000000"/>
                    </w:rPr>
                    <w:t>中规定</w:t>
                  </w:r>
                </w:p>
              </w:tc>
              <w:tc>
                <w:tcPr>
                  <w:tcW w:type="dxa" w:w="22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89"/>
                  <w:tcBorders>
                    <w:top w:val="none" w:color="000000" w:sz="4"/>
                    <w:left w:val="none" w:color="000000" w:sz="4"/>
                    <w:bottom w:val="none" w:color="000000" w:sz="4"/>
                    <w:right w:val="none" w:color="000000" w:sz="4"/>
                  </w:tcBorders>
                </w:tcPr>
                <w:p>
                  <w:pPr>
                    <w:pStyle w:val="null3"/>
                  </w:pPr>
                  <w:r>
                    <w:rPr/>
                    <w:t xml:space="preserve"> </w:t>
                  </w:r>
                </w:p>
              </w:tc>
              <w:tc>
                <w:tcPr>
                  <w:tcW w:type="dxa" w:w="45"/>
                  <w:tcBorders>
                    <w:top w:val="none" w:color="000000" w:sz="4"/>
                    <w:left w:val="none" w:color="000000" w:sz="4"/>
                    <w:bottom w:val="none" w:color="000000" w:sz="4"/>
                    <w:right w:val="none" w:color="000000" w:sz="4"/>
                  </w:tcBorders>
                </w:tcPr>
                <w:p>
                  <w:pPr>
                    <w:pStyle w:val="null3"/>
                  </w:pPr>
                  <w:r>
                    <w:rPr/>
                    <w:t xml:space="preserve"> </w:t>
                  </w:r>
                </w:p>
              </w:tc>
              <w:tc>
                <w:tcPr>
                  <w:tcW w:type="dxa" w:w="225"/>
                  <w:tcBorders>
                    <w:top w:val="none" w:color="000000" w:sz="4"/>
                    <w:left w:val="none" w:color="000000" w:sz="4"/>
                    <w:bottom w:val="none" w:color="000000" w:sz="4"/>
                    <w:right w:val="none" w:color="000000" w:sz="4"/>
                  </w:tcBorders>
                </w:tcPr>
                <w:p>
                  <w:pPr>
                    <w:pStyle w:val="null3"/>
                  </w:pPr>
                  <w:r>
                    <w:rPr/>
                    <w:t xml:space="preserve"> </w:t>
                  </w:r>
                </w:p>
              </w:tc>
              <w:tc>
                <w:tcPr>
                  <w:tcW w:type="dxa" w:w="569"/>
                  <w:tcBorders>
                    <w:top w:val="none" w:color="000000" w:sz="4"/>
                    <w:left w:val="none" w:color="000000" w:sz="4"/>
                    <w:bottom w:val="none" w:color="000000" w:sz="4"/>
                    <w:right w:val="none" w:color="000000" w:sz="4"/>
                  </w:tcBorders>
                </w:tcPr>
                <w:p>
                  <w:pPr>
                    <w:pStyle w:val="null3"/>
                  </w:pPr>
                  <w:r>
                    <w:rPr/>
                    <w:t xml:space="preserve"> </w:t>
                  </w:r>
                </w:p>
              </w:tc>
              <w:tc>
                <w:tcPr>
                  <w:tcW w:type="dxa" w:w="75"/>
                  <w:tcBorders>
                    <w:top w:val="none" w:color="000000" w:sz="4"/>
                    <w:left w:val="none" w:color="000000" w:sz="4"/>
                    <w:bottom w:val="none" w:color="000000" w:sz="4"/>
                    <w:right w:val="none" w:color="000000" w:sz="4"/>
                  </w:tcBorders>
                </w:tcPr>
                <w:p>
                  <w:pPr>
                    <w:pStyle w:val="null3"/>
                  </w:pPr>
                  <w:r>
                    <w:rPr/>
                    <w:t xml:space="preserve"> </w:t>
                  </w:r>
                </w:p>
              </w:tc>
              <w:tc>
                <w:tcPr>
                  <w:tcW w:type="dxa" w:w="614"/>
                  <w:tcBorders>
                    <w:top w:val="none" w:color="000000" w:sz="4"/>
                    <w:left w:val="none" w:color="000000" w:sz="4"/>
                    <w:bottom w:val="none" w:color="000000" w:sz="4"/>
                    <w:right w:val="none" w:color="000000" w:sz="4"/>
                  </w:tcBorders>
                </w:tcPr>
                <w:p>
                  <w:pPr>
                    <w:pStyle w:val="null3"/>
                  </w:pPr>
                  <w:r>
                    <w:rPr/>
                    <w:t xml:space="preserve"> </w:t>
                  </w:r>
                </w:p>
              </w:tc>
              <w:tc>
                <w:tcPr>
                  <w:tcW w:type="dxa" w:w="15"/>
                  <w:tcBorders>
                    <w:top w:val="none" w:color="000000" w:sz="4"/>
                    <w:left w:val="none" w:color="000000" w:sz="4"/>
                    <w:bottom w:val="none" w:color="000000" w:sz="4"/>
                    <w:right w:val="none" w:color="000000" w:sz="4"/>
                  </w:tcBorders>
                </w:tcPr>
                <w:p>
                  <w:pPr>
                    <w:pStyle w:val="null3"/>
                  </w:pPr>
                  <w:r>
                    <w:rPr/>
                    <w:t xml:space="preserve"> </w:t>
                  </w:r>
                </w:p>
              </w:tc>
              <w:tc>
                <w:tcPr>
                  <w:tcW w:type="dxa" w:w="973"/>
                  <w:tcBorders>
                    <w:top w:val="none" w:color="000000" w:sz="4"/>
                    <w:left w:val="none" w:color="000000" w:sz="4"/>
                    <w:bottom w:val="none" w:color="000000" w:sz="4"/>
                    <w:right w:val="none" w:color="000000" w:sz="4"/>
                  </w:tcBorders>
                </w:tcPr>
                <w:p>
                  <w:pPr>
                    <w:pStyle w:val="null3"/>
                  </w:pPr>
                  <w:r>
                    <w:rPr/>
                    <w:t xml:space="preserve"> </w:t>
                  </w:r>
                </w:p>
              </w:tc>
              <w:tc>
                <w:tcPr>
                  <w:tcW w:type="dxa" w:w="15"/>
                  <w:tcBorders>
                    <w:top w:val="none" w:color="000000" w:sz="4"/>
                    <w:left w:val="none" w:color="000000" w:sz="4"/>
                    <w:bottom w:val="none" w:color="000000" w:sz="4"/>
                    <w:right w:val="none" w:color="000000" w:sz="4"/>
                  </w:tcBorders>
                </w:tcPr>
                <w:p>
                  <w:pPr>
                    <w:pStyle w:val="null3"/>
                  </w:pPr>
                  <w:r>
                    <w:rPr/>
                    <w:t xml:space="preserve"> </w:t>
                  </w:r>
                </w:p>
              </w:tc>
              <w:tc>
                <w:tcPr>
                  <w:tcW w:type="dxa" w:w="3009"/>
                  <w:tcBorders>
                    <w:top w:val="none" w:color="000000" w:sz="4"/>
                    <w:left w:val="none" w:color="000000" w:sz="4"/>
                    <w:bottom w:val="none" w:color="000000" w:sz="4"/>
                    <w:right w:val="none" w:color="000000" w:sz="4"/>
                  </w:tcBorders>
                </w:tcPr>
                <w:p>
                  <w:pPr>
                    <w:pStyle w:val="null3"/>
                  </w:pPr>
                  <w:r>
                    <w:rPr/>
                    <w:t xml:space="preserve"> </w:t>
                  </w:r>
                </w:p>
              </w:tc>
              <w:tc>
                <w:tcPr>
                  <w:tcW w:type="dxa" w:w="105"/>
                  <w:tcBorders>
                    <w:top w:val="none" w:color="000000" w:sz="4"/>
                    <w:left w:val="none" w:color="000000" w:sz="4"/>
                    <w:bottom w:val="none" w:color="000000" w:sz="4"/>
                    <w:right w:val="none" w:color="000000" w:sz="4"/>
                  </w:tcBorders>
                </w:tcPr>
                <w:p>
                  <w:pPr>
                    <w:pStyle w:val="null3"/>
                  </w:pPr>
                  <w:r>
                    <w:rPr/>
                    <w:t xml:space="preserve"> </w:t>
                  </w:r>
                </w:p>
              </w:tc>
              <w:tc>
                <w:tcPr>
                  <w:tcW w:type="dxa" w:w="120"/>
                  <w:tcBorders>
                    <w:top w:val="none" w:color="000000" w:sz="4"/>
                    <w:left w:val="none" w:color="000000" w:sz="4"/>
                    <w:bottom w:val="none" w:color="000000" w:sz="4"/>
                    <w:right w:val="none" w:color="000000" w:sz="4"/>
                  </w:tcBorders>
                </w:tcPr>
                <w:p>
                  <w:pPr>
                    <w:pStyle w:val="null3"/>
                  </w:pPr>
                  <w:r>
                    <w:rPr/>
                    <w:t xml:space="preserve"> </w:t>
                  </w:r>
                </w:p>
              </w:tc>
            </w:tr>
          </w:tbl>
          <w:p>
            <w:pPr>
              <w:pStyle w:val="null3"/>
              <w:jc w:val="both"/>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4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图形工作站</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tbl>
            <w:tblPr>
              <w:tblBorders>
                <w:top w:val="none" w:color="000000" w:sz="4"/>
                <w:left w:val="none" w:color="000000" w:sz="4"/>
                <w:bottom w:val="none" w:color="000000" w:sz="4"/>
                <w:right w:val="none" w:color="000000" w:sz="4"/>
                <w:insideH w:val="none"/>
                <w:insideV w:val="none"/>
              </w:tblBorders>
            </w:tblPr>
            <w:tblGrid>
              <w:gridCol w:w="330"/>
              <w:gridCol w:w="75"/>
              <w:gridCol w:w="45"/>
              <w:gridCol w:w="495"/>
              <w:gridCol w:w="150"/>
              <w:gridCol w:w="105"/>
              <w:gridCol w:w="300"/>
              <w:gridCol w:w="255"/>
              <w:gridCol w:w="15"/>
              <w:gridCol w:w="615"/>
              <w:gridCol w:w="405"/>
              <w:gridCol w:w="15"/>
              <w:gridCol w:w="2431"/>
              <w:gridCol w:w="900"/>
              <w:gridCol w:w="15"/>
            </w:tblGrid>
            <w:tr>
              <w:tc>
                <w:tcPr>
                  <w:tcW w:type="dxa" w:w="3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15"/>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55"/>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885"/>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2851"/>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规格</w:t>
                  </w: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信息</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 xml:space="preserve">i5-13500  </w:t>
                  </w:r>
                  <w:r>
                    <w:rPr>
                      <w:sz w:val="21"/>
                    </w:rPr>
                    <w:t>缓存≥</w:t>
                  </w:r>
                  <w:r>
                    <w:rPr>
                      <w:sz w:val="21"/>
                    </w:rPr>
                    <w:t>24MB</w:t>
                  </w:r>
                  <w:r>
                    <w:rPr>
                      <w:sz w:val="21"/>
                    </w:rPr>
                    <w:t>，≥</w:t>
                  </w:r>
                  <w:r>
                    <w:rPr>
                      <w:sz w:val="21"/>
                    </w:rPr>
                    <w:t>14</w:t>
                  </w:r>
                  <w:r>
                    <w:rPr>
                      <w:sz w:val="21"/>
                    </w:rPr>
                    <w:t>核，≥</w:t>
                  </w:r>
                  <w:r>
                    <w:rPr>
                      <w:sz w:val="21"/>
                    </w:rPr>
                    <w:t>20</w:t>
                  </w:r>
                  <w:r>
                    <w:rPr>
                      <w:sz w:val="21"/>
                    </w:rPr>
                    <w:t>线程</w:t>
                  </w:r>
                  <w:r>
                    <w:rPr>
                      <w:sz w:val="21"/>
                    </w:rPr>
                    <w:t>;</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内存规格</w:t>
                  </w: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内存配置容量</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w:t>
                  </w:r>
                  <w:r>
                    <w:rPr>
                      <w:sz w:val="21"/>
                      <w:color w:val="000000"/>
                    </w:rPr>
                    <w:t xml:space="preserve">16GB </w:t>
                  </w:r>
                  <w:r>
                    <w:rPr>
                      <w:sz w:val="18"/>
                      <w:b/>
                      <w:color w:val="FF0000"/>
                    </w:rPr>
                    <w:t>DDR4 3200</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内存类型</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支持</w:t>
                  </w:r>
                  <w:r>
                    <w:rPr>
                      <w:sz w:val="21"/>
                    </w:rPr>
                    <w:t xml:space="preserve"> DDR4/LPDDR4/LPDDR4X </w:t>
                  </w:r>
                  <w:r>
                    <w:rPr>
                      <w:sz w:val="21"/>
                    </w:rPr>
                    <w:t>及以上内存类型</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内存条配置数量（板载内存不涉及）</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color w:val="000000"/>
                    </w:rPr>
                    <w:t>≥</w:t>
                  </w:r>
                  <w:r>
                    <w:rPr>
                      <w:sz w:val="21"/>
                      <w:color w:val="000000"/>
                    </w:rPr>
                    <w:t>1</w:t>
                  </w:r>
                  <w:r>
                    <w:rPr>
                      <w:sz w:val="21"/>
                      <w:color w:val="000000"/>
                    </w:rPr>
                    <w:t>条</w:t>
                  </w:r>
                  <w:r>
                    <w:rPr>
                      <w:sz w:val="18"/>
                      <w:b/>
                    </w:rPr>
                    <w:t>，最大可支持</w:t>
                  </w:r>
                  <w:r>
                    <w:rPr>
                      <w:sz w:val="18"/>
                      <w:b/>
                    </w:rPr>
                    <w:t>64GB</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主板规格</w:t>
                  </w: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主板集成模块</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集成资源扩展模块、计算处理模块、音频扩展模块等，主板的互联拓扑可通过处理器或交换电路实现</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主板支持的</w:t>
                  </w:r>
                  <w:r>
                    <w:rPr>
                      <w:sz w:val="21"/>
                      <w:b/>
                      <w:color w:val="000000"/>
                    </w:rPr>
                    <w:t>CPU</w:t>
                  </w:r>
                  <w:r>
                    <w:rPr>
                      <w:sz w:val="21"/>
                      <w:b/>
                      <w:color w:val="000000"/>
                    </w:rPr>
                    <w:t>和内存情况</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芯片组需与处理器匹配，</w:t>
                  </w:r>
                  <w:r>
                    <w:rPr>
                      <w:sz w:val="21"/>
                    </w:rPr>
                    <w:t xml:space="preserve">PCI Express </w:t>
                  </w:r>
                  <w:r>
                    <w:rPr>
                      <w:sz w:val="21"/>
                    </w:rPr>
                    <w:t>通道数的最大值不低于</w:t>
                  </w:r>
                  <w:r>
                    <w:rPr>
                      <w:sz w:val="21"/>
                    </w:rPr>
                    <w:t>24</w:t>
                  </w:r>
                  <w:r>
                    <w:rPr>
                      <w:sz w:val="21"/>
                    </w:rPr>
                    <w:t>，为保证品质，主板需带原厂统一标识（纸质标签无效）</w:t>
                  </w:r>
                  <w:r>
                    <w:rPr>
                      <w:sz w:val="21"/>
                    </w:rPr>
                    <w:t>,</w:t>
                  </w:r>
                  <w:r>
                    <w:rPr>
                      <w:sz w:val="21"/>
                    </w:rPr>
                    <w:t>具有不少于</w:t>
                  </w:r>
                  <w:r>
                    <w:rPr>
                      <w:sz w:val="21"/>
                    </w:rPr>
                    <w:t>2</w:t>
                  </w:r>
                  <w:r>
                    <w:rPr>
                      <w:sz w:val="21"/>
                    </w:rPr>
                    <w:t>个内存插槽，最大支持内存不低于</w:t>
                  </w:r>
                  <w:r>
                    <w:rPr>
                      <w:sz w:val="21"/>
                    </w:rPr>
                    <w:t>64G</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主板内置</w:t>
                  </w:r>
                  <w:r>
                    <w:rPr>
                      <w:sz w:val="21"/>
                      <w:b/>
                      <w:color w:val="000000"/>
                    </w:rPr>
                    <w:t>PCIe</w:t>
                  </w:r>
                  <w:r>
                    <w:rPr>
                      <w:sz w:val="21"/>
                      <w:b/>
                      <w:color w:val="000000"/>
                    </w:rPr>
                    <w:t>插槽数量</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支持数量≥</w:t>
                  </w:r>
                  <w:r>
                    <w:rPr>
                      <w:sz w:val="21"/>
                      <w:b/>
                      <w:color w:val="000000"/>
                    </w:rPr>
                    <w:t>3</w:t>
                  </w:r>
                  <w:r>
                    <w:rPr>
                      <w:sz w:val="21"/>
                      <w:b/>
                      <w:color w:val="000000"/>
                    </w:rPr>
                    <w:t>（其中至少包含一个</w:t>
                  </w:r>
                  <w:r>
                    <w:rPr>
                      <w:sz w:val="21"/>
                      <w:b/>
                      <w:color w:val="000000"/>
                    </w:rPr>
                    <w:t>PCI</w:t>
                  </w:r>
                  <w:r>
                    <w:rPr>
                      <w:sz w:val="21"/>
                      <w:b/>
                      <w:color w:val="000000"/>
                    </w:rPr>
                    <w:t>）</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特殊孔位及接口</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特殊孔位及接口</w:t>
                  </w:r>
                  <w:r>
                    <w:rPr>
                      <w:sz w:val="20"/>
                      <w:b/>
                    </w:rPr>
                    <w:t xml:space="preserve">  </w:t>
                  </w:r>
                  <w:r>
                    <w:rPr>
                      <w:sz w:val="21"/>
                      <w:b/>
                      <w:color w:val="000000"/>
                    </w:rPr>
                    <w:t>在计算机主板预留满足</w:t>
                  </w:r>
                  <w:r>
                    <w:rPr>
                      <w:sz w:val="21"/>
                      <w:b/>
                      <w:color w:val="000000"/>
                    </w:rPr>
                    <w:t xml:space="preserve"> USB3.0 </w:t>
                  </w:r>
                  <w:r>
                    <w:rPr>
                      <w:sz w:val="21"/>
                      <w:b/>
                      <w:color w:val="000000"/>
                    </w:rPr>
                    <w:t>数据传输规范的接口，工作电压</w:t>
                  </w:r>
                  <w:r>
                    <w:rPr>
                      <w:sz w:val="21"/>
                      <w:b/>
                      <w:color w:val="000000"/>
                    </w:rPr>
                    <w:t xml:space="preserve"> 5V</w:t>
                  </w:r>
                  <w:r>
                    <w:rPr>
                      <w:sz w:val="21"/>
                      <w:b/>
                      <w:color w:val="000000"/>
                    </w:rPr>
                    <w:t>，最大过电流应不小于</w:t>
                  </w:r>
                  <w:r>
                    <w:rPr>
                      <w:sz w:val="21"/>
                      <w:b/>
                      <w:color w:val="000000"/>
                    </w:rPr>
                    <w:t xml:space="preserve"> 3A</w:t>
                  </w:r>
                  <w:r>
                    <w:rPr>
                      <w:sz w:val="21"/>
                      <w:b/>
                      <w:color w:val="000000"/>
                    </w:rPr>
                    <w:t>；</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主板其他内置接口</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提供一个</w:t>
                  </w:r>
                  <w:r>
                    <w:rPr>
                      <w:sz w:val="21"/>
                      <w:b/>
                      <w:color w:val="000000"/>
                    </w:rPr>
                    <w:t xml:space="preserve"> SATA</w:t>
                  </w:r>
                  <w:r>
                    <w:rPr>
                      <w:sz w:val="21"/>
                      <w:b/>
                      <w:color w:val="000000"/>
                    </w:rPr>
                    <w:t>硬盘扩展位、配置</w:t>
                  </w:r>
                  <w:r>
                    <w:rPr>
                      <w:sz w:val="21"/>
                      <w:b/>
                      <w:color w:val="000000"/>
                    </w:rPr>
                    <w:t>2</w:t>
                  </w:r>
                  <w:r>
                    <w:rPr>
                      <w:sz w:val="21"/>
                      <w:b/>
                      <w:color w:val="000000"/>
                    </w:rPr>
                    <w:t>个</w:t>
                  </w:r>
                  <w:r>
                    <w:rPr>
                      <w:sz w:val="21"/>
                      <w:b/>
                      <w:color w:val="000000"/>
                    </w:rPr>
                    <w:t>M.2</w:t>
                  </w:r>
                  <w:r>
                    <w:rPr>
                      <w:sz w:val="21"/>
                      <w:b/>
                      <w:color w:val="000000"/>
                    </w:rPr>
                    <w:t>接口、及</w:t>
                  </w:r>
                  <w:r>
                    <w:rPr>
                      <w:sz w:val="21"/>
                      <w:b/>
                      <w:color w:val="000000"/>
                    </w:rPr>
                    <w:t>2</w:t>
                  </w:r>
                  <w:r>
                    <w:rPr>
                      <w:sz w:val="21"/>
                      <w:b/>
                      <w:color w:val="000000"/>
                    </w:rPr>
                    <w:t>个内置</w:t>
                  </w:r>
                  <w:r>
                    <w:rPr>
                      <w:sz w:val="21"/>
                      <w:b/>
                      <w:color w:val="000000"/>
                    </w:rPr>
                    <w:t xml:space="preserve">USB </w:t>
                  </w:r>
                  <w:r>
                    <w:rPr>
                      <w:sz w:val="21"/>
                      <w:b/>
                      <w:color w:val="000000"/>
                    </w:rPr>
                    <w:t>接口</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单内存插槽最大可支持容量（板载内存不涉及）</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32GB DDR4 3200</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5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主板规格</w:t>
                  </w: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内存插槽满配时提供的最高内存总容量</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64GB</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存储设备规格</w:t>
                  </w: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固态盘数量</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固态存储容量</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512GB M.2 PCIE SSD</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机械硬盘数量</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0</w:t>
                  </w:r>
                  <w:r>
                    <w:rPr>
                      <w:sz w:val="21"/>
                      <w:b/>
                      <w:color w:val="000000"/>
                    </w:rPr>
                    <w:t>个</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机械硬盘总容量</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机械硬盘转速</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机械硬盘接口协议</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机械硬盘形态</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19</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固态存储接口协议</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UFS/SATA/PCIe/NVMe/M.2 </w:t>
                  </w:r>
                  <w:r>
                    <w:rPr>
                      <w:sz w:val="21"/>
                      <w:b/>
                      <w:color w:val="000000"/>
                    </w:rPr>
                    <w:t>等类型接口协议</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20</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固态存储形态</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M.2</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21</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存储设备扩展盘位</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c>
                <w:tcPr>
                  <w:tcW w:type="dxa" w:w="915"/>
                  <w:gridSpan w:val="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22</w:t>
                  </w:r>
                </w:p>
              </w:tc>
              <w:tc>
                <w:tcPr>
                  <w:tcW w:type="dxa" w:w="6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55"/>
                  <w:gridSpan w:val="3"/>
                  <w:vMerge/>
                  <w:tcBorders>
                    <w:top w:val="none" w:color="000000" w:sz="4"/>
                    <w:left w:val="none" w:color="000000" w:sz="4"/>
                    <w:bottom w:val="single" w:color="000000" w:sz="4"/>
                    <w:right w:val="single" w:color="000000" w:sz="4"/>
                  </w:tcBorders>
                </w:tcPr>
                <w:p/>
              </w:tc>
              <w:tc>
                <w:tcPr>
                  <w:tcW w:type="dxa" w:w="88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存储设备其他参数要求</w:t>
                  </w:r>
                </w:p>
              </w:tc>
              <w:tc>
                <w:tcPr>
                  <w:tcW w:type="dxa" w:w="2851"/>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固态盘应符合</w:t>
                  </w:r>
                  <w:r>
                    <w:rPr>
                      <w:sz w:val="21"/>
                      <w:b/>
                      <w:color w:val="000000"/>
                    </w:rPr>
                    <w:t xml:space="preserve"> SJ/T 11654 </w:t>
                  </w:r>
                  <w:r>
                    <w:rPr>
                      <w:sz w:val="21"/>
                      <w:b/>
                      <w:color w:val="000000"/>
                    </w:rPr>
                    <w:t>相关规定；</w:t>
                  </w:r>
                </w:p>
              </w:tc>
              <w:tc>
                <w:tcPr>
                  <w:tcW w:type="dxa" w:w="915"/>
                  <w:gridSpan w:val="2"/>
                  <w:tcBorders>
                    <w:top w:val="none" w:color="000000" w:sz="4"/>
                    <w:left w:val="none" w:color="000000" w:sz="4"/>
                    <w:bottom w:val="single" w:color="000000" w:sz="4"/>
                    <w:right w:val="none" w:color="000000" w:sz="4"/>
                  </w:tcBorders>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显卡规格</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显卡类型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独立显卡</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独立显卡显存类型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配置独立显卡，显存类型</w:t>
                  </w:r>
                  <w:r>
                    <w:rPr>
                      <w:sz w:val="21"/>
                      <w:b/>
                      <w:color w:val="000000"/>
                    </w:rPr>
                    <w:t>GDDR6</w:t>
                  </w:r>
                  <w:r>
                    <w:rPr>
                      <w:sz w:val="21"/>
                      <w:b/>
                      <w:color w:val="000000"/>
                    </w:rPr>
                    <w:t>或以上</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独立显卡显存位宽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配置独立显卡，显存位宽≥</w:t>
                  </w:r>
                  <w:r>
                    <w:rPr>
                      <w:sz w:val="21"/>
                      <w:b/>
                      <w:color w:val="000000"/>
                    </w:rPr>
                    <w:t xml:space="preserve">128 </w:t>
                  </w:r>
                  <w:r>
                    <w:rPr>
                      <w:sz w:val="21"/>
                      <w:b/>
                      <w:color w:val="000000"/>
                    </w:rPr>
                    <w:t>位</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独立显卡显存容量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配置独立显卡，显存容量≥</w:t>
                  </w:r>
                  <w:r>
                    <w:rPr>
                      <w:sz w:val="21"/>
                      <w:b/>
                      <w:color w:val="000000"/>
                    </w:rPr>
                    <w:t>8GB</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独立显卡接口协议</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产品支持</w:t>
                  </w:r>
                  <w:r>
                    <w:rPr>
                      <w:sz w:val="21"/>
                      <w:b/>
                      <w:color w:val="000000"/>
                    </w:rPr>
                    <w:t xml:space="preserve"> PCIe </w:t>
                  </w:r>
                  <w:r>
                    <w:rPr>
                      <w:sz w:val="21"/>
                      <w:b/>
                      <w:color w:val="000000"/>
                    </w:rPr>
                    <w:t>协议版本大于等于</w:t>
                  </w:r>
                  <w:r>
                    <w:rPr>
                      <w:sz w:val="21"/>
                      <w:b/>
                      <w:color w:val="000000"/>
                    </w:rPr>
                    <w:t xml:space="preserve"> 2.0</w:t>
                  </w:r>
                  <w:r>
                    <w:rPr>
                      <w:sz w:val="21"/>
                      <w:b/>
                      <w:color w:val="000000"/>
                    </w:rPr>
                    <w:t>或</w:t>
                  </w:r>
                  <w:r>
                    <w:rPr>
                      <w:sz w:val="21"/>
                      <w:b/>
                      <w:color w:val="000000"/>
                    </w:rPr>
                    <w:t xml:space="preserve"> HT</w:t>
                  </w:r>
                  <w:r>
                    <w:rPr>
                      <w:sz w:val="21"/>
                      <w:b/>
                      <w:color w:val="000000"/>
                    </w:rPr>
                    <w:t>（</w:t>
                  </w:r>
                  <w:r>
                    <w:rPr>
                      <w:sz w:val="21"/>
                      <w:b/>
                      <w:color w:val="000000"/>
                    </w:rPr>
                    <w:t>HyperTransport</w:t>
                  </w:r>
                  <w:r>
                    <w:rPr>
                      <w:sz w:val="21"/>
                      <w:b/>
                      <w:color w:val="000000"/>
                    </w:rPr>
                    <w:t>）协议版本大于等于</w:t>
                  </w:r>
                  <w:r>
                    <w:rPr>
                      <w:sz w:val="21"/>
                      <w:b/>
                      <w:color w:val="000000"/>
                    </w:rPr>
                    <w:t xml:space="preserve"> 3.0 </w:t>
                  </w:r>
                  <w:r>
                    <w:rPr>
                      <w:sz w:val="21"/>
                      <w:b/>
                      <w:color w:val="000000"/>
                    </w:rPr>
                    <w:t>的独立显卡接口协议</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显示设备规格</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显示屏屏占比</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80%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显示屏分辨率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1920</w:t>
                  </w:r>
                  <w:r>
                    <w:rPr>
                      <w:sz w:val="21"/>
                      <w:b/>
                      <w:color w:val="000000"/>
                    </w:rPr>
                    <w:t>×</w:t>
                  </w:r>
                  <w:r>
                    <w:rPr>
                      <w:sz w:val="21"/>
                      <w:b/>
                      <w:color w:val="000000"/>
                    </w:rPr>
                    <w:t>1080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显示屏像素密度</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120 </w:t>
                  </w:r>
                  <w:r>
                    <w:rPr>
                      <w:sz w:val="18"/>
                      <w:b/>
                      <w:color w:val="000000"/>
                    </w:rPr>
                    <w:t>像素</w:t>
                  </w:r>
                  <w:r>
                    <w:rPr>
                      <w:sz w:val="18"/>
                      <w:b/>
                      <w:color w:val="000000"/>
                    </w:rPr>
                    <w:t>/</w:t>
                  </w:r>
                  <w:r>
                    <w:rPr>
                      <w:sz w:val="18"/>
                      <w:b/>
                      <w:color w:val="000000"/>
                    </w:rPr>
                    <w:t>英寸</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显示屏可视角度</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水平≥</w:t>
                  </w:r>
                  <w:r>
                    <w:rPr>
                      <w:sz w:val="18"/>
                      <w:b/>
                      <w:color w:val="000000"/>
                    </w:rPr>
                    <w:t xml:space="preserve">178 </w:t>
                  </w:r>
                  <w:r>
                    <w:rPr>
                      <w:sz w:val="18"/>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显示屏尺寸</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23.8 </w:t>
                  </w:r>
                  <w:r>
                    <w:rPr>
                      <w:sz w:val="18"/>
                      <w:b/>
                      <w:color w:val="000000"/>
                    </w:rPr>
                    <w:t>英寸</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显示屏屏幕比例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16:9 </w:t>
                  </w:r>
                  <w:r>
                    <w:rPr>
                      <w:sz w:val="21"/>
                      <w:b/>
                      <w:color w:val="000000"/>
                    </w:rPr>
                    <w:t>等</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显示器外观颜色</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黑色商务色系</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显示屏防蓝光</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显示屏支持低蓝光</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显示屏低频闪</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显示屏支持低闪屏</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显示屏防炫目</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显示屏支持防炫目</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外设规格</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传声器数量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39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鼠标数量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r>
                    <w:rPr>
                      <w:sz w:val="21"/>
                      <w:b/>
                      <w:color w:val="000000"/>
                    </w:rPr>
                    <w:t>个</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r>
                    <w:rPr>
                      <w:sz w:val="21"/>
                      <w:b/>
                      <w:color w:val="000000"/>
                    </w:rPr>
                    <w:t>个</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光驱数量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键盘按键数目</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104</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摄像头像素</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摄像头分辨率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扬声器功率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扬声器频率范围</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49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扬声器总谐波失真</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扬声器最大声压级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键盘连接方式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有线</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键盘键程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2.3mm ~ 4.0mm</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键盘按键压力</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按键压力应在</w:t>
                  </w:r>
                  <w:r>
                    <w:rPr>
                      <w:sz w:val="18"/>
                      <w:b/>
                      <w:color w:val="000000"/>
                    </w:rPr>
                    <w:t xml:space="preserve"> 0.54 N</w:t>
                  </w:r>
                  <w:r>
                    <w:rPr>
                      <w:sz w:val="18"/>
                      <w:b/>
                      <w:color w:val="000000"/>
                    </w:rPr>
                    <w:t>±</w:t>
                  </w:r>
                  <w:r>
                    <w:rPr>
                      <w:sz w:val="18"/>
                      <w:b/>
                      <w:color w:val="000000"/>
                    </w:rPr>
                    <w:t>0.14N</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有线键盘连接线</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1.5 </w:t>
                  </w:r>
                  <w:r>
                    <w:rPr>
                      <w:sz w:val="18"/>
                      <w:b/>
                      <w:color w:val="000000"/>
                    </w:rPr>
                    <w:t>米</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键盘颜色</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键盘其他要求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键盘外观结构、连接方式、主要功能、安全、电磁兼容性、可靠性应符合</w:t>
                  </w:r>
                  <w:r>
                    <w:rPr>
                      <w:sz w:val="18"/>
                      <w:b/>
                      <w:color w:val="000000"/>
                    </w:rPr>
                    <w:t xml:space="preserve">GB/T14081 </w:t>
                  </w:r>
                  <w:r>
                    <w:rPr>
                      <w:sz w:val="18"/>
                      <w:b/>
                      <w:color w:val="000000"/>
                    </w:rPr>
                    <w:t>的相关规定。</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鼠标连接方式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有线</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有线鼠标连接线</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1.5 </w:t>
                  </w:r>
                  <w:r>
                    <w:rPr>
                      <w:sz w:val="18"/>
                      <w:b/>
                      <w:color w:val="000000"/>
                    </w:rPr>
                    <w:t>米</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59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w:t>
                  </w:r>
                </w:p>
                <w:p>
                  <w:pPr>
                    <w:pStyle w:val="null3"/>
                    <w:jc w:val="center"/>
                  </w:pPr>
                  <w:r>
                    <w:rPr>
                      <w:sz w:val="21"/>
                      <w:b/>
                      <w:color w:val="000000"/>
                    </w:rPr>
                    <w:t>DPI</w:t>
                  </w:r>
                  <w:r>
                    <w:rPr>
                      <w:sz w:val="21"/>
                      <w:b/>
                      <w:color w:val="000000"/>
                    </w:rPr>
                    <w:t>分辨率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800~1600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鼠标颜色</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鼠标其他要求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鼠标参数应符合</w:t>
                  </w:r>
                  <w:r>
                    <w:rPr>
                      <w:sz w:val="21"/>
                      <w:b/>
                      <w:color w:val="000000"/>
                    </w:rPr>
                    <w:t xml:space="preserve">GB/T 26245 </w:t>
                  </w:r>
                  <w:r>
                    <w:rPr>
                      <w:sz w:val="21"/>
                      <w:b/>
                      <w:color w:val="000000"/>
                    </w:rPr>
                    <w:t>的相关规定。</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内置光驱</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支持内置光驱</w:t>
                  </w:r>
                  <w:r>
                    <w:rPr>
                      <w:sz w:val="18"/>
                      <w:b/>
                      <w:color w:val="000000"/>
                    </w:rPr>
                    <w:t>,</w:t>
                  </w:r>
                  <w:r>
                    <w:rPr>
                      <w:sz w:val="18"/>
                      <w:b/>
                      <w:color w:val="000000"/>
                    </w:rPr>
                    <w:t>此次不配置</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网络设备规格</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有线网卡数量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无线网卡及天线数量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单无线网卡天线数量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外部接口规格</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*USB</w:t>
                  </w:r>
                  <w:r>
                    <w:rPr>
                      <w:sz w:val="21"/>
                      <w:b/>
                      <w:color w:val="000000"/>
                    </w:rPr>
                    <w:t>接口数量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不少于</w:t>
                  </w:r>
                  <w:r>
                    <w:rPr>
                      <w:sz w:val="18"/>
                      <w:b/>
                      <w:color w:val="000000"/>
                    </w:rPr>
                    <w:t>8</w:t>
                  </w:r>
                  <w:r>
                    <w:rPr>
                      <w:sz w:val="18"/>
                      <w:b/>
                      <w:color w:val="000000"/>
                    </w:rPr>
                    <w:t>个</w:t>
                  </w:r>
                  <w:r>
                    <w:rPr>
                      <w:sz w:val="18"/>
                      <w:b/>
                      <w:color w:val="000000"/>
                    </w:rPr>
                    <w:t>USB</w:t>
                  </w:r>
                  <w:r>
                    <w:rPr>
                      <w:sz w:val="18"/>
                      <w:b/>
                      <w:color w:val="000000"/>
                    </w:rPr>
                    <w:t>接口</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USB</w:t>
                  </w:r>
                  <w:r>
                    <w:rPr>
                      <w:sz w:val="21"/>
                      <w:b/>
                      <w:color w:val="000000"/>
                    </w:rPr>
                    <w:t>母座接口要求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机箱前面板额外预留</w:t>
                  </w:r>
                  <w:r>
                    <w:rPr>
                      <w:sz w:val="18"/>
                      <w:b/>
                      <w:color w:val="000000"/>
                    </w:rPr>
                    <w:t xml:space="preserve">2 </w:t>
                  </w:r>
                  <w:r>
                    <w:rPr>
                      <w:sz w:val="18"/>
                      <w:b/>
                      <w:color w:val="000000"/>
                    </w:rPr>
                    <w:t>个专用</w:t>
                  </w:r>
                  <w:r>
                    <w:rPr>
                      <w:sz w:val="18"/>
                      <w:b/>
                      <w:color w:val="000000"/>
                    </w:rPr>
                    <w:t xml:space="preserve"> USB </w:t>
                  </w:r>
                  <w:r>
                    <w:rPr>
                      <w:sz w:val="18"/>
                      <w:b/>
                      <w:color w:val="000000"/>
                    </w:rPr>
                    <w:t>母座接口孔位和</w:t>
                  </w:r>
                  <w:r>
                    <w:rPr>
                      <w:sz w:val="18"/>
                      <w:b/>
                      <w:color w:val="000000"/>
                    </w:rPr>
                    <w:t xml:space="preserve"> 1 </w:t>
                  </w:r>
                  <w:r>
                    <w:rPr>
                      <w:sz w:val="18"/>
                      <w:b/>
                      <w:color w:val="000000"/>
                    </w:rPr>
                    <w:t>个通用</w:t>
                  </w:r>
                  <w:r>
                    <w:rPr>
                      <w:sz w:val="18"/>
                      <w:b/>
                      <w:color w:val="000000"/>
                    </w:rPr>
                    <w:t xml:space="preserve">A </w:t>
                  </w:r>
                  <w:r>
                    <w:rPr>
                      <w:sz w:val="18"/>
                      <w:b/>
                      <w:color w:val="000000"/>
                    </w:rPr>
                    <w:t>型</w:t>
                  </w:r>
                  <w:r>
                    <w:rPr>
                      <w:sz w:val="18"/>
                      <w:b/>
                      <w:color w:val="000000"/>
                    </w:rPr>
                    <w:t xml:space="preserve"> USB </w:t>
                  </w:r>
                  <w:r>
                    <w:rPr>
                      <w:sz w:val="18"/>
                      <w:b/>
                      <w:color w:val="000000"/>
                    </w:rPr>
                    <w:t>母座接口孔位</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视频接口数量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1</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69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音频接口数量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1</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存储卡接口数量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整机基础规格</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整机外观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a) </w:t>
                  </w:r>
                  <w:r>
                    <w:rPr>
                      <w:sz w:val="21"/>
                      <w:b/>
                      <w:color w:val="000000"/>
                    </w:rPr>
                    <w:t>产品表面不应有凹痕、划伤、裂缝、变形和污染等。表面涂层均匀，不应起泡、龟裂、脱落和磨损，金属零部件无锈蚀及其它机械损伤；</w:t>
                  </w:r>
                </w:p>
                <w:p>
                  <w:pPr>
                    <w:pStyle w:val="null3"/>
                    <w:jc w:val="center"/>
                  </w:pPr>
                  <w:r>
                    <w:rPr>
                      <w:sz w:val="21"/>
                      <w:b/>
                      <w:color w:val="000000"/>
                    </w:rPr>
                    <w:t xml:space="preserve">b) </w:t>
                  </w:r>
                  <w:r>
                    <w:rPr>
                      <w:sz w:val="21"/>
                      <w:b/>
                      <w:color w:val="000000"/>
                    </w:rPr>
                    <w:t>产品表面说明功能的文字、符号、标志，应清晰、端正、牢固；</w:t>
                  </w:r>
                </w:p>
                <w:p>
                  <w:pPr>
                    <w:pStyle w:val="null3"/>
                    <w:jc w:val="center"/>
                  </w:pPr>
                  <w:r>
                    <w:rPr>
                      <w:sz w:val="21"/>
                      <w:b/>
                      <w:color w:val="000000"/>
                    </w:rPr>
                    <w:t xml:space="preserve">c) </w:t>
                  </w:r>
                  <w:r>
                    <w:rPr>
                      <w:sz w:val="21"/>
                      <w:b/>
                      <w:color w:val="000000"/>
                    </w:rPr>
                    <w:t>宜在产品显著位置提供运行状态指示功能，并提供详细参数</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整机结构</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a) </w:t>
                  </w:r>
                  <w:r>
                    <w:rPr>
                      <w:sz w:val="21"/>
                      <w:b/>
                      <w:color w:val="000000"/>
                    </w:rPr>
                    <w:t>机箱应符合</w:t>
                  </w:r>
                  <w:r>
                    <w:rPr>
                      <w:sz w:val="21"/>
                      <w:b/>
                      <w:color w:val="000000"/>
                    </w:rPr>
                    <w:t xml:space="preserve"> GB/T 4208</w:t>
                  </w:r>
                  <w:r>
                    <w:rPr>
                      <w:sz w:val="21"/>
                      <w:b/>
                      <w:color w:val="000000"/>
                    </w:rPr>
                    <w:t>、</w:t>
                  </w:r>
                  <w:r>
                    <w:rPr>
                      <w:sz w:val="21"/>
                      <w:b/>
                      <w:color w:val="000000"/>
                    </w:rPr>
                    <w:t>GB/T 26246</w:t>
                  </w:r>
                  <w:r>
                    <w:rPr>
                      <w:sz w:val="21"/>
                      <w:b/>
                      <w:color w:val="000000"/>
                    </w:rPr>
                    <w:t>的相关规定；</w:t>
                  </w:r>
                </w:p>
                <w:p>
                  <w:pPr>
                    <w:pStyle w:val="null3"/>
                    <w:jc w:val="center"/>
                  </w:pPr>
                  <w:r>
                    <w:rPr>
                      <w:sz w:val="21"/>
                      <w:b/>
                      <w:color w:val="000000"/>
                    </w:rPr>
                    <w:t xml:space="preserve">b) </w:t>
                  </w:r>
                  <w:r>
                    <w:rPr>
                      <w:sz w:val="21"/>
                      <w:b/>
                      <w:color w:val="000000"/>
                    </w:rPr>
                    <w:t>产品内部结构应符合通用部件的安装需要；</w:t>
                  </w:r>
                </w:p>
                <w:p>
                  <w:pPr>
                    <w:pStyle w:val="null3"/>
                    <w:jc w:val="center"/>
                  </w:pPr>
                  <w:r>
                    <w:rPr>
                      <w:sz w:val="21"/>
                      <w:b/>
                      <w:color w:val="000000"/>
                    </w:rPr>
                    <w:t xml:space="preserve">c) </w:t>
                  </w:r>
                  <w:r>
                    <w:rPr>
                      <w:sz w:val="21"/>
                      <w:b/>
                      <w:color w:val="000000"/>
                    </w:rPr>
                    <w:t>所有输入输出接口应符合相关国家或行业标准；</w:t>
                  </w:r>
                </w:p>
                <w:p>
                  <w:pPr>
                    <w:pStyle w:val="null3"/>
                    <w:jc w:val="center"/>
                  </w:pPr>
                  <w:r>
                    <w:rPr>
                      <w:sz w:val="21"/>
                      <w:b/>
                      <w:color w:val="000000"/>
                    </w:rPr>
                    <w:t xml:space="preserve">d) </w:t>
                  </w:r>
                  <w:r>
                    <w:rPr>
                      <w:sz w:val="21"/>
                      <w:b/>
                      <w:color w:val="000000"/>
                    </w:rPr>
                    <w:t>产品零部件应紧固无松动，可插拔部件应可靠连接，开关、按钮和其它控制部件应灵活可靠，布局应方便使用；</w:t>
                  </w:r>
                </w:p>
                <w:p>
                  <w:pPr>
                    <w:pStyle w:val="null3"/>
                    <w:jc w:val="center"/>
                  </w:pPr>
                  <w:r>
                    <w:rPr>
                      <w:sz w:val="21"/>
                      <w:b/>
                      <w:color w:val="000000"/>
                    </w:rPr>
                    <w:t xml:space="preserve">e) </w:t>
                  </w:r>
                  <w:r>
                    <w:rPr>
                      <w:sz w:val="21"/>
                      <w:b/>
                      <w:color w:val="000000"/>
                    </w:rPr>
                    <w:t>所有</w:t>
                  </w:r>
                  <w:r>
                    <w:rPr>
                      <w:sz w:val="21"/>
                      <w:b/>
                      <w:color w:val="000000"/>
                    </w:rPr>
                    <w:t xml:space="preserve"> I/O </w:t>
                  </w:r>
                  <w:r>
                    <w:rPr>
                      <w:sz w:val="21"/>
                      <w:b/>
                      <w:color w:val="000000"/>
                    </w:rPr>
                    <w:t>连接器及需插接线缆的部位应预留用户操作空间，方便插拔解锁与插拔线缆；</w:t>
                  </w:r>
                </w:p>
                <w:p>
                  <w:pPr>
                    <w:pStyle w:val="null3"/>
                    <w:jc w:val="center"/>
                  </w:pPr>
                  <w:r>
                    <w:rPr>
                      <w:sz w:val="21"/>
                      <w:b/>
                      <w:color w:val="000000"/>
                    </w:rPr>
                    <w:t xml:space="preserve">f) </w:t>
                  </w:r>
                  <w:r>
                    <w:rPr>
                      <w:sz w:val="21"/>
                      <w:b/>
                      <w:color w:val="000000"/>
                    </w:rPr>
                    <w:t>可插拔板卡插槽部位应预留安装、拆卸或更换板卡空间；</w:t>
                  </w:r>
                </w:p>
                <w:p>
                  <w:pPr>
                    <w:pStyle w:val="null3"/>
                    <w:jc w:val="center"/>
                  </w:pPr>
                  <w:r>
                    <w:rPr>
                      <w:sz w:val="21"/>
                      <w:b/>
                      <w:color w:val="000000"/>
                    </w:rPr>
                    <w:t xml:space="preserve">g) </w:t>
                  </w:r>
                  <w:r>
                    <w:rPr>
                      <w:sz w:val="21"/>
                      <w:b/>
                      <w:color w:val="000000"/>
                    </w:rPr>
                    <w:t>拆装可能接触到的金属剪口或金属尖角部位应做防划伤处理，以保证安全；</w:t>
                  </w:r>
                </w:p>
                <w:p>
                  <w:pPr>
                    <w:pStyle w:val="null3"/>
                    <w:jc w:val="center"/>
                  </w:pPr>
                  <w:r>
                    <w:rPr>
                      <w:sz w:val="21"/>
                      <w:b/>
                      <w:color w:val="000000"/>
                    </w:rPr>
                    <w:t xml:space="preserve">h) </w:t>
                  </w:r>
                  <w:r>
                    <w:rPr>
                      <w:sz w:val="21"/>
                      <w:b/>
                      <w:color w:val="000000"/>
                    </w:rPr>
                    <w:t>整机内部走线应规整，固线结构和位置要合理可靠并做防割线处理，需便于理线和插拔操作，走线应不影响系统各主要部件组装和拆卸；</w:t>
                  </w:r>
                </w:p>
                <w:p>
                  <w:pPr>
                    <w:pStyle w:val="null3"/>
                    <w:jc w:val="center"/>
                  </w:pPr>
                  <w:r>
                    <w:rPr>
                      <w:sz w:val="21"/>
                      <w:b/>
                      <w:color w:val="000000"/>
                    </w:rPr>
                    <w:t xml:space="preserve">i) </w:t>
                  </w:r>
                  <w:r>
                    <w:rPr>
                      <w:sz w:val="21"/>
                      <w:b/>
                      <w:color w:val="000000"/>
                    </w:rPr>
                    <w:t>如需通过孔走线，过线孔应做防割线处理；</w:t>
                  </w:r>
                </w:p>
                <w:p>
                  <w:pPr>
                    <w:pStyle w:val="null3"/>
                    <w:jc w:val="center"/>
                  </w:pPr>
                  <w:r>
                    <w:rPr>
                      <w:sz w:val="21"/>
                      <w:b/>
                      <w:color w:val="000000"/>
                    </w:rPr>
                    <w:t xml:space="preserve">j) </w:t>
                  </w:r>
                  <w:r>
                    <w:rPr>
                      <w:sz w:val="21"/>
                      <w:b/>
                      <w:color w:val="000000"/>
                    </w:rPr>
                    <w:t>各插头位置和插拔方向应合理，应做到插拔无障碍设计，具备防呆设计，有效避免误操作；</w:t>
                  </w:r>
                </w:p>
                <w:p>
                  <w:pPr>
                    <w:pStyle w:val="null3"/>
                    <w:jc w:val="center"/>
                  </w:pPr>
                  <w:r>
                    <w:rPr>
                      <w:sz w:val="21"/>
                      <w:b/>
                      <w:color w:val="000000"/>
                    </w:rPr>
                    <w:t xml:space="preserve">k) </w:t>
                  </w:r>
                  <w:r>
                    <w:rPr>
                      <w:sz w:val="21"/>
                      <w:b/>
                      <w:color w:val="000000"/>
                    </w:rPr>
                    <w:t>各主要部件拆装无障碍，使用常规工具拆装，无特殊拆装工具需求；</w:t>
                  </w:r>
                </w:p>
                <w:p>
                  <w:pPr>
                    <w:pStyle w:val="null3"/>
                    <w:jc w:val="center"/>
                  </w:pPr>
                  <w:r>
                    <w:rPr>
                      <w:sz w:val="21"/>
                      <w:b/>
                      <w:color w:val="000000"/>
                    </w:rPr>
                    <w:t xml:space="preserve">l) </w:t>
                  </w:r>
                  <w:r>
                    <w:rPr>
                      <w:sz w:val="21"/>
                      <w:b/>
                      <w:color w:val="000000"/>
                    </w:rPr>
                    <w:t>各主要部件拆装步骤要少，各自拆装需避免相互干扰；</w:t>
                  </w:r>
                </w:p>
                <w:p>
                  <w:pPr>
                    <w:pStyle w:val="null3"/>
                    <w:jc w:val="center"/>
                  </w:pPr>
                  <w:r>
                    <w:rPr>
                      <w:sz w:val="21"/>
                      <w:b/>
                      <w:color w:val="000000"/>
                    </w:rPr>
                    <w:t xml:space="preserve">m) </w:t>
                  </w:r>
                  <w:r>
                    <w:rPr>
                      <w:sz w:val="21"/>
                      <w:b/>
                      <w:color w:val="000000"/>
                    </w:rPr>
                    <w:t>对于整机或零部件外表面为高亮面的，应粘贴保护膜，保护膜需粘贴牢固，运输、组装等过程不易脱落，撕下无残留；</w:t>
                  </w:r>
                </w:p>
                <w:p>
                  <w:pPr>
                    <w:pStyle w:val="null3"/>
                    <w:jc w:val="center"/>
                  </w:pPr>
                  <w:r>
                    <w:rPr>
                      <w:sz w:val="21"/>
                      <w:b/>
                      <w:color w:val="000000"/>
                    </w:rPr>
                    <w:t xml:space="preserve">n) </w:t>
                  </w:r>
                  <w:r>
                    <w:rPr>
                      <w:sz w:val="21"/>
                      <w:b/>
                      <w:color w:val="000000"/>
                    </w:rPr>
                    <w:t>其它要求应符合</w:t>
                  </w:r>
                  <w:r>
                    <w:rPr>
                      <w:sz w:val="21"/>
                      <w:b/>
                      <w:color w:val="000000"/>
                    </w:rPr>
                    <w:t xml:space="preserve"> GB/T 9813.1 </w:t>
                  </w:r>
                  <w:r>
                    <w:rPr>
                      <w:sz w:val="21"/>
                      <w:b/>
                      <w:color w:val="000000"/>
                    </w:rPr>
                    <w:t>的相关规定</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机箱防护要求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机箱应符合</w:t>
                  </w:r>
                  <w:r>
                    <w:rPr>
                      <w:sz w:val="21"/>
                      <w:b/>
                      <w:color w:val="000000"/>
                    </w:rPr>
                    <w:t xml:space="preserve"> GB/T 4208 </w:t>
                  </w:r>
                  <w:r>
                    <w:rPr>
                      <w:sz w:val="21"/>
                      <w:b/>
                      <w:color w:val="000000"/>
                    </w:rPr>
                    <w:t>中</w:t>
                  </w:r>
                  <w:r>
                    <w:rPr>
                      <w:sz w:val="21"/>
                      <w:b/>
                      <w:color w:val="000000"/>
                    </w:rPr>
                    <w:t xml:space="preserve"> IP5x </w:t>
                  </w:r>
                  <w:r>
                    <w:rPr>
                      <w:sz w:val="21"/>
                      <w:b/>
                      <w:color w:val="000000"/>
                    </w:rPr>
                    <w:t>防护要求</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整机噪音</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产品的声功率级应不超过</w:t>
                  </w:r>
                  <w:r>
                    <w:rPr>
                      <w:sz w:val="21"/>
                      <w:b/>
                      <w:color w:val="000000"/>
                    </w:rPr>
                    <w:t xml:space="preserve"> 1.75 Bel</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整机散热</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支持整机散热</w:t>
                  </w:r>
                </w:p>
                <w:p>
                  <w:pPr>
                    <w:pStyle w:val="null3"/>
                    <w:jc w:val="center"/>
                  </w:pP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整机能效限定值</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产品能效限定值应达到</w:t>
                  </w:r>
                  <w:r>
                    <w:rPr>
                      <w:sz w:val="21"/>
                      <w:b/>
                      <w:color w:val="000000"/>
                    </w:rPr>
                    <w:t xml:space="preserve"> GB 28380-2012</w:t>
                  </w:r>
                  <w:r>
                    <w:rPr>
                      <w:sz w:val="21"/>
                      <w:b/>
                      <w:color w:val="000000"/>
                    </w:rPr>
                    <w:t>标准中能效等级</w:t>
                  </w:r>
                  <w:r>
                    <w:rPr>
                      <w:sz w:val="21"/>
                      <w:b/>
                      <w:color w:val="000000"/>
                    </w:rPr>
                    <w:t xml:space="preserve"> 2 </w:t>
                  </w:r>
                  <w:r>
                    <w:rPr>
                      <w:sz w:val="21"/>
                      <w:b/>
                      <w:color w:val="000000"/>
                    </w:rPr>
                    <w:t>级及以上</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机身材质</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金属等</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机身颜色</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黑色</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产品规格</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机箱尺寸容量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机箱体积不小于</w:t>
                  </w:r>
                  <w:r>
                    <w:rPr>
                      <w:sz w:val="21"/>
                      <w:b/>
                      <w:color w:val="000000"/>
                    </w:rPr>
                    <w:t>15L</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性能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物理核数</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不低于</w:t>
                  </w:r>
                  <w:r>
                    <w:rPr>
                      <w:sz w:val="21"/>
                      <w:b/>
                      <w:color w:val="000000"/>
                    </w:rPr>
                    <w:t>14</w:t>
                  </w:r>
                  <w:r>
                    <w:rPr>
                      <w:sz w:val="21"/>
                      <w:b/>
                      <w:color w:val="000000"/>
                    </w:rPr>
                    <w:t>核</w:t>
                  </w:r>
                  <w:r>
                    <w:rPr>
                      <w:sz w:val="21"/>
                      <w:b/>
                      <w:color w:val="000000"/>
                    </w:rPr>
                    <w:t xml:space="preserve"> 20</w:t>
                  </w:r>
                  <w:r>
                    <w:rPr>
                      <w:sz w:val="21"/>
                      <w:b/>
                      <w:color w:val="000000"/>
                    </w:rPr>
                    <w:t>线程</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主频</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不低于主频</w:t>
                  </w:r>
                  <w:r>
                    <w:rPr>
                      <w:sz w:val="21"/>
                      <w:b/>
                      <w:color w:val="000000"/>
                    </w:rPr>
                    <w:t>2.5G</w:t>
                  </w:r>
                  <w:r>
                    <w:rPr>
                      <w:sz w:val="21"/>
                      <w:b/>
                      <w:color w:val="000000"/>
                    </w:rPr>
                    <w:t>，支持睿频技术，最大睿频</w:t>
                  </w:r>
                  <w:r>
                    <w:rPr>
                      <w:sz w:val="21"/>
                      <w:b/>
                      <w:color w:val="000000"/>
                    </w:rPr>
                    <w:t>4.8G</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末级缓存容量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18MB</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支持的内存最高速率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3200MT/s</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内存性能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内存读写速率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2666MT/s</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显卡性能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显示分辨率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7680x4320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显卡显示芯片核心频率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1755MHz</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显存等效频率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1600MT/s</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显卡可支持多屏同时显示数量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w:t>
                  </w:r>
                  <w:r>
                    <w:rPr>
                      <w:sz w:val="21"/>
                      <w:b/>
                      <w:color w:val="000000"/>
                    </w:rPr>
                    <w:t xml:space="preserve"> 2</w:t>
                  </w:r>
                  <w:r>
                    <w:rPr>
                      <w:sz w:val="21"/>
                      <w:b/>
                      <w:color w:val="000000"/>
                    </w:rPr>
                    <w:t>块屏幕同时显示，分辨率应不低于</w:t>
                  </w:r>
                  <w:r>
                    <w:rPr>
                      <w:sz w:val="21"/>
                      <w:b/>
                      <w:color w:val="000000"/>
                    </w:rPr>
                    <w:t xml:space="preserve"> 2560</w:t>
                  </w:r>
                  <w:r>
                    <w:rPr>
                      <w:sz w:val="21"/>
                      <w:b/>
                      <w:color w:val="000000"/>
                    </w:rPr>
                    <w:t>×</w:t>
                  </w:r>
                  <w:r>
                    <w:rPr>
                      <w:sz w:val="21"/>
                      <w:b/>
                      <w:color w:val="000000"/>
                    </w:rPr>
                    <w:t>1440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89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显示设备性能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显示屏刷新率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75Hz</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显示屏位深</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8 </w:t>
                  </w:r>
                  <w:r>
                    <w:rPr>
                      <w:sz w:val="18"/>
                      <w:b/>
                      <w:color w:val="000000"/>
                    </w:rPr>
                    <w:t>位</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57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显示屏色域</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72% NTSC</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显示屏色准</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 xml:space="preserve">E </w:t>
                  </w:r>
                  <w:r>
                    <w:rPr>
                      <w:sz w:val="21"/>
                      <w:b/>
                      <w:color w:val="000000"/>
                    </w:rPr>
                    <w:t>≤</w:t>
                  </w:r>
                  <w:r>
                    <w:rPr>
                      <w:sz w:val="21"/>
                      <w:b/>
                      <w:color w:val="000000"/>
                    </w:rPr>
                    <w:t xml:space="preserve"> 3</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显示屏响应时间</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5ms</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显示屏亮度</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250</w:t>
                  </w:r>
                  <w:r>
                    <w:rPr>
                      <w:sz w:val="21"/>
                      <w:b/>
                      <w:color w:val="000000"/>
                    </w:rPr>
                    <w:t>流明</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显示屏亮度一致性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70%</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96</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显示屏对比度</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1000:1</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97</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显示屏其他参数</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其它参数应符合</w:t>
                  </w:r>
                  <w:r>
                    <w:rPr>
                      <w:sz w:val="21"/>
                      <w:b/>
                      <w:color w:val="000000"/>
                    </w:rPr>
                    <w:t xml:space="preserve">SJ/T 11292 </w:t>
                  </w:r>
                  <w:r>
                    <w:rPr>
                      <w:sz w:val="21"/>
                      <w:b/>
                      <w:color w:val="000000"/>
                    </w:rPr>
                    <w:t>的相关规定，不小于</w:t>
                  </w:r>
                  <w:r>
                    <w:rPr>
                      <w:sz w:val="21"/>
                      <w:b/>
                      <w:color w:val="000000"/>
                    </w:rPr>
                    <w:t>23.8"</w:t>
                  </w:r>
                  <w:r>
                    <w:rPr>
                      <w:sz w:val="21"/>
                      <w:b/>
                      <w:color w:val="000000"/>
                    </w:rPr>
                    <w:t>宽屏</w:t>
                  </w:r>
                  <w:r>
                    <w:rPr>
                      <w:sz w:val="21"/>
                      <w:b/>
                      <w:color w:val="000000"/>
                    </w:rPr>
                    <w:t xml:space="preserve">16:9 </w:t>
                  </w:r>
                  <w:r>
                    <w:rPr>
                      <w:sz w:val="21"/>
                      <w:b/>
                      <w:color w:val="000000"/>
                    </w:rPr>
                    <w:t>低蓝光宽屏液晶显示器</w:t>
                  </w:r>
                  <w:r>
                    <w:rPr>
                      <w:sz w:val="21"/>
                      <w:b/>
                      <w:color w:val="000000"/>
                    </w:rPr>
                    <w:t>,DP,HDMI</w:t>
                  </w:r>
                  <w:r>
                    <w:rPr>
                      <w:sz w:val="21"/>
                      <w:b/>
                      <w:color w:val="000000"/>
                    </w:rPr>
                    <w:t>接口</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98</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网络设备性能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有线网卡速率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最高速率应不低于</w:t>
                  </w:r>
                  <w:r>
                    <w:rPr>
                      <w:sz w:val="18"/>
                      <w:b/>
                      <w:color w:val="000000"/>
                    </w:rPr>
                    <w:t xml:space="preserve"> 1000Mbps</w:t>
                  </w:r>
                  <w:r>
                    <w:rPr>
                      <w:sz w:val="18"/>
                      <w:b/>
                      <w:color w:val="000000"/>
                    </w:rPr>
                    <w:t>，应支持</w:t>
                  </w:r>
                  <w:r>
                    <w:rPr>
                      <w:sz w:val="18"/>
                      <w:b/>
                      <w:color w:val="000000"/>
                    </w:rPr>
                    <w:t>10Mbps</w:t>
                  </w:r>
                  <w:r>
                    <w:rPr>
                      <w:sz w:val="18"/>
                      <w:b/>
                      <w:color w:val="000000"/>
                    </w:rPr>
                    <w:t>、</w:t>
                  </w:r>
                  <w:r>
                    <w:rPr>
                      <w:sz w:val="18"/>
                      <w:b/>
                      <w:color w:val="000000"/>
                    </w:rPr>
                    <w:t>100Mbps</w:t>
                  </w:r>
                  <w:r>
                    <w:rPr>
                      <w:sz w:val="18"/>
                      <w:b/>
                      <w:color w:val="000000"/>
                    </w:rPr>
                    <w:t>、</w:t>
                  </w:r>
                  <w:r>
                    <w:rPr>
                      <w:sz w:val="18"/>
                      <w:b/>
                      <w:color w:val="000000"/>
                    </w:rPr>
                    <w:t xml:space="preserve">1000Mbps </w:t>
                  </w:r>
                  <w:r>
                    <w:rPr>
                      <w:sz w:val="18"/>
                      <w:b/>
                      <w:color w:val="000000"/>
                    </w:rPr>
                    <w:t>速率自适应</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99</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支持无线网络通信技术协议</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100</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性能要求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无线网卡频宽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101</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57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内存扩展接口</w:t>
                  </w:r>
                  <w:r>
                    <w:rPr>
                      <w:sz w:val="21"/>
                      <w:b/>
                      <w:color w:val="000000"/>
                    </w:rPr>
                    <w:t>(</w:t>
                  </w:r>
                  <w:r>
                    <w:rPr>
                      <w:sz w:val="21"/>
                      <w:b/>
                      <w:color w:val="000000"/>
                    </w:rPr>
                    <w:t>板载内存不涉及</w:t>
                  </w:r>
                  <w:r>
                    <w:rPr>
                      <w:sz w:val="21"/>
                      <w:b/>
                      <w:color w:val="000000"/>
                    </w:rPr>
                    <w:t>)</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2</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102</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存储扩展</w:t>
                  </w:r>
                </w:p>
                <w:p>
                  <w:pPr>
                    <w:pStyle w:val="null3"/>
                    <w:jc w:val="center"/>
                  </w:pPr>
                  <w:r>
                    <w:rPr>
                      <w:sz w:val="21"/>
                      <w:b/>
                      <w:color w:val="000000"/>
                    </w:rPr>
                    <w:t>接口</w:t>
                  </w:r>
                </w:p>
                <w:p>
                  <w:pPr>
                    <w:pStyle w:val="null3"/>
                    <w:jc w:val="center"/>
                  </w:pPr>
                  <w:r>
                    <w:rPr>
                      <w:sz w:val="21"/>
                      <w:b/>
                      <w:color w:val="000000"/>
                    </w:rPr>
                    <w:t>(</w:t>
                  </w:r>
                  <w:r>
                    <w:rPr>
                      <w:sz w:val="21"/>
                      <w:b/>
                      <w:color w:val="000000"/>
                    </w:rPr>
                    <w:t>板载存储不涉及</w:t>
                  </w:r>
                  <w:r>
                    <w:rPr>
                      <w:sz w:val="21"/>
                      <w:b/>
                      <w:color w:val="000000"/>
                    </w:rPr>
                    <w:t>)</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8"/>
                      <w:color w:val="000000"/>
                    </w:rPr>
                    <w:t>支持存储设备扩展接口≥</w:t>
                  </w:r>
                  <w:r>
                    <w:rPr>
                      <w:sz w:val="18"/>
                      <w:color w:val="000000"/>
                    </w:rPr>
                    <w:t xml:space="preserve">2 </w:t>
                  </w:r>
                  <w:r>
                    <w:rPr>
                      <w:sz w:val="18"/>
                      <w:color w:val="000000"/>
                    </w:rPr>
                    <w:t>个，如</w:t>
                  </w:r>
                  <w:r>
                    <w:rPr>
                      <w:sz w:val="18"/>
                      <w:color w:val="000000"/>
                    </w:rPr>
                    <w:t>UFS3.0</w:t>
                  </w:r>
                  <w:r>
                    <w:rPr>
                      <w:sz w:val="18"/>
                      <w:color w:val="000000"/>
                    </w:rPr>
                    <w:t>、</w:t>
                  </w:r>
                  <w:r>
                    <w:rPr>
                      <w:sz w:val="18"/>
                      <w:color w:val="000000"/>
                    </w:rPr>
                    <w:t>SATA3.0</w:t>
                  </w:r>
                  <w:r>
                    <w:rPr>
                      <w:sz w:val="18"/>
                      <w:color w:val="000000"/>
                    </w:rPr>
                    <w:t>、</w:t>
                  </w:r>
                  <w:r>
                    <w:rPr>
                      <w:sz w:val="18"/>
                      <w:color w:val="000000"/>
                    </w:rPr>
                    <w:t>SAS3.0</w:t>
                  </w:r>
                  <w:r>
                    <w:rPr>
                      <w:sz w:val="18"/>
                      <w:color w:val="000000"/>
                    </w:rPr>
                    <w:t>、</w:t>
                  </w:r>
                  <w:r>
                    <w:rPr>
                      <w:sz w:val="18"/>
                      <w:color w:val="000000"/>
                    </w:rPr>
                    <w:t xml:space="preserve">M.2 </w:t>
                  </w:r>
                  <w:r>
                    <w:rPr>
                      <w:sz w:val="18"/>
                      <w:color w:val="000000"/>
                    </w:rPr>
                    <w:t>等接口类型</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103</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w:t>
                  </w:r>
                </w:p>
                <w:p>
                  <w:pPr>
                    <w:pStyle w:val="null3"/>
                    <w:jc w:val="center"/>
                  </w:pPr>
                  <w:r>
                    <w:rPr>
                      <w:sz w:val="21"/>
                      <w:b/>
                      <w:color w:val="000000"/>
                    </w:rPr>
                    <w:t>USB</w:t>
                  </w:r>
                  <w:r>
                    <w:rPr>
                      <w:sz w:val="21"/>
                      <w:b/>
                      <w:color w:val="000000"/>
                    </w:rPr>
                    <w:t>瞬间过流保护</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支持主板</w:t>
                  </w:r>
                  <w:r>
                    <w:rPr>
                      <w:sz w:val="21"/>
                      <w:b/>
                      <w:color w:val="000000"/>
                    </w:rPr>
                    <w:t xml:space="preserve">USB </w:t>
                  </w:r>
                  <w:r>
                    <w:rPr>
                      <w:sz w:val="21"/>
                      <w:b/>
                      <w:color w:val="000000"/>
                    </w:rPr>
                    <w:t>瞬间过流保护功能</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104</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主板防静电保护</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支持主板防静电保护功能</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105</w:t>
                  </w:r>
                </w:p>
              </w:tc>
              <w:tc>
                <w:tcPr>
                  <w:tcW w:type="dxa" w:w="795"/>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57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*I/O</w:t>
                  </w:r>
                  <w:r>
                    <w:rPr>
                      <w:sz w:val="21"/>
                      <w:b/>
                      <w:color w:val="000000"/>
                    </w:rPr>
                    <w:t>接口功能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提供基于标准</w:t>
                  </w:r>
                  <w:r>
                    <w:rPr>
                      <w:sz w:val="21"/>
                      <w:b/>
                      <w:color w:val="000000"/>
                    </w:rPr>
                    <w:t xml:space="preserve"> USB </w:t>
                  </w:r>
                  <w:r>
                    <w:rPr>
                      <w:sz w:val="21"/>
                      <w:b/>
                      <w:color w:val="000000"/>
                    </w:rPr>
                    <w:t>接口外设连接功能、基于音频输入输出接口的音频扩展功能、基于</w:t>
                  </w:r>
                  <w:r>
                    <w:rPr>
                      <w:sz w:val="21"/>
                      <w:b/>
                      <w:color w:val="000000"/>
                    </w:rPr>
                    <w:t xml:space="preserve"> PCIe </w:t>
                  </w:r>
                  <w:r>
                    <w:rPr>
                      <w:sz w:val="21"/>
                      <w:b/>
                      <w:color w:val="000000"/>
                    </w:rPr>
                    <w:t>接口板卡扩展功能、基于</w:t>
                  </w:r>
                  <w:r>
                    <w:rPr>
                      <w:sz w:val="21"/>
                      <w:b/>
                      <w:color w:val="000000"/>
                    </w:rPr>
                    <w:t xml:space="preserve">HDMI/VGA/Type-C/DVI/DP </w:t>
                  </w:r>
                  <w:r>
                    <w:rPr>
                      <w:sz w:val="21"/>
                      <w:b/>
                      <w:color w:val="000000"/>
                    </w:rPr>
                    <w:t>等接口外</w:t>
                  </w:r>
                  <w:r>
                    <w:rPr>
                      <w:sz w:val="21"/>
                      <w:b/>
                      <w:color w:val="000000"/>
                    </w:rPr>
                    <w:t>接显示器扩展功能、基于存储接口对产品进行增容功能等。</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显卡外接显示接口</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显卡支持</w:t>
                  </w:r>
                  <w:r>
                    <w:rPr>
                      <w:sz w:val="21"/>
                      <w:b/>
                      <w:color w:val="000000"/>
                    </w:rPr>
                    <w:t>HDMI</w:t>
                  </w:r>
                  <w:r>
                    <w:rPr>
                      <w:sz w:val="21"/>
                      <w:b/>
                      <w:color w:val="000000"/>
                    </w:rPr>
                    <w:t>、</w:t>
                  </w:r>
                  <w:r>
                    <w:rPr>
                      <w:sz w:val="21"/>
                      <w:b/>
                      <w:color w:val="000000"/>
                    </w:rPr>
                    <w:t>DP2</w:t>
                  </w:r>
                  <w:r>
                    <w:rPr>
                      <w:sz w:val="21"/>
                      <w:b/>
                      <w:color w:val="000000"/>
                    </w:rPr>
                    <w:t>种显示接口，并与显示器接口相匹配</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独立显卡数量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1</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显示设备功能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显示器接口</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显示器应与显卡外接显示接口匹配</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109</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显示器支架</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显示器含显示器底座</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110</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显示器参数调节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 xml:space="preserve">a) </w:t>
                  </w:r>
                  <w:r>
                    <w:rPr>
                      <w:sz w:val="18"/>
                      <w:b/>
                      <w:color w:val="000000"/>
                    </w:rPr>
                    <w:t>提供</w:t>
                  </w:r>
                  <w:r>
                    <w:rPr>
                      <w:sz w:val="18"/>
                      <w:b/>
                      <w:color w:val="000000"/>
                    </w:rPr>
                    <w:t xml:space="preserve"> OSD </w:t>
                  </w:r>
                  <w:r>
                    <w:rPr>
                      <w:sz w:val="18"/>
                      <w:b/>
                      <w:color w:val="000000"/>
                    </w:rPr>
                    <w:t>选单按钮用于调节色彩、模式等；</w:t>
                  </w:r>
                  <w:r>
                    <w:rPr>
                      <w:sz w:val="18"/>
                      <w:b/>
                      <w:color w:val="000000"/>
                    </w:rPr>
                    <w:t xml:space="preserve"> b) </w:t>
                  </w:r>
                  <w:r>
                    <w:rPr>
                      <w:sz w:val="18"/>
                      <w:b/>
                      <w:color w:val="000000"/>
                    </w:rPr>
                    <w:t>支持色温、亮度、对比度调节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111</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外设功能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摄像头物理隐私保护开关</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112</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传声器降噪</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113</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键盘背光</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114</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光驱功能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115</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存储功能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存储功能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通过</w:t>
                  </w:r>
                  <w:r>
                    <w:rPr>
                      <w:sz w:val="21"/>
                      <w:b/>
                      <w:color w:val="000000"/>
                    </w:rPr>
                    <w:t xml:space="preserve"> PCIe </w:t>
                  </w:r>
                  <w:r>
                    <w:rPr>
                      <w:sz w:val="21"/>
                      <w:b/>
                      <w:color w:val="000000"/>
                    </w:rPr>
                    <w:t>固态存储提供存储功能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内置控制器固态存储加密</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固态存储宜通过内置控制器硬件支持加密，不依赖处理器，保障数据安全性，但不得影响存储性能。符合如下要求：</w:t>
                  </w:r>
                  <w:r>
                    <w:rPr>
                      <w:sz w:val="18"/>
                      <w:b/>
                      <w:color w:val="000000"/>
                    </w:rPr>
                    <w:t xml:space="preserve"> a) </w:t>
                  </w:r>
                  <w:r>
                    <w:rPr>
                      <w:sz w:val="18"/>
                      <w:b/>
                      <w:color w:val="000000"/>
                    </w:rPr>
                    <w:t>支持加密功能，且加密功能开启不影响</w:t>
                  </w:r>
                  <w:r>
                    <w:rPr>
                      <w:sz w:val="18"/>
                      <w:b/>
                      <w:color w:val="000000"/>
                    </w:rPr>
                    <w:t xml:space="preserve"> SSD </w:t>
                  </w:r>
                  <w:r>
                    <w:rPr>
                      <w:sz w:val="18"/>
                      <w:b/>
                      <w:color w:val="000000"/>
                    </w:rPr>
                    <w:t>读写性能；</w:t>
                  </w:r>
                  <w:r>
                    <w:rPr>
                      <w:sz w:val="18"/>
                      <w:b/>
                      <w:color w:val="000000"/>
                    </w:rPr>
                    <w:t xml:space="preserve"> b) </w:t>
                  </w:r>
                  <w:r>
                    <w:rPr>
                      <w:sz w:val="18"/>
                      <w:b/>
                      <w:color w:val="000000"/>
                    </w:rPr>
                    <w:t>支持固件加密、安全启动和安全升级；</w:t>
                  </w:r>
                  <w:r>
                    <w:rPr>
                      <w:sz w:val="18"/>
                      <w:b/>
                      <w:color w:val="000000"/>
                    </w:rPr>
                    <w:t xml:space="preserve"> c) </w:t>
                  </w:r>
                  <w:r>
                    <w:rPr>
                      <w:sz w:val="18"/>
                      <w:b/>
                      <w:color w:val="000000"/>
                    </w:rPr>
                    <w:t>支持数据的安全擦除；</w:t>
                  </w:r>
                  <w:r>
                    <w:rPr>
                      <w:sz w:val="18"/>
                      <w:b/>
                      <w:color w:val="000000"/>
                    </w:rPr>
                    <w:t xml:space="preserve"> d) </w:t>
                  </w:r>
                  <w:r>
                    <w:rPr>
                      <w:sz w:val="18"/>
                      <w:b/>
                      <w:color w:val="000000"/>
                    </w:rPr>
                    <w:t>宜具有存储状态指示灯，并可通过不同显示方式给出数据读写状态</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网络设备功能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网络功能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a)</w:t>
                  </w:r>
                  <w:r>
                    <w:rPr>
                      <w:sz w:val="21"/>
                      <w:b/>
                      <w:color w:val="000000"/>
                    </w:rPr>
                    <w:t>支持网络连接、网络开启</w:t>
                  </w:r>
                  <w:r>
                    <w:rPr>
                      <w:sz w:val="21"/>
                      <w:b/>
                      <w:color w:val="000000"/>
                    </w:rPr>
                    <w:t>/</w:t>
                  </w:r>
                  <w:r>
                    <w:rPr>
                      <w:sz w:val="21"/>
                      <w:b/>
                      <w:color w:val="000000"/>
                    </w:rPr>
                    <w:t>关闭功能；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无线网卡频段</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119</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物理开关</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120</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数据传输</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支持数据传输能力，并提供数据流量和异常日志记录功能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121</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蓝牙协议</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122</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有线网卡接口类型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w:t>
                  </w:r>
                  <w:r>
                    <w:rPr>
                      <w:sz w:val="18"/>
                      <w:b/>
                      <w:color w:val="000000"/>
                    </w:rPr>
                    <w:t xml:space="preserve"> R</w:t>
                  </w:r>
                  <w:r>
                    <w:rPr>
                      <w:sz w:val="18"/>
                      <w:b/>
                    </w:rPr>
                    <w:t xml:space="preserve">J45 </w:t>
                  </w:r>
                  <w:r>
                    <w:rPr>
                      <w:sz w:val="18"/>
                      <w:b/>
                    </w:rPr>
                    <w:t>接口，</w:t>
                  </w:r>
                  <w:r>
                    <w:rPr>
                      <w:sz w:val="21"/>
                      <w:b/>
                    </w:rPr>
                    <w:t>有线网卡接口类型、数据传输集成式</w:t>
                  </w:r>
                  <w:r>
                    <w:rPr>
                      <w:sz w:val="21"/>
                      <w:b/>
                    </w:rPr>
                    <w:t>RJ-45  10/100/1000M</w:t>
                  </w:r>
                  <w:r>
                    <w:rPr>
                      <w:sz w:val="21"/>
                      <w:b/>
                    </w:rPr>
                    <w:t>网卡</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123</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无线网卡标准</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124</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网络设备拆装</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无限制</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125</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外部接口功能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音频接口类型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w:t>
                  </w:r>
                  <w:r>
                    <w:rPr>
                      <w:sz w:val="21"/>
                      <w:b/>
                      <w:color w:val="000000"/>
                    </w:rPr>
                    <w:t xml:space="preserve"> 3.5mm </w:t>
                  </w:r>
                  <w:r>
                    <w:rPr>
                      <w:sz w:val="21"/>
                      <w:b/>
                      <w:color w:val="000000"/>
                    </w:rPr>
                    <w:t>孔径</w:t>
                  </w:r>
                  <w:r>
                    <w:rPr>
                      <w:sz w:val="21"/>
                      <w:b/>
                      <w:color w:val="000000"/>
                    </w:rPr>
                    <w:t xml:space="preserve"> 3 </w:t>
                  </w:r>
                  <w:r>
                    <w:rPr>
                      <w:sz w:val="21"/>
                      <w:b/>
                      <w:color w:val="000000"/>
                    </w:rPr>
                    <w:t>段式</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w:t>
                  </w:r>
                  <w:r>
                    <w:rPr>
                      <w:sz w:val="21"/>
                      <w:b/>
                      <w:color w:val="000000"/>
                    </w:rPr>
                    <w:t>视频接口类型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显卡支持</w:t>
                  </w:r>
                  <w:r>
                    <w:rPr>
                      <w:sz w:val="21"/>
                      <w:b/>
                      <w:color w:val="000000"/>
                    </w:rPr>
                    <w:t>HDMI</w:t>
                  </w:r>
                  <w:r>
                    <w:rPr>
                      <w:sz w:val="21"/>
                      <w:b/>
                      <w:color w:val="000000"/>
                    </w:rPr>
                    <w:t>、</w:t>
                  </w:r>
                  <w:r>
                    <w:rPr>
                      <w:sz w:val="21"/>
                      <w:b/>
                      <w:color w:val="000000"/>
                    </w:rPr>
                    <w:t>DP2</w:t>
                  </w:r>
                  <w:r>
                    <w:rPr>
                      <w:sz w:val="21"/>
                      <w:b/>
                      <w:color w:val="000000"/>
                    </w:rPr>
                    <w:t>种显示接口，并与显示器接口相匹配</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*HDMI</w:t>
                  </w:r>
                  <w:r>
                    <w:rPr>
                      <w:sz w:val="21"/>
                      <w:b/>
                      <w:color w:val="000000"/>
                    </w:rPr>
                    <w:t>、</w:t>
                  </w:r>
                  <w:r>
                    <w:rPr>
                      <w:sz w:val="21"/>
                      <w:b/>
                      <w:color w:val="000000"/>
                    </w:rPr>
                    <w:t>DP</w:t>
                  </w:r>
                  <w:r>
                    <w:rPr>
                      <w:sz w:val="21"/>
                      <w:b/>
                      <w:color w:val="000000"/>
                    </w:rPr>
                    <w:t>、</w:t>
                  </w:r>
                  <w:r>
                    <w:rPr>
                      <w:sz w:val="21"/>
                      <w:b/>
                      <w:color w:val="000000"/>
                    </w:rPr>
                    <w:t>Type-C</w:t>
                  </w:r>
                </w:p>
                <w:p>
                  <w:pPr>
                    <w:pStyle w:val="null3"/>
                    <w:jc w:val="center"/>
                  </w:pPr>
                  <w:r>
                    <w:rPr>
                      <w:sz w:val="21"/>
                      <w:b/>
                      <w:color w:val="000000"/>
                    </w:rPr>
                    <w:t>显示接口要求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w:t>
                  </w:r>
                  <w:r>
                    <w:rPr>
                      <w:sz w:val="21"/>
                      <w:b/>
                      <w:color w:val="000000"/>
                    </w:rPr>
                    <w:t xml:space="preserve"> HDMI </w:t>
                  </w:r>
                  <w:r>
                    <w:rPr>
                      <w:sz w:val="21"/>
                      <w:b/>
                      <w:color w:val="000000"/>
                    </w:rPr>
                    <w:t>支持音频和视频同步输出</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其他接口</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产品支持串行接口，可实现</w:t>
                  </w:r>
                  <w:r>
                    <w:rPr>
                      <w:sz w:val="21"/>
                      <w:b/>
                      <w:color w:val="000000"/>
                    </w:rPr>
                    <w:t xml:space="preserve">GB/T 6107 </w:t>
                  </w:r>
                  <w:r>
                    <w:rPr>
                      <w:sz w:val="21"/>
                      <w:b/>
                      <w:color w:val="000000"/>
                    </w:rPr>
                    <w:t>的功能；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129</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存储卡接口类型</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130</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电源功能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电源线适配能力</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电源适配器电线组件应符合</w:t>
                  </w:r>
                  <w:r>
                    <w:rPr>
                      <w:sz w:val="21"/>
                      <w:b/>
                      <w:color w:val="000000"/>
                    </w:rPr>
                    <w:t xml:space="preserve">GB/T15934 </w:t>
                  </w:r>
                  <w:r>
                    <w:rPr>
                      <w:sz w:val="21"/>
                      <w:b/>
                      <w:color w:val="000000"/>
                    </w:rPr>
                    <w:t>的要求，功率要求不低于</w:t>
                  </w:r>
                  <w:r>
                    <w:rPr>
                      <w:sz w:val="21"/>
                      <w:b/>
                      <w:color w:val="000000"/>
                    </w:rPr>
                    <w:t>400W</w:t>
                  </w:r>
                  <w:r>
                    <w:rPr>
                      <w:sz w:val="21"/>
                      <w:b/>
                      <w:color w:val="000000"/>
                    </w:rPr>
                    <w:t>，节能设计，要求和主机同品牌</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131</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操作</w:t>
                  </w:r>
                </w:p>
                <w:p>
                  <w:pPr>
                    <w:pStyle w:val="null3"/>
                    <w:jc w:val="center"/>
                  </w:pPr>
                  <w:r>
                    <w:rPr>
                      <w:sz w:val="21"/>
                      <w:b/>
                      <w:color w:val="000000"/>
                    </w:rPr>
                    <w:t>系统</w:t>
                  </w:r>
                </w:p>
                <w:p>
                  <w:pPr>
                    <w:pStyle w:val="null3"/>
                    <w:jc w:val="center"/>
                  </w:pPr>
                  <w:r>
                    <w:rPr>
                      <w:sz w:val="21"/>
                      <w:b/>
                      <w:color w:val="000000"/>
                    </w:rPr>
                    <w:t>及软</w:t>
                  </w:r>
                </w:p>
                <w:p>
                  <w:pPr>
                    <w:pStyle w:val="null3"/>
                    <w:jc w:val="center"/>
                  </w:pPr>
                  <w:r>
                    <w:rPr>
                      <w:sz w:val="21"/>
                      <w:b/>
                      <w:color w:val="000000"/>
                    </w:rPr>
                    <w:t>件功</w:t>
                  </w:r>
                </w:p>
                <w:p>
                  <w:pPr>
                    <w:pStyle w:val="null3"/>
                    <w:jc w:val="center"/>
                  </w:pPr>
                  <w:r>
                    <w:rPr>
                      <w:sz w:val="21"/>
                      <w:b/>
                      <w:color w:val="000000"/>
                    </w:rPr>
                    <w:t>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中文信息处理要求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 18030 </w:t>
                  </w:r>
                  <w:r>
                    <w:rPr>
                      <w:sz w:val="18"/>
                      <w:b/>
                      <w:color w:val="000000"/>
                    </w:rPr>
                    <w:t>的相关规定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132</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操作系统备份及还原功能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支持操作系统备份及还原功能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133</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固件备份还原能力</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支持备份及还原固件的功能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134</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操作系统及驱动升级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支持通过网络、闪存盘等方式对操作系统、驱动进行升级</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135</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固件升级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支持通过网络、闪存盘等方式对固件进行升级</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*BIOS</w:t>
                  </w:r>
                  <w:r>
                    <w:rPr>
                      <w:sz w:val="21"/>
                      <w:b/>
                      <w:color w:val="000000"/>
                    </w:rPr>
                    <w:t>支持关闭通讯接口</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w:t>
                  </w:r>
                  <w:r>
                    <w:rPr>
                      <w:sz w:val="18"/>
                      <w:b/>
                      <w:color w:val="000000"/>
                    </w:rPr>
                    <w:t xml:space="preserve">BIOS </w:t>
                  </w:r>
                  <w:r>
                    <w:rPr>
                      <w:sz w:val="18"/>
                      <w:b/>
                      <w:color w:val="000000"/>
                    </w:rPr>
                    <w:t>关闭以太网及</w:t>
                  </w:r>
                  <w:r>
                    <w:rPr>
                      <w:sz w:val="18"/>
                      <w:b/>
                      <w:color w:val="000000"/>
                    </w:rPr>
                    <w:t xml:space="preserve"> USB </w:t>
                  </w:r>
                  <w:r>
                    <w:rPr>
                      <w:sz w:val="18"/>
                      <w:b/>
                      <w:color w:val="000000"/>
                    </w:rPr>
                    <w:t>接口功能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固件查看信息</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支持查看固件版本、内存信息、主板信息、处理器信息和系统时间信息等功能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固件设置启动顺序</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支持设置启动顺序功能，并按照设置的启动顺序启动</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139</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固件设置口令</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支持设置口令、修改口令、验证口令功能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140</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固件设置网络引导</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支持网络引导启动和关闭功能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141</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生物识别功能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指纹识别</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142</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人脸识别</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143</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静脉识别</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144</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硬件加速功能</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NPU/GPU</w:t>
                  </w:r>
                  <w:r>
                    <w:rPr>
                      <w:sz w:val="21"/>
                      <w:b/>
                      <w:color w:val="000000"/>
                    </w:rPr>
                    <w:t>等</w:t>
                  </w:r>
                  <w:r>
                    <w:rPr>
                      <w:sz w:val="21"/>
                      <w:b/>
                      <w:color w:val="000000"/>
                    </w:rPr>
                    <w:t>AI</w:t>
                  </w:r>
                  <w:r>
                    <w:rPr>
                      <w:sz w:val="21"/>
                      <w:b/>
                      <w:color w:val="000000"/>
                    </w:rPr>
                    <w:t>加速模块</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145</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视频编解码加速模块</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功能要求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影像处理加速模块</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存储设备</w:t>
                  </w:r>
                </w:p>
                <w:p>
                  <w:pPr>
                    <w:pStyle w:val="null3"/>
                    <w:jc w:val="center"/>
                  </w:pPr>
                  <w:r>
                    <w:rPr>
                      <w:sz w:val="21"/>
                      <w:b/>
                      <w:color w:val="000000"/>
                    </w:rPr>
                    <w:t>可靠性</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固态存储寿命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 xml:space="preserve">TBW </w:t>
                  </w:r>
                  <w:r>
                    <w:rPr>
                      <w:sz w:val="18"/>
                      <w:b/>
                      <w:color w:val="000000"/>
                    </w:rPr>
                    <w:t>≥</w:t>
                  </w:r>
                  <w:r>
                    <w:rPr>
                      <w:sz w:val="18"/>
                      <w:b/>
                      <w:color w:val="000000"/>
                    </w:rPr>
                    <w:t xml:space="preserve"> 80TB</w:t>
                  </w:r>
                  <w:r>
                    <w:rPr>
                      <w:sz w:val="18"/>
                      <w:b/>
                      <w:color w:val="000000"/>
                    </w:rPr>
                    <w:t>（条件：</w:t>
                  </w:r>
                  <w:r>
                    <w:rPr>
                      <w:sz w:val="18"/>
                      <w:b/>
                      <w:color w:val="000000"/>
                    </w:rPr>
                    <w:t xml:space="preserve">240GB </w:t>
                  </w:r>
                  <w:r>
                    <w:rPr>
                      <w:sz w:val="18"/>
                      <w:b/>
                      <w:color w:val="000000"/>
                    </w:rPr>
                    <w:t>硬盘容量）</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机械硬盘寿命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通电时间≥</w:t>
                  </w:r>
                  <w:r>
                    <w:rPr>
                      <w:sz w:val="18"/>
                      <w:b/>
                      <w:color w:val="000000"/>
                    </w:rPr>
                    <w:t xml:space="preserve">5 </w:t>
                  </w:r>
                  <w:r>
                    <w:rPr>
                      <w:sz w:val="18"/>
                      <w:b/>
                      <w:color w:val="000000"/>
                    </w:rPr>
                    <w:t>万小时</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149</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显示设备</w:t>
                  </w:r>
                </w:p>
                <w:p>
                  <w:pPr>
                    <w:pStyle w:val="null3"/>
                    <w:jc w:val="center"/>
                  </w:pPr>
                  <w:r>
                    <w:rPr>
                      <w:sz w:val="21"/>
                      <w:b/>
                      <w:color w:val="000000"/>
                    </w:rPr>
                    <w:t>可靠性</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显示屏屏幕失效点</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9813.2 </w:t>
                  </w:r>
                  <w:r>
                    <w:rPr>
                      <w:sz w:val="18"/>
                      <w:b/>
                      <w:color w:val="000000"/>
                    </w:rPr>
                    <w:t>的要求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150</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外设可靠性</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键盘按键寿命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1000 </w:t>
                  </w:r>
                  <w:r>
                    <w:rPr>
                      <w:sz w:val="18"/>
                      <w:b/>
                      <w:color w:val="000000"/>
                    </w:rPr>
                    <w:t>万次</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151</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鼠标按键寿命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500 </w:t>
                  </w:r>
                  <w:r>
                    <w:rPr>
                      <w:sz w:val="18"/>
                      <w:b/>
                      <w:color w:val="000000"/>
                    </w:rPr>
                    <w:t>万次</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152</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键盘鼠标线材寿命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键盘鼠标所用线材经±</w:t>
                  </w:r>
                  <w:r>
                    <w:rPr>
                      <w:sz w:val="18"/>
                      <w:b/>
                      <w:color w:val="000000"/>
                    </w:rPr>
                    <w:t xml:space="preserve">60 </w:t>
                  </w:r>
                  <w:r>
                    <w:rPr>
                      <w:sz w:val="18"/>
                      <w:b/>
                      <w:color w:val="000000"/>
                    </w:rPr>
                    <w:t>°弯折不低于</w:t>
                  </w:r>
                  <w:r>
                    <w:rPr>
                      <w:sz w:val="18"/>
                      <w:b/>
                      <w:color w:val="000000"/>
                    </w:rPr>
                    <w:t xml:space="preserve"> 3000 </w:t>
                  </w:r>
                  <w:r>
                    <w:rPr>
                      <w:sz w:val="18"/>
                      <w:b/>
                      <w:color w:val="000000"/>
                    </w:rPr>
                    <w:t>次，功能、外观完好</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153</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风扇寿命</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w:t>
                  </w:r>
                  <w:r>
                    <w:rPr>
                      <w:sz w:val="18"/>
                      <w:b/>
                      <w:color w:val="000000"/>
                    </w:rPr>
                    <w:t xml:space="preserve">4 </w:t>
                  </w:r>
                  <w:r>
                    <w:rPr>
                      <w:sz w:val="18"/>
                      <w:b/>
                      <w:color w:val="000000"/>
                    </w:rPr>
                    <w:t>万小时</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154</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整机可靠性要求</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电磁兼容性要求的抗扰度</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9254.2 </w:t>
                  </w:r>
                  <w:r>
                    <w:rPr>
                      <w:sz w:val="18"/>
                      <w:b/>
                      <w:color w:val="000000"/>
                    </w:rPr>
                    <w:t>的规定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155</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环境条件要求的气候环境适应性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环境条件要求的振动适应性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环境条件要求的冲击适应性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环境条件要求的碰撞适应性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159</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环境条件要求的运输包装件跌落适应性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中规定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160</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可靠性要求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color w:val="000000"/>
                    </w:rPr>
                    <w:t>*MTBF</w:t>
                  </w:r>
                  <w:r>
                    <w:rPr>
                      <w:sz w:val="21"/>
                      <w:b/>
                      <w:color w:val="000000"/>
                    </w:rPr>
                    <w:t>测试</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MTBF</w:t>
                  </w:r>
                  <w:r>
                    <w:rPr>
                      <w:sz w:val="18"/>
                      <w:b/>
                      <w:color w:val="000000"/>
                    </w:rPr>
                    <w:t>≥</w:t>
                  </w:r>
                  <w:r>
                    <w:rPr>
                      <w:sz w:val="18"/>
                      <w:b/>
                      <w:color w:val="000000"/>
                    </w:rPr>
                    <w:t>5</w:t>
                  </w:r>
                  <w:r>
                    <w:rPr>
                      <w:sz w:val="18"/>
                      <w:b/>
                      <w:color w:val="000000"/>
                    </w:rPr>
                    <w:t>万小时</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161</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兼容要求</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常用软件兼容</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支持流式软件、版式软件、浏览器、邮件客户端、解压软件、多媒体、图形图像处理等常用软件</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162</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数据库兼容</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w:t>
                  </w:r>
                  <w:r>
                    <w:rPr>
                      <w:sz w:val="21"/>
                      <w:b/>
                      <w:color w:val="000000"/>
                    </w:rPr>
                    <w:t xml:space="preserve"> 3 </w:t>
                  </w:r>
                  <w:r>
                    <w:rPr>
                      <w:sz w:val="21"/>
                      <w:b/>
                      <w:color w:val="000000"/>
                    </w:rPr>
                    <w:t>个及以上厂商的数据库产品</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163</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中间件兼容</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兼容</w:t>
                  </w:r>
                  <w:r>
                    <w:rPr>
                      <w:sz w:val="18"/>
                      <w:b/>
                      <w:color w:val="000000"/>
                    </w:rPr>
                    <w:t xml:space="preserve"> 3 </w:t>
                  </w:r>
                  <w:r>
                    <w:rPr>
                      <w:sz w:val="18"/>
                      <w:b/>
                      <w:color w:val="000000"/>
                    </w:rPr>
                    <w:t>个及以上厂商中间件产品</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164</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兼容要求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平台软件兼容</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兼容</w:t>
                  </w:r>
                  <w:r>
                    <w:rPr>
                      <w:sz w:val="18"/>
                      <w:b/>
                      <w:color w:val="000000"/>
                    </w:rPr>
                    <w:t xml:space="preserve"> 3 </w:t>
                  </w:r>
                  <w:r>
                    <w:rPr>
                      <w:sz w:val="18"/>
                      <w:b/>
                      <w:color w:val="000000"/>
                    </w:rPr>
                    <w:t>个及以上厂商云计算及大数据平台</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165</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包装及运输要求</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包装</w:t>
                  </w:r>
                </w:p>
                <w:p>
                  <w:pPr>
                    <w:pStyle w:val="null3"/>
                    <w:jc w:val="center"/>
                  </w:pPr>
                  <w:r>
                    <w:rPr>
                      <w:sz w:val="21"/>
                      <w:b/>
                      <w:color w:val="000000"/>
                    </w:rPr>
                    <w:t>及运</w:t>
                  </w:r>
                </w:p>
                <w:p>
                  <w:pPr>
                    <w:pStyle w:val="null3"/>
                    <w:jc w:val="center"/>
                  </w:pPr>
                  <w:r>
                    <w:rPr>
                      <w:sz w:val="21"/>
                      <w:b/>
                      <w:color w:val="000000"/>
                    </w:rPr>
                    <w:t>输要</w:t>
                  </w:r>
                </w:p>
                <w:p>
                  <w:pPr>
                    <w:pStyle w:val="null3"/>
                    <w:jc w:val="center"/>
                  </w:pPr>
                  <w:r>
                    <w:rPr>
                      <w:sz w:val="21"/>
                      <w:b/>
                      <w:color w:val="000000"/>
                    </w:rPr>
                    <w:t>求</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标志、包装、运输和贮存</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符合</w:t>
                  </w:r>
                  <w:r>
                    <w:rPr>
                      <w:sz w:val="18"/>
                      <w:b/>
                      <w:color w:val="000000"/>
                    </w:rPr>
                    <w:t xml:space="preserve"> GB/T 9813.1 </w:t>
                  </w:r>
                  <w:r>
                    <w:rPr>
                      <w:sz w:val="18"/>
                      <w:b/>
                      <w:color w:val="000000"/>
                    </w:rPr>
                    <w:t>和商品包装政府采购需求标准的相关规定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服务要求</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配置检查工具</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供应商提供经自检测试工具</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服务响应</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提供产品</w:t>
                  </w:r>
                  <w:r>
                    <w:rPr>
                      <w:sz w:val="21"/>
                      <w:b/>
                      <w:color w:val="000000"/>
                    </w:rPr>
                    <w:t xml:space="preserve">3 </w:t>
                  </w:r>
                  <w:r>
                    <w:rPr>
                      <w:sz w:val="21"/>
                      <w:b/>
                      <w:color w:val="000000"/>
                    </w:rPr>
                    <w:t>年维保及上门服务</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服务周期</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供应商三年上门服务（含键盘鼠标、显示器等所有部件）</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169</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预装操作系统</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预装符合桌面操作系统政府采购需求标准的正版操作系统</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170</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培训服务</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供应商提供培训材料、产品手册、培训视频等培训相关内容</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171</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典型问题解决手册</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供应商提供典型问题解决说明文档或视频</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172</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厂家升级软件与扩容服务</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供应商提供上门升级部件</w:t>
                  </w:r>
                  <w:r>
                    <w:rPr>
                      <w:sz w:val="18"/>
                      <w:b/>
                      <w:color w:val="000000"/>
                    </w:rPr>
                    <w:t>/</w:t>
                  </w:r>
                  <w:r>
                    <w:rPr>
                      <w:sz w:val="18"/>
                      <w:b/>
                      <w:color w:val="000000"/>
                    </w:rPr>
                    <w:t>软件的增值服务</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173</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整机质量服务要求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免费服务周期（含换件和维修）</w:t>
                  </w:r>
                  <w:r>
                    <w:rPr>
                      <w:sz w:val="21"/>
                      <w:b/>
                      <w:color w:val="000000"/>
                    </w:rPr>
                    <w:t xml:space="preserve">3 </w:t>
                  </w:r>
                  <w:r>
                    <w:rPr>
                      <w:sz w:val="21"/>
                      <w:b/>
                      <w:color w:val="000000"/>
                    </w:rPr>
                    <w:t>年，</w:t>
                  </w:r>
                  <w:r>
                    <w:rPr>
                      <w:sz w:val="21"/>
                      <w:b/>
                    </w:rPr>
                    <w:t>3</w:t>
                  </w:r>
                  <w:r>
                    <w:rPr>
                      <w:sz w:val="21"/>
                      <w:b/>
                    </w:rPr>
                    <w:t>年原厂免费上门服务（含显示器、鼠标、键盘等所有部件）</w:t>
                  </w:r>
                  <w:r>
                    <w:rPr>
                      <w:sz w:val="21"/>
                      <w:b/>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174</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合格证书要求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供应商提供产品合格证和整机检测报告</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175</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开箱组装</w:t>
                  </w:r>
                  <w:r>
                    <w:rPr>
                      <w:sz w:val="21"/>
                      <w:b/>
                      <w:color w:val="000000"/>
                    </w:rPr>
                    <w:t>/</w:t>
                  </w:r>
                  <w:r>
                    <w:rPr>
                      <w:sz w:val="21"/>
                      <w:b/>
                      <w:color w:val="000000"/>
                    </w:rPr>
                    <w:t>使用指导要求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供应商提供开箱组装</w:t>
                  </w:r>
                  <w:r>
                    <w:rPr>
                      <w:sz w:val="18"/>
                      <w:b/>
                      <w:color w:val="000000"/>
                    </w:rPr>
                    <w:t>/</w:t>
                  </w:r>
                  <w:r>
                    <w:rPr>
                      <w:sz w:val="18"/>
                      <w:b/>
                      <w:color w:val="000000"/>
                    </w:rPr>
                    <w:t>使用指导</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176</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驱动下载服务要求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供应商提供驱动下载方式</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177</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兼容适配软件下载服务要求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供应商提供兼容适配软件下载渠道（网站）</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178</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服务要求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跨架构平台应用兼容</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179</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供应保障要求</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供应链合规性</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产品部件保障</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保障产品主要部件提供</w:t>
                  </w:r>
                  <w:r>
                    <w:rPr>
                      <w:sz w:val="18"/>
                      <w:b/>
                      <w:color w:val="000000"/>
                    </w:rPr>
                    <w:t xml:space="preserve"> 6 </w:t>
                  </w:r>
                  <w:r>
                    <w:rPr>
                      <w:sz w:val="18"/>
                      <w:b/>
                      <w:color w:val="000000"/>
                    </w:rPr>
                    <w:t>年的备件服务能力</w:t>
                  </w:r>
                  <w:r>
                    <w:rPr>
                      <w:sz w:val="18"/>
                      <w:b/>
                      <w:color w:val="000000"/>
                    </w:rPr>
                    <w:t>(</w:t>
                  </w:r>
                  <w:r>
                    <w:rPr>
                      <w:sz w:val="18"/>
                      <w:b/>
                      <w:color w:val="000000"/>
                    </w:rPr>
                    <w:t>自购买之日起</w:t>
                  </w:r>
                  <w:r>
                    <w:rPr>
                      <w:sz w:val="18"/>
                      <w:b/>
                      <w:color w:val="000000"/>
                    </w:rPr>
                    <w:t>)</w:t>
                  </w:r>
                  <w:r>
                    <w:rPr>
                      <w:sz w:val="18"/>
                      <w:b/>
                      <w:color w:val="000000"/>
                    </w:rPr>
                    <w:t>，或提供可兼容原设备的升级换代产品</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180</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供应保障要求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供应链质量</w:t>
                  </w:r>
                  <w:r>
                    <w:rPr>
                      <w:sz w:val="21"/>
                      <w:b/>
                      <w:color w:val="000000"/>
                    </w:rPr>
                    <w:t>*</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抗干扰性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当产品部件出现供应风险时，供应商应通知采购人并提供风险应对方案确保产品的服务保障</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181</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供应保障要求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供应能力证明</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8"/>
                      <w:b/>
                      <w:color w:val="000000"/>
                    </w:rPr>
                    <w:t>供应商提供供应链稳定承诺书，确保产品的部件在产品服务周期内稳定供货</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182</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关键部件安全要求</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关键部件安全要求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和操作系统等关键部件应当符合安全可靠测评要求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183</w:t>
                  </w:r>
                </w:p>
              </w:tc>
              <w:tc>
                <w:tcPr>
                  <w:tcW w:type="dxa" w:w="64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整机安全性要求</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密码算法实现</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CPU</w:t>
                  </w:r>
                  <w:r>
                    <w:rPr>
                      <w:sz w:val="21"/>
                      <w:b/>
                      <w:color w:val="000000"/>
                    </w:rPr>
                    <w:t>芯片应符合</w:t>
                  </w:r>
                  <w:r>
                    <w:rPr>
                      <w:sz w:val="21"/>
                      <w:b/>
                      <w:color w:val="000000"/>
                    </w:rPr>
                    <w:t>GM/T0008</w:t>
                  </w:r>
                  <w:r>
                    <w:rPr>
                      <w:sz w:val="21"/>
                      <w:b/>
                      <w:color w:val="000000"/>
                    </w:rPr>
                    <w:t>的相关规定，</w:t>
                  </w:r>
                  <w:r>
                    <w:rPr>
                      <w:sz w:val="21"/>
                      <w:b/>
                      <w:color w:val="000000"/>
                    </w:rPr>
                    <w:t>或芯片密码模块应符合</w:t>
                  </w:r>
                  <w:r>
                    <w:rPr>
                      <w:sz w:val="21"/>
                      <w:b/>
                      <w:color w:val="000000"/>
                    </w:rPr>
                    <w:t>GB/T 37092</w:t>
                  </w:r>
                  <w:r>
                    <w:rPr>
                      <w:sz w:val="21"/>
                      <w:b/>
                      <w:color w:val="000000"/>
                    </w:rPr>
                    <w:t>或</w:t>
                  </w:r>
                  <w:r>
                    <w:rPr>
                      <w:sz w:val="21"/>
                      <w:b/>
                      <w:color w:val="000000"/>
                    </w:rPr>
                    <w:t>GM/T0028</w:t>
                  </w:r>
                  <w:r>
                    <w:rPr>
                      <w:sz w:val="21"/>
                      <w:b/>
                      <w:color w:val="000000"/>
                    </w:rPr>
                    <w:t>的相关规定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序号</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指标分类</w:t>
                  </w:r>
                </w:p>
              </w:tc>
              <w:tc>
                <w:tcPr>
                  <w:tcW w:type="dxa" w:w="66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一级指标</w:t>
                  </w: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二级指标</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指标要求</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184</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60"/>
                  <w:gridSpan w:val="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USB</w:t>
                  </w:r>
                  <w:r>
                    <w:rPr>
                      <w:sz w:val="21"/>
                      <w:b/>
                      <w:color w:val="000000"/>
                    </w:rPr>
                    <w:t>端口管控</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w:t>
                  </w:r>
                  <w:r>
                    <w:rPr>
                      <w:sz w:val="21"/>
                      <w:b/>
                      <w:color w:val="000000"/>
                    </w:rPr>
                    <w:t>USB</w:t>
                  </w:r>
                  <w:r>
                    <w:rPr>
                      <w:sz w:val="21"/>
                      <w:b/>
                      <w:color w:val="000000"/>
                    </w:rPr>
                    <w:t>端口管控</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185</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安全物理锁</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支持安全物理锁</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186</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信息安全基本要求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 xml:space="preserve">a) </w:t>
                  </w:r>
                  <w:r>
                    <w:rPr>
                      <w:sz w:val="21"/>
                      <w:b/>
                      <w:color w:val="000000"/>
                    </w:rPr>
                    <w:t>应符合</w:t>
                  </w:r>
                  <w:r>
                    <w:rPr>
                      <w:sz w:val="21"/>
                      <w:b/>
                      <w:color w:val="000000"/>
                    </w:rPr>
                    <w:t>GB/T 39276</w:t>
                  </w:r>
                  <w:r>
                    <w:rPr>
                      <w:sz w:val="21"/>
                      <w:b/>
                      <w:color w:val="000000"/>
                    </w:rPr>
                    <w:t>的</w:t>
                  </w:r>
                  <w:r>
                    <w:rPr>
                      <w:sz w:val="21"/>
                      <w:b/>
                      <w:color w:val="000000"/>
                    </w:rPr>
                    <w:t>5.2</w:t>
                  </w:r>
                  <w:r>
                    <w:rPr>
                      <w:sz w:val="21"/>
                      <w:b/>
                      <w:color w:val="000000"/>
                    </w:rPr>
                    <w:t>的规定；</w:t>
                  </w:r>
                  <w:r>
                    <w:rPr>
                      <w:sz w:val="21"/>
                      <w:b/>
                      <w:color w:val="000000"/>
                    </w:rPr>
                    <w:t xml:space="preserve"> b) </w:t>
                  </w:r>
                  <w:r>
                    <w:rPr>
                      <w:sz w:val="21"/>
                      <w:b/>
                      <w:color w:val="000000"/>
                    </w:rPr>
                    <w:t>生产厂商应建立漏洞跟踪表，保证</w:t>
                  </w:r>
                  <w:r>
                    <w:rPr>
                      <w:sz w:val="21"/>
                      <w:b/>
                      <w:color w:val="000000"/>
                    </w:rPr>
                    <w:t>产品版本涉及到的漏洞</w:t>
                  </w:r>
                  <w:r>
                    <w:rPr>
                      <w:sz w:val="21"/>
                      <w:b/>
                      <w:color w:val="000000"/>
                    </w:rPr>
                    <w:t>(</w:t>
                  </w:r>
                  <w:r>
                    <w:rPr>
                      <w:sz w:val="21"/>
                      <w:b/>
                      <w:color w:val="000000"/>
                    </w:rPr>
                    <w:t>如驱动程序</w:t>
                  </w:r>
                  <w:r>
                    <w:rPr>
                      <w:sz w:val="21"/>
                      <w:b/>
                      <w:color w:val="000000"/>
                    </w:rPr>
                    <w:t>等</w:t>
                  </w:r>
                  <w:r>
                    <w:rPr>
                      <w:sz w:val="21"/>
                      <w:b/>
                      <w:color w:val="000000"/>
                    </w:rPr>
                    <w:t>)</w:t>
                  </w:r>
                  <w:r>
                    <w:rPr>
                      <w:sz w:val="21"/>
                      <w:b/>
                      <w:color w:val="000000"/>
                    </w:rPr>
                    <w:t>可查看；</w:t>
                  </w:r>
                  <w:r>
                    <w:rPr>
                      <w:sz w:val="21"/>
                      <w:b/>
                      <w:color w:val="000000"/>
                    </w:rPr>
                    <w:t xml:space="preserve"> c) </w:t>
                  </w:r>
                  <w:r>
                    <w:rPr>
                      <w:sz w:val="21"/>
                      <w:b/>
                      <w:color w:val="000000"/>
                    </w:rPr>
                    <w:t>产品不得包含已知的恶意代码或漏</w:t>
                  </w:r>
                  <w:r>
                    <w:rPr>
                      <w:sz w:val="21"/>
                      <w:b/>
                      <w:color w:val="000000"/>
                    </w:rPr>
                    <w:t>洞，不存在未声明的指令、功能、接口</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187</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固件安全启动</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支持固件安全启动功能，固件启动过程</w:t>
                  </w:r>
                  <w:r>
                    <w:rPr>
                      <w:sz w:val="21"/>
                      <w:b/>
                      <w:color w:val="000000"/>
                    </w:rPr>
                    <w:t>中只有通过启动校验才能正常启动</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0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188</w:t>
                  </w:r>
                </w:p>
              </w:tc>
              <w:tc>
                <w:tcPr>
                  <w:tcW w:type="dxa" w:w="69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安全要求</w:t>
                  </w:r>
                </w:p>
              </w:tc>
              <w:tc>
                <w:tcPr>
                  <w:tcW w:type="dxa" w:w="660"/>
                  <w:gridSpan w:val="3"/>
                  <w:vMerge/>
                  <w:tcBorders>
                    <w:top w:val="none" w:color="000000" w:sz="4"/>
                    <w:left w:val="none" w:color="000000" w:sz="4"/>
                    <w:bottom w:val="single" w:color="000000" w:sz="4"/>
                    <w:right w:val="single" w:color="000000" w:sz="4"/>
                  </w:tcBorders>
                </w:tcPr>
                <w:p/>
              </w:tc>
              <w:tc>
                <w:tcPr>
                  <w:tcW w:type="dxa" w:w="103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w:t>
                  </w:r>
                  <w:r>
                    <w:rPr>
                      <w:sz w:val="21"/>
                      <w:b/>
                      <w:color w:val="000000"/>
                    </w:rPr>
                    <w:t>限用物质的限量要求</w:t>
                  </w:r>
                </w:p>
              </w:tc>
              <w:tc>
                <w:tcPr>
                  <w:tcW w:type="dxa" w:w="3346"/>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color w:val="000000"/>
                    </w:rPr>
                    <w:t>符合</w:t>
                  </w:r>
                  <w:r>
                    <w:rPr>
                      <w:sz w:val="21"/>
                      <w:b/>
                      <w:color w:val="000000"/>
                    </w:rPr>
                    <w:t>GB/T 26572</w:t>
                  </w:r>
                  <w:r>
                    <w:rPr>
                      <w:sz w:val="21"/>
                      <w:b/>
                      <w:color w:val="000000"/>
                    </w:rPr>
                    <w:t>中规定</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330"/>
                  <w:tcBorders>
                    <w:top w:val="none" w:color="000000" w:sz="4"/>
                    <w:left w:val="none" w:color="000000" w:sz="4"/>
                    <w:bottom w:val="none" w:color="000000" w:sz="4"/>
                    <w:right w:val="none" w:color="000000" w:sz="4"/>
                  </w:tcBorders>
                </w:tcPr>
                <w:p>
                  <w:pPr>
                    <w:pStyle w:val="null3"/>
                  </w:pPr>
                  <w:r>
                    <w:rPr/>
                    <w:t xml:space="preserve"> </w:t>
                  </w:r>
                </w:p>
              </w:tc>
              <w:tc>
                <w:tcPr>
                  <w:tcW w:type="dxa" w:w="75"/>
                  <w:tcBorders>
                    <w:top w:val="none" w:color="000000" w:sz="4"/>
                    <w:left w:val="none" w:color="000000" w:sz="4"/>
                    <w:bottom w:val="none" w:color="000000" w:sz="4"/>
                    <w:right w:val="none" w:color="000000" w:sz="4"/>
                  </w:tcBorders>
                </w:tcPr>
                <w:p>
                  <w:pPr>
                    <w:pStyle w:val="null3"/>
                  </w:pPr>
                  <w:r>
                    <w:rPr/>
                    <w:t xml:space="preserve"> </w:t>
                  </w:r>
                </w:p>
              </w:tc>
              <w:tc>
                <w:tcPr>
                  <w:tcW w:type="dxa" w:w="45"/>
                  <w:tcBorders>
                    <w:top w:val="none" w:color="000000" w:sz="4"/>
                    <w:left w:val="none" w:color="000000" w:sz="4"/>
                    <w:bottom w:val="none" w:color="000000" w:sz="4"/>
                    <w:right w:val="none" w:color="000000" w:sz="4"/>
                  </w:tcBorders>
                </w:tcPr>
                <w:p>
                  <w:pPr>
                    <w:pStyle w:val="null3"/>
                  </w:pPr>
                  <w:r>
                    <w:rPr/>
                    <w:t xml:space="preserve"> </w:t>
                  </w:r>
                </w:p>
              </w:tc>
              <w:tc>
                <w:tcPr>
                  <w:tcW w:type="dxa" w:w="495"/>
                  <w:tcBorders>
                    <w:top w:val="none" w:color="000000" w:sz="4"/>
                    <w:left w:val="none" w:color="000000" w:sz="4"/>
                    <w:bottom w:val="none" w:color="000000" w:sz="4"/>
                    <w:right w:val="none" w:color="000000" w:sz="4"/>
                  </w:tcBorders>
                </w:tcPr>
                <w:p>
                  <w:pPr>
                    <w:pStyle w:val="null3"/>
                  </w:pPr>
                  <w:r>
                    <w:rPr/>
                    <w:t xml:space="preserve"> </w:t>
                  </w:r>
                </w:p>
              </w:tc>
              <w:tc>
                <w:tcPr>
                  <w:tcW w:type="dxa" w:w="150"/>
                  <w:tcBorders>
                    <w:top w:val="none" w:color="000000" w:sz="4"/>
                    <w:left w:val="none" w:color="000000" w:sz="4"/>
                    <w:bottom w:val="none" w:color="000000" w:sz="4"/>
                    <w:right w:val="none" w:color="000000" w:sz="4"/>
                  </w:tcBorders>
                </w:tcPr>
                <w:p>
                  <w:pPr>
                    <w:pStyle w:val="null3"/>
                  </w:pPr>
                  <w:r>
                    <w:rPr/>
                    <w:t xml:space="preserve"> </w:t>
                  </w:r>
                </w:p>
              </w:tc>
              <w:tc>
                <w:tcPr>
                  <w:tcW w:type="dxa" w:w="105"/>
                  <w:tcBorders>
                    <w:top w:val="none" w:color="000000" w:sz="4"/>
                    <w:left w:val="none" w:color="000000" w:sz="4"/>
                    <w:bottom w:val="none" w:color="000000" w:sz="4"/>
                    <w:right w:val="none" w:color="000000" w:sz="4"/>
                  </w:tcBorders>
                </w:tcPr>
                <w:p>
                  <w:pPr>
                    <w:pStyle w:val="null3"/>
                  </w:pPr>
                  <w:r>
                    <w:rPr/>
                    <w:t xml:space="preserve"> </w:t>
                  </w:r>
                </w:p>
              </w:tc>
              <w:tc>
                <w:tcPr>
                  <w:tcW w:type="dxa" w:w="300"/>
                  <w:tcBorders>
                    <w:top w:val="none" w:color="000000" w:sz="4"/>
                    <w:left w:val="none" w:color="000000" w:sz="4"/>
                    <w:bottom w:val="none" w:color="000000" w:sz="4"/>
                    <w:right w:val="none" w:color="000000" w:sz="4"/>
                  </w:tcBorders>
                </w:tcPr>
                <w:p>
                  <w:pPr>
                    <w:pStyle w:val="null3"/>
                  </w:pPr>
                  <w:r>
                    <w:rPr/>
                    <w:t xml:space="preserve"> </w:t>
                  </w:r>
                </w:p>
              </w:tc>
              <w:tc>
                <w:tcPr>
                  <w:tcW w:type="dxa" w:w="255"/>
                  <w:tcBorders>
                    <w:top w:val="none" w:color="000000" w:sz="4"/>
                    <w:left w:val="none" w:color="000000" w:sz="4"/>
                    <w:bottom w:val="none" w:color="000000" w:sz="4"/>
                    <w:right w:val="none" w:color="000000" w:sz="4"/>
                  </w:tcBorders>
                </w:tcPr>
                <w:p>
                  <w:pPr>
                    <w:pStyle w:val="null3"/>
                  </w:pPr>
                  <w:r>
                    <w:rPr/>
                    <w:t xml:space="preserve"> </w:t>
                  </w:r>
                </w:p>
              </w:tc>
              <w:tc>
                <w:tcPr>
                  <w:tcW w:type="dxa" w:w="15"/>
                  <w:tcBorders>
                    <w:top w:val="none" w:color="000000" w:sz="4"/>
                    <w:left w:val="none" w:color="000000" w:sz="4"/>
                    <w:bottom w:val="none" w:color="000000" w:sz="4"/>
                    <w:right w:val="none" w:color="000000" w:sz="4"/>
                  </w:tcBorders>
                </w:tcPr>
                <w:p>
                  <w:pPr>
                    <w:pStyle w:val="null3"/>
                  </w:pPr>
                  <w:r>
                    <w:rPr/>
                    <w:t xml:space="preserve"> </w:t>
                  </w:r>
                </w:p>
              </w:tc>
              <w:tc>
                <w:tcPr>
                  <w:tcW w:type="dxa" w:w="615"/>
                  <w:tcBorders>
                    <w:top w:val="none" w:color="000000" w:sz="4"/>
                    <w:left w:val="none" w:color="000000" w:sz="4"/>
                    <w:bottom w:val="none" w:color="000000" w:sz="4"/>
                    <w:right w:val="none" w:color="000000" w:sz="4"/>
                  </w:tcBorders>
                </w:tcPr>
                <w:p>
                  <w:pPr>
                    <w:pStyle w:val="null3"/>
                  </w:pPr>
                  <w:r>
                    <w:rPr/>
                    <w:t xml:space="preserve"> </w:t>
                  </w:r>
                </w:p>
              </w:tc>
              <w:tc>
                <w:tcPr>
                  <w:tcW w:type="dxa" w:w="405"/>
                  <w:tcBorders>
                    <w:top w:val="none" w:color="000000" w:sz="4"/>
                    <w:left w:val="none" w:color="000000" w:sz="4"/>
                    <w:bottom w:val="none" w:color="000000" w:sz="4"/>
                    <w:right w:val="none" w:color="000000" w:sz="4"/>
                  </w:tcBorders>
                </w:tcPr>
                <w:p>
                  <w:pPr>
                    <w:pStyle w:val="null3"/>
                  </w:pPr>
                  <w:r>
                    <w:rPr/>
                    <w:t xml:space="preserve"> </w:t>
                  </w:r>
                </w:p>
              </w:tc>
              <w:tc>
                <w:tcPr>
                  <w:tcW w:type="dxa" w:w="15"/>
                  <w:tcBorders>
                    <w:top w:val="none" w:color="000000" w:sz="4"/>
                    <w:left w:val="none" w:color="000000" w:sz="4"/>
                    <w:bottom w:val="none" w:color="000000" w:sz="4"/>
                    <w:right w:val="none" w:color="000000" w:sz="4"/>
                  </w:tcBorders>
                </w:tcPr>
                <w:p>
                  <w:pPr>
                    <w:pStyle w:val="null3"/>
                  </w:pPr>
                  <w:r>
                    <w:rPr/>
                    <w:t xml:space="preserve"> </w:t>
                  </w:r>
                </w:p>
              </w:tc>
              <w:tc>
                <w:tcPr>
                  <w:tcW w:type="dxa" w:w="2431"/>
                  <w:tcBorders>
                    <w:top w:val="none" w:color="000000" w:sz="4"/>
                    <w:left w:val="none" w:color="000000" w:sz="4"/>
                    <w:bottom w:val="none" w:color="000000" w:sz="4"/>
                    <w:right w:val="none" w:color="000000" w:sz="4"/>
                  </w:tcBorders>
                </w:tcPr>
                <w:p>
                  <w:pPr>
                    <w:pStyle w:val="null3"/>
                  </w:pPr>
                  <w:r>
                    <w:rPr/>
                    <w:t xml:space="preserve"> </w:t>
                  </w:r>
                </w:p>
              </w:tc>
              <w:tc>
                <w:tcPr>
                  <w:tcW w:type="dxa" w:w="900"/>
                  <w:tcBorders>
                    <w:top w:val="none" w:color="000000" w:sz="4"/>
                    <w:left w:val="none" w:color="000000" w:sz="4"/>
                    <w:bottom w:val="none" w:color="000000" w:sz="4"/>
                    <w:right w:val="none" w:color="000000" w:sz="4"/>
                  </w:tcBorders>
                </w:tcPr>
                <w:p>
                  <w:pPr>
                    <w:pStyle w:val="null3"/>
                  </w:pPr>
                  <w:r>
                    <w:rPr/>
                    <w:t xml:space="preserve"> </w:t>
                  </w:r>
                </w:p>
              </w:tc>
              <w:tc>
                <w:tcPr>
                  <w:tcW w:type="dxa" w:w="15"/>
                  <w:tcBorders>
                    <w:top w:val="none" w:color="000000" w:sz="4"/>
                    <w:left w:val="none" w:color="000000" w:sz="4"/>
                    <w:bottom w:val="none" w:color="000000" w:sz="4"/>
                    <w:right w:val="none" w:color="000000" w:sz="4"/>
                  </w:tcBorders>
                </w:tcPr>
                <w:p>
                  <w:pPr>
                    <w:pStyle w:val="null3"/>
                  </w:pPr>
                  <w:r>
                    <w:rPr/>
                    <w:t xml:space="preserve"> </w:t>
                  </w:r>
                </w:p>
              </w:tc>
            </w:tr>
          </w:tbl>
          <w:p>
            <w:pPr>
              <w:pStyle w:val="null3"/>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台</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5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电脑桌</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w:t>
            </w:r>
            <w:r>
              <w:rPr>
                <w:sz w:val="21"/>
              </w:rPr>
              <w:t>800W*750D*750H</w:t>
            </w:r>
          </w:p>
          <w:p>
            <w:pPr>
              <w:pStyle w:val="null3"/>
              <w:jc w:val="both"/>
            </w:pPr>
            <w:r>
              <w:rPr>
                <w:sz w:val="21"/>
              </w:rPr>
              <w:t>材质：</w:t>
            </w:r>
            <w:r>
              <w:rPr>
                <w:sz w:val="21"/>
              </w:rPr>
              <w:t>1</w:t>
            </w:r>
            <w:r>
              <w:rPr>
                <w:sz w:val="21"/>
              </w:rPr>
              <w:t>、采用防火板饰面，环保</w:t>
            </w:r>
            <w:r>
              <w:rPr>
                <w:sz w:val="21"/>
              </w:rPr>
              <w:t>E1</w:t>
            </w:r>
            <w:r>
              <w:rPr>
                <w:sz w:val="21"/>
              </w:rPr>
              <w:t>级多层板基材。</w:t>
            </w:r>
          </w:p>
          <w:p>
            <w:pPr>
              <w:pStyle w:val="null3"/>
              <w:jc w:val="both"/>
            </w:pPr>
            <w:r>
              <w:rPr>
                <w:sz w:val="21"/>
              </w:rPr>
              <w:t>2</w:t>
            </w:r>
            <w:r>
              <w:rPr>
                <w:sz w:val="21"/>
              </w:rPr>
              <w:t>、多层实木板：其甲醛释放量≤</w:t>
            </w:r>
            <w:r>
              <w:rPr>
                <w:sz w:val="21"/>
              </w:rPr>
              <w:t>0.020mg/m</w:t>
            </w:r>
            <w:r>
              <w:rPr>
                <w:sz w:val="21"/>
              </w:rPr>
              <w:t>³，含水率≤</w:t>
            </w:r>
            <w:r>
              <w:rPr>
                <w:sz w:val="21"/>
              </w:rPr>
              <w:t>8.4%</w:t>
            </w:r>
            <w:r>
              <w:rPr>
                <w:sz w:val="21"/>
              </w:rPr>
              <w:t>，抗金黄色葡萄球菌率≥</w:t>
            </w:r>
            <w:r>
              <w:rPr>
                <w:sz w:val="21"/>
              </w:rPr>
              <w:t>99.6%</w:t>
            </w:r>
            <w:r>
              <w:rPr>
                <w:sz w:val="21"/>
              </w:rPr>
              <w:t>，防出芽短梗霉为</w:t>
            </w:r>
            <w:r>
              <w:rPr>
                <w:sz w:val="21"/>
              </w:rPr>
              <w:t>0</w:t>
            </w:r>
            <w:r>
              <w:rPr>
                <w:sz w:val="21"/>
              </w:rPr>
              <w:t>级。</w:t>
            </w:r>
          </w:p>
          <w:p>
            <w:pPr>
              <w:pStyle w:val="null3"/>
              <w:jc w:val="both"/>
            </w:pPr>
            <w:r>
              <w:rPr>
                <w:sz w:val="21"/>
              </w:rPr>
              <w:t>3</w:t>
            </w:r>
            <w:r>
              <w:rPr>
                <w:sz w:val="21"/>
              </w:rPr>
              <w:t>、冷轧钢板：其金属件外观性能要求符合要求，金属喷漆（塑）涂层；耐腐蚀</w:t>
            </w:r>
            <w:r>
              <w:rPr>
                <w:sz w:val="21"/>
              </w:rPr>
              <w:t>100h</w:t>
            </w:r>
            <w:r>
              <w:rPr>
                <w:sz w:val="21"/>
              </w:rPr>
              <w:t>后，检查划道两侧</w:t>
            </w:r>
            <w:r>
              <w:rPr>
                <w:sz w:val="21"/>
              </w:rPr>
              <w:t>3mm</w:t>
            </w:r>
            <w:r>
              <w:rPr>
                <w:sz w:val="21"/>
              </w:rPr>
              <w:t>外，应无锈迹、剥落、起皱、变色和失光等现象，硬度≥</w:t>
            </w:r>
            <w:r>
              <w:rPr>
                <w:sz w:val="21"/>
              </w:rPr>
              <w:t>3H</w:t>
            </w:r>
            <w:r>
              <w:rPr>
                <w:sz w:val="21"/>
              </w:rPr>
              <w:t>、冲击强度：冲击高度</w:t>
            </w:r>
            <w:r>
              <w:rPr>
                <w:sz w:val="21"/>
              </w:rPr>
              <w:t>400mm</w:t>
            </w:r>
            <w:r>
              <w:rPr>
                <w:sz w:val="21"/>
              </w:rPr>
              <w:t>，应无剥落、裂纹、皱纹，附着力</w:t>
            </w:r>
            <w:r>
              <w:rPr>
                <w:sz w:val="21"/>
              </w:rPr>
              <w:t>0</w:t>
            </w:r>
            <w:r>
              <w:rPr>
                <w:sz w:val="21"/>
              </w:rPr>
              <w:t>级，涂层厚度≥</w:t>
            </w:r>
            <w:r>
              <w:rPr>
                <w:sz w:val="21"/>
              </w:rPr>
              <w:t>100</w:t>
            </w:r>
            <w:r>
              <w:rPr>
                <w:sz w:val="21"/>
              </w:rPr>
              <w:t>μ</w:t>
            </w:r>
            <w:r>
              <w:rPr>
                <w:sz w:val="21"/>
              </w:rPr>
              <w:t>m</w:t>
            </w:r>
            <w:r>
              <w:rPr>
                <w:sz w:val="21"/>
              </w:rPr>
              <w:t>。乙酸盐雾试验（</w:t>
            </w:r>
            <w:r>
              <w:rPr>
                <w:sz w:val="21"/>
              </w:rPr>
              <w:t>ASS</w:t>
            </w:r>
            <w:r>
              <w:rPr>
                <w:sz w:val="21"/>
              </w:rPr>
              <w:t>试验）（连续喷雾≥</w:t>
            </w:r>
            <w:r>
              <w:rPr>
                <w:sz w:val="21"/>
              </w:rPr>
              <w:t>300</w:t>
            </w:r>
            <w:r>
              <w:rPr>
                <w:sz w:val="21"/>
              </w:rPr>
              <w:t>小时），镀（涂）层对基体的保护等级</w:t>
            </w:r>
            <w:r>
              <w:rPr>
                <w:sz w:val="21"/>
              </w:rPr>
              <w:t>10</w:t>
            </w:r>
            <w:r>
              <w:rPr>
                <w:sz w:val="21"/>
              </w:rPr>
              <w:t>级，镀</w:t>
            </w:r>
            <w:r>
              <w:rPr>
                <w:sz w:val="21"/>
              </w:rPr>
              <w:t>(</w:t>
            </w:r>
            <w:r>
              <w:rPr>
                <w:sz w:val="21"/>
              </w:rPr>
              <w:t>涂</w:t>
            </w:r>
            <w:r>
              <w:rPr>
                <w:sz w:val="21"/>
              </w:rPr>
              <w:t>)</w:t>
            </w:r>
            <w:r>
              <w:rPr>
                <w:sz w:val="21"/>
              </w:rPr>
              <w:t>层本身的耐腐蚀等级</w:t>
            </w:r>
            <w:r>
              <w:rPr>
                <w:sz w:val="21"/>
              </w:rPr>
              <w:t>10</w:t>
            </w:r>
            <w:r>
              <w:rPr>
                <w:sz w:val="21"/>
              </w:rPr>
              <w:t>级。中性盐雾（连续喷雾≥</w:t>
            </w:r>
            <w:r>
              <w:rPr>
                <w:sz w:val="21"/>
              </w:rPr>
              <w:t>300</w:t>
            </w:r>
            <w:r>
              <w:rPr>
                <w:sz w:val="21"/>
              </w:rPr>
              <w:t>小时），镀</w:t>
            </w:r>
            <w:r>
              <w:rPr>
                <w:sz w:val="21"/>
              </w:rPr>
              <w:t>(</w:t>
            </w:r>
            <w:r>
              <w:rPr>
                <w:sz w:val="21"/>
              </w:rPr>
              <w:t>涂</w:t>
            </w:r>
            <w:r>
              <w:rPr>
                <w:sz w:val="21"/>
              </w:rPr>
              <w:t>)</w:t>
            </w:r>
            <w:r>
              <w:rPr>
                <w:sz w:val="21"/>
              </w:rPr>
              <w:t>层对基体的保护等级</w:t>
            </w:r>
            <w:r>
              <w:rPr>
                <w:sz w:val="21"/>
              </w:rPr>
              <w:t>10</w:t>
            </w:r>
            <w:r>
              <w:rPr>
                <w:sz w:val="21"/>
              </w:rPr>
              <w:t>级，镀</w:t>
            </w:r>
            <w:r>
              <w:rPr>
                <w:sz w:val="21"/>
              </w:rPr>
              <w:t>(</w:t>
            </w:r>
            <w:r>
              <w:rPr>
                <w:sz w:val="21"/>
              </w:rPr>
              <w:t>涂</w:t>
            </w:r>
            <w:r>
              <w:rPr>
                <w:sz w:val="21"/>
              </w:rPr>
              <w:t>)</w:t>
            </w:r>
            <w:r>
              <w:rPr>
                <w:sz w:val="21"/>
              </w:rPr>
              <w:t>层本身的耐腐蚀等级</w:t>
            </w:r>
            <w:r>
              <w:rPr>
                <w:sz w:val="21"/>
              </w:rPr>
              <w:t>10</w:t>
            </w:r>
            <w:r>
              <w:rPr>
                <w:sz w:val="21"/>
              </w:rPr>
              <w:t>级。铜加速乙酸盐雾试验（</w:t>
            </w:r>
            <w:r>
              <w:rPr>
                <w:sz w:val="21"/>
              </w:rPr>
              <w:t>CASS</w:t>
            </w:r>
            <w:r>
              <w:rPr>
                <w:sz w:val="21"/>
              </w:rPr>
              <w:t>）（连续喷雾≥</w:t>
            </w:r>
            <w:r>
              <w:rPr>
                <w:sz w:val="21"/>
              </w:rPr>
              <w:t>800</w:t>
            </w:r>
            <w:r>
              <w:rPr>
                <w:sz w:val="21"/>
              </w:rPr>
              <w:t>小时），外观评级</w:t>
            </w:r>
            <w:r>
              <w:rPr>
                <w:sz w:val="21"/>
              </w:rPr>
              <w:t>10</w:t>
            </w:r>
            <w:r>
              <w:rPr>
                <w:sz w:val="21"/>
              </w:rPr>
              <w:t>级、保护评级</w:t>
            </w:r>
            <w:r>
              <w:rPr>
                <w:sz w:val="21"/>
              </w:rPr>
              <w:t>10</w:t>
            </w:r>
            <w:r>
              <w:rPr>
                <w:sz w:val="21"/>
              </w:rPr>
              <w:t>级。下屈服强度≥</w:t>
            </w:r>
            <w:r>
              <w:rPr>
                <w:sz w:val="21"/>
              </w:rPr>
              <w:t>390Mpa</w:t>
            </w:r>
            <w:r>
              <w:rPr>
                <w:sz w:val="21"/>
              </w:rPr>
              <w:t>；抗拉强度</w:t>
            </w:r>
            <w:r>
              <w:rPr>
                <w:sz w:val="21"/>
              </w:rPr>
              <w:t>315~430Mpa</w:t>
            </w:r>
            <w:r>
              <w:rPr>
                <w:sz w:val="21"/>
              </w:rPr>
              <w:t>；断后伸长率≥</w:t>
            </w:r>
            <w:r>
              <w:rPr>
                <w:sz w:val="21"/>
              </w:rPr>
              <w:t>40%</w:t>
            </w:r>
            <w:r>
              <w:rPr>
                <w:sz w:val="21"/>
              </w:rPr>
              <w:t>。耐霉性：黑曲霉、烟曲霉、腊叶芽枝霉、聚多曲霉（萨氏曲霉）；耐霉性等级</w:t>
            </w:r>
            <w:r>
              <w:rPr>
                <w:sz w:val="21"/>
              </w:rPr>
              <w:t>0</w:t>
            </w:r>
            <w:r>
              <w:rPr>
                <w:sz w:val="21"/>
              </w:rPr>
              <w:t>级，金相法脱碳层深度≥</w:t>
            </w:r>
            <w:r>
              <w:rPr>
                <w:sz w:val="21"/>
              </w:rPr>
              <w:t>0.25mm</w:t>
            </w:r>
            <w:r>
              <w:rPr>
                <w:sz w:val="21"/>
              </w:rPr>
              <w:t>，化学成分</w:t>
            </w:r>
            <w:r>
              <w:rPr>
                <w:sz w:val="21"/>
              </w:rPr>
              <w:t>(</w:t>
            </w:r>
            <w:r>
              <w:rPr>
                <w:sz w:val="21"/>
              </w:rPr>
              <w:t>质量分数</w:t>
            </w:r>
            <w:r>
              <w:rPr>
                <w:sz w:val="21"/>
              </w:rPr>
              <w:t>)%</w:t>
            </w:r>
            <w:r>
              <w:rPr>
                <w:sz w:val="21"/>
              </w:rPr>
              <w:t>进行检测，耐液体性：耐</w:t>
            </w:r>
            <w:r>
              <w:rPr>
                <w:sz w:val="21"/>
              </w:rPr>
              <w:t>0.9%</w:t>
            </w:r>
            <w:r>
              <w:rPr>
                <w:sz w:val="21"/>
              </w:rPr>
              <w:t>的氯化钠，</w:t>
            </w:r>
            <w:r>
              <w:rPr>
                <w:sz w:val="21"/>
              </w:rPr>
              <w:t>500h</w:t>
            </w:r>
            <w:r>
              <w:rPr>
                <w:sz w:val="21"/>
              </w:rPr>
              <w:t>后，无起泡、无剥落、无粉化。</w:t>
            </w:r>
          </w:p>
          <w:p>
            <w:pPr>
              <w:pStyle w:val="null3"/>
              <w:jc w:val="both"/>
            </w:pPr>
            <w:r>
              <w:rPr>
                <w:sz w:val="21"/>
              </w:rPr>
              <w:t>4</w:t>
            </w:r>
            <w:r>
              <w:rPr>
                <w:sz w:val="21"/>
              </w:rPr>
              <w:t>、采用优质配件</w:t>
            </w:r>
          </w:p>
          <w:p>
            <w:pPr>
              <w:pStyle w:val="null3"/>
              <w:jc w:val="both"/>
            </w:pPr>
            <w:r>
              <w:rPr>
                <w:sz w:val="21"/>
              </w:rPr>
              <w:t>参考图：</w:t>
            </w:r>
          </w:p>
          <w:p>
            <w:pPr>
              <w:pStyle w:val="null3"/>
              <w:jc w:val="both"/>
            </w:pPr>
            <w:r>
              <w:drawing>
                <wp:inline distT="0" distR="0" distB="0" distL="0">
                  <wp:extent cx="3906520" cy="225549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906520" cy="2255496"/>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位</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6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电脑椅</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、饰面：一次注塑成型塑料加纤</w:t>
            </w:r>
          </w:p>
          <w:p>
            <w:pPr>
              <w:pStyle w:val="null3"/>
              <w:jc w:val="both"/>
            </w:pPr>
            <w:r>
              <w:rPr>
                <w:sz w:val="21"/>
              </w:rPr>
              <w:t>2</w:t>
            </w:r>
            <w:r>
              <w:rPr>
                <w:sz w:val="21"/>
              </w:rPr>
              <w:t>、椅架：采用圆管，采用高精密机械手臂自动焊接，经除油除锈静电</w:t>
            </w:r>
            <w:r>
              <w:rPr>
                <w:sz w:val="21"/>
              </w:rPr>
              <w:t>220</w:t>
            </w:r>
            <w:r>
              <w:rPr>
                <w:sz w:val="21"/>
              </w:rPr>
              <w:t>度高温喷塑处理。</w:t>
            </w:r>
          </w:p>
          <w:p>
            <w:pPr>
              <w:pStyle w:val="null3"/>
              <w:jc w:val="both"/>
            </w:pPr>
            <w:r>
              <w:rPr>
                <w:sz w:val="21"/>
              </w:rPr>
              <w:t>3</w:t>
            </w:r>
            <w:r>
              <w:rPr>
                <w:sz w:val="21"/>
              </w:rPr>
              <w:t>、塑料：采用全新</w:t>
            </w:r>
            <w:r>
              <w:rPr>
                <w:sz w:val="21"/>
              </w:rPr>
              <w:t>PP+</w:t>
            </w:r>
            <w:r>
              <w:rPr>
                <w:sz w:val="21"/>
              </w:rPr>
              <w:t>纤维，结构受力稳定。</w:t>
            </w:r>
          </w:p>
          <w:p>
            <w:pPr>
              <w:pStyle w:val="null3"/>
              <w:jc w:val="both"/>
            </w:pPr>
            <w:r>
              <w:rPr>
                <w:sz w:val="21"/>
              </w:rPr>
              <w:t>参考图：</w:t>
            </w:r>
          </w:p>
          <w:p>
            <w:pPr>
              <w:pStyle w:val="null3"/>
              <w:jc w:val="both"/>
            </w:pPr>
            <w:r>
              <w:drawing>
                <wp:inline distT="0" distR="0" distB="0" distL="0">
                  <wp:extent cx="1019175" cy="12477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019175" cy="1247775"/>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7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讲台</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w:t>
            </w:r>
            <w:r>
              <w:rPr>
                <w:sz w:val="21"/>
              </w:rPr>
              <w:t>1800W*750D*750H</w:t>
            </w:r>
          </w:p>
          <w:p>
            <w:pPr>
              <w:pStyle w:val="null3"/>
              <w:jc w:val="both"/>
            </w:pPr>
            <w:r>
              <w:rPr>
                <w:sz w:val="21"/>
              </w:rPr>
              <w:t>材质：</w:t>
            </w:r>
            <w:r>
              <w:rPr>
                <w:sz w:val="21"/>
              </w:rPr>
              <w:t>1</w:t>
            </w:r>
            <w:r>
              <w:rPr>
                <w:sz w:val="21"/>
              </w:rPr>
              <w:t>、采用防火板饰面，环保</w:t>
            </w:r>
            <w:r>
              <w:rPr>
                <w:sz w:val="21"/>
              </w:rPr>
              <w:t>E1</w:t>
            </w:r>
            <w:r>
              <w:rPr>
                <w:sz w:val="21"/>
              </w:rPr>
              <w:t>级多层板基材。</w:t>
            </w:r>
          </w:p>
          <w:p>
            <w:pPr>
              <w:pStyle w:val="null3"/>
              <w:jc w:val="both"/>
            </w:pPr>
            <w:r>
              <w:rPr>
                <w:sz w:val="21"/>
              </w:rPr>
              <w:t>2</w:t>
            </w:r>
            <w:r>
              <w:rPr>
                <w:sz w:val="21"/>
              </w:rPr>
              <w:t>、多层实木板：其甲醛释放量≤</w:t>
            </w:r>
            <w:r>
              <w:rPr>
                <w:sz w:val="21"/>
              </w:rPr>
              <w:t>0.020mg/m</w:t>
            </w:r>
            <w:r>
              <w:rPr>
                <w:sz w:val="21"/>
              </w:rPr>
              <w:t>³，含水率≤</w:t>
            </w:r>
            <w:r>
              <w:rPr>
                <w:sz w:val="21"/>
              </w:rPr>
              <w:t>8.4%</w:t>
            </w:r>
            <w:r>
              <w:rPr>
                <w:sz w:val="21"/>
              </w:rPr>
              <w:t>，抗金黄色葡萄球菌率≥</w:t>
            </w:r>
            <w:r>
              <w:rPr>
                <w:sz w:val="21"/>
              </w:rPr>
              <w:t>99.6%</w:t>
            </w:r>
            <w:r>
              <w:rPr>
                <w:sz w:val="21"/>
              </w:rPr>
              <w:t>，防出芽短梗霉为</w:t>
            </w:r>
            <w:r>
              <w:rPr>
                <w:sz w:val="21"/>
              </w:rPr>
              <w:t>0</w:t>
            </w:r>
            <w:r>
              <w:rPr>
                <w:sz w:val="21"/>
              </w:rPr>
              <w:t>级。</w:t>
            </w:r>
          </w:p>
          <w:p>
            <w:pPr>
              <w:pStyle w:val="null3"/>
              <w:jc w:val="both"/>
            </w:pPr>
            <w:r>
              <w:rPr>
                <w:sz w:val="21"/>
              </w:rPr>
              <w:t>3</w:t>
            </w:r>
            <w:r>
              <w:rPr>
                <w:sz w:val="21"/>
              </w:rPr>
              <w:t>、采用五金配件</w:t>
            </w:r>
          </w:p>
          <w:p>
            <w:pPr>
              <w:pStyle w:val="null3"/>
              <w:jc w:val="both"/>
            </w:pPr>
            <w:r>
              <w:rPr>
                <w:sz w:val="21"/>
              </w:rPr>
              <w:t>参考图：</w:t>
            </w:r>
          </w:p>
          <w:p>
            <w:pPr>
              <w:pStyle w:val="null3"/>
              <w:jc w:val="both"/>
            </w:pPr>
            <w:r>
              <w:drawing>
                <wp:inline distT="0" distR="0" distB="0" distL="0">
                  <wp:extent cx="1419225" cy="9048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419225" cy="904875"/>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8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六边桌</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直径</w:t>
            </w:r>
            <w:r>
              <w:rPr>
                <w:sz w:val="21"/>
              </w:rPr>
              <w:t>1800*750H</w:t>
            </w:r>
          </w:p>
          <w:p>
            <w:pPr>
              <w:pStyle w:val="null3"/>
              <w:jc w:val="both"/>
            </w:pPr>
            <w:r>
              <w:rPr>
                <w:sz w:val="21"/>
              </w:rPr>
              <w:t>材质：</w:t>
            </w:r>
          </w:p>
          <w:p>
            <w:pPr>
              <w:pStyle w:val="null3"/>
              <w:jc w:val="both"/>
            </w:pPr>
            <w:r>
              <w:rPr>
                <w:sz w:val="21"/>
              </w:rPr>
              <w:t>1</w:t>
            </w:r>
            <w:r>
              <w:rPr>
                <w:sz w:val="21"/>
              </w:rPr>
              <w:t>、采用防火板饰面，环保</w:t>
            </w:r>
            <w:r>
              <w:rPr>
                <w:sz w:val="21"/>
              </w:rPr>
              <w:t>E1</w:t>
            </w:r>
            <w:r>
              <w:rPr>
                <w:sz w:val="21"/>
              </w:rPr>
              <w:t>级多层板基材。</w:t>
            </w:r>
          </w:p>
          <w:p>
            <w:pPr>
              <w:pStyle w:val="null3"/>
              <w:jc w:val="both"/>
            </w:pPr>
            <w:r>
              <w:rPr>
                <w:sz w:val="21"/>
              </w:rPr>
              <w:t>2</w:t>
            </w:r>
            <w:r>
              <w:rPr>
                <w:sz w:val="21"/>
              </w:rPr>
              <w:t>、多层实木板：其甲醛释放量≤</w:t>
            </w:r>
            <w:r>
              <w:rPr>
                <w:sz w:val="21"/>
              </w:rPr>
              <w:t>0.020mg/m</w:t>
            </w:r>
            <w:r>
              <w:rPr>
                <w:sz w:val="21"/>
              </w:rPr>
              <w:t>³，含水率≤</w:t>
            </w:r>
            <w:r>
              <w:rPr>
                <w:sz w:val="21"/>
              </w:rPr>
              <w:t>8.4%</w:t>
            </w:r>
            <w:r>
              <w:rPr>
                <w:sz w:val="21"/>
              </w:rPr>
              <w:t>，抗金黄色葡萄球菌率≥</w:t>
            </w:r>
            <w:r>
              <w:rPr>
                <w:sz w:val="21"/>
              </w:rPr>
              <w:t>99.6%</w:t>
            </w:r>
            <w:r>
              <w:rPr>
                <w:sz w:val="21"/>
              </w:rPr>
              <w:t>，防出芽短梗霉为</w:t>
            </w:r>
            <w:r>
              <w:rPr>
                <w:sz w:val="21"/>
              </w:rPr>
              <w:t>0</w:t>
            </w:r>
            <w:r>
              <w:rPr>
                <w:sz w:val="21"/>
              </w:rPr>
              <w:t>级。</w:t>
            </w:r>
          </w:p>
          <w:p>
            <w:pPr>
              <w:pStyle w:val="null3"/>
              <w:jc w:val="both"/>
            </w:pPr>
            <w:r>
              <w:rPr>
                <w:sz w:val="21"/>
              </w:rPr>
              <w:t>3</w:t>
            </w:r>
            <w:r>
              <w:rPr>
                <w:sz w:val="21"/>
              </w:rPr>
              <w:t>、冷轧钢板：金属喷漆（塑）涂层；耐腐蚀</w:t>
            </w:r>
            <w:r>
              <w:rPr>
                <w:sz w:val="21"/>
              </w:rPr>
              <w:t>100h</w:t>
            </w:r>
            <w:r>
              <w:rPr>
                <w:sz w:val="21"/>
              </w:rPr>
              <w:t>后，检查划道两侧</w:t>
            </w:r>
            <w:r>
              <w:rPr>
                <w:sz w:val="21"/>
              </w:rPr>
              <w:t>3mm</w:t>
            </w:r>
            <w:r>
              <w:rPr>
                <w:sz w:val="21"/>
              </w:rPr>
              <w:t>外，应无锈迹、剥落、起皱、变色和失光等现象，硬度≥</w:t>
            </w:r>
            <w:r>
              <w:rPr>
                <w:sz w:val="21"/>
              </w:rPr>
              <w:t>3H</w:t>
            </w:r>
            <w:r>
              <w:rPr>
                <w:sz w:val="21"/>
              </w:rPr>
              <w:t>、冲击强度：冲击高度</w:t>
            </w:r>
            <w:r>
              <w:rPr>
                <w:sz w:val="21"/>
              </w:rPr>
              <w:t>400mm</w:t>
            </w:r>
            <w:r>
              <w:rPr>
                <w:sz w:val="21"/>
              </w:rPr>
              <w:t>，应无剥落、裂纹、皱纹，附着力</w:t>
            </w:r>
            <w:r>
              <w:rPr>
                <w:sz w:val="21"/>
              </w:rPr>
              <w:t>0</w:t>
            </w:r>
            <w:r>
              <w:rPr>
                <w:sz w:val="21"/>
              </w:rPr>
              <w:t>级，涂层厚度≥</w:t>
            </w:r>
            <w:r>
              <w:rPr>
                <w:sz w:val="21"/>
              </w:rPr>
              <w:t>100</w:t>
            </w:r>
            <w:r>
              <w:rPr>
                <w:sz w:val="21"/>
              </w:rPr>
              <w:t>μ</w:t>
            </w:r>
            <w:r>
              <w:rPr>
                <w:sz w:val="21"/>
              </w:rPr>
              <w:t>m</w:t>
            </w:r>
            <w:r>
              <w:rPr>
                <w:sz w:val="21"/>
              </w:rPr>
              <w:t>。乙酸盐雾试验（</w:t>
            </w:r>
            <w:r>
              <w:rPr>
                <w:sz w:val="21"/>
              </w:rPr>
              <w:t>ASS</w:t>
            </w:r>
            <w:r>
              <w:rPr>
                <w:sz w:val="21"/>
              </w:rPr>
              <w:t>试验）（连续喷雾≥</w:t>
            </w:r>
            <w:r>
              <w:rPr>
                <w:sz w:val="21"/>
              </w:rPr>
              <w:t>300</w:t>
            </w:r>
            <w:r>
              <w:rPr>
                <w:sz w:val="21"/>
              </w:rPr>
              <w:t>小时），镀（涂）层对基体的保护等级</w:t>
            </w:r>
            <w:r>
              <w:rPr>
                <w:sz w:val="21"/>
              </w:rPr>
              <w:t>10</w:t>
            </w:r>
            <w:r>
              <w:rPr>
                <w:sz w:val="21"/>
              </w:rPr>
              <w:t>级，镀</w:t>
            </w:r>
            <w:r>
              <w:rPr>
                <w:sz w:val="21"/>
              </w:rPr>
              <w:t>(</w:t>
            </w:r>
            <w:r>
              <w:rPr>
                <w:sz w:val="21"/>
              </w:rPr>
              <w:t>涂</w:t>
            </w:r>
            <w:r>
              <w:rPr>
                <w:sz w:val="21"/>
              </w:rPr>
              <w:t>)</w:t>
            </w:r>
            <w:r>
              <w:rPr>
                <w:sz w:val="21"/>
              </w:rPr>
              <w:t>层本身的耐腐蚀等级</w:t>
            </w:r>
            <w:r>
              <w:rPr>
                <w:sz w:val="21"/>
              </w:rPr>
              <w:t>10</w:t>
            </w:r>
            <w:r>
              <w:rPr>
                <w:sz w:val="21"/>
              </w:rPr>
              <w:t>级。中性盐雾（连续喷雾≥</w:t>
            </w:r>
            <w:r>
              <w:rPr>
                <w:sz w:val="21"/>
              </w:rPr>
              <w:t>300</w:t>
            </w:r>
            <w:r>
              <w:rPr>
                <w:sz w:val="21"/>
              </w:rPr>
              <w:t>小时），镀</w:t>
            </w:r>
            <w:r>
              <w:rPr>
                <w:sz w:val="21"/>
              </w:rPr>
              <w:t>(</w:t>
            </w:r>
            <w:r>
              <w:rPr>
                <w:sz w:val="21"/>
              </w:rPr>
              <w:t>涂</w:t>
            </w:r>
            <w:r>
              <w:rPr>
                <w:sz w:val="21"/>
              </w:rPr>
              <w:t>)</w:t>
            </w:r>
            <w:r>
              <w:rPr>
                <w:sz w:val="21"/>
              </w:rPr>
              <w:t>层对基体的保护等级</w:t>
            </w:r>
            <w:r>
              <w:rPr>
                <w:sz w:val="21"/>
              </w:rPr>
              <w:t>10</w:t>
            </w:r>
            <w:r>
              <w:rPr>
                <w:sz w:val="21"/>
              </w:rPr>
              <w:t>级，镀</w:t>
            </w:r>
            <w:r>
              <w:rPr>
                <w:sz w:val="21"/>
              </w:rPr>
              <w:t>(</w:t>
            </w:r>
            <w:r>
              <w:rPr>
                <w:sz w:val="21"/>
              </w:rPr>
              <w:t>涂</w:t>
            </w:r>
            <w:r>
              <w:rPr>
                <w:sz w:val="21"/>
              </w:rPr>
              <w:t>)</w:t>
            </w:r>
            <w:r>
              <w:rPr>
                <w:sz w:val="21"/>
              </w:rPr>
              <w:t>层本身的耐腐蚀等级</w:t>
            </w:r>
            <w:r>
              <w:rPr>
                <w:sz w:val="21"/>
              </w:rPr>
              <w:t>10</w:t>
            </w:r>
            <w:r>
              <w:rPr>
                <w:sz w:val="21"/>
              </w:rPr>
              <w:t>级。铜加速乙酸盐雾试验（</w:t>
            </w:r>
            <w:r>
              <w:rPr>
                <w:sz w:val="21"/>
              </w:rPr>
              <w:t>CASS</w:t>
            </w:r>
            <w:r>
              <w:rPr>
                <w:sz w:val="21"/>
              </w:rPr>
              <w:t>）（连续喷雾≥</w:t>
            </w:r>
            <w:r>
              <w:rPr>
                <w:sz w:val="21"/>
              </w:rPr>
              <w:t>800</w:t>
            </w:r>
            <w:r>
              <w:rPr>
                <w:sz w:val="21"/>
              </w:rPr>
              <w:t>小时），外观评级</w:t>
            </w:r>
            <w:r>
              <w:rPr>
                <w:sz w:val="21"/>
              </w:rPr>
              <w:t>10</w:t>
            </w:r>
            <w:r>
              <w:rPr>
                <w:sz w:val="21"/>
              </w:rPr>
              <w:t>级、保护评级</w:t>
            </w:r>
            <w:r>
              <w:rPr>
                <w:sz w:val="21"/>
              </w:rPr>
              <w:t>10</w:t>
            </w:r>
            <w:r>
              <w:rPr>
                <w:sz w:val="21"/>
              </w:rPr>
              <w:t>级。下屈服强度≥</w:t>
            </w:r>
            <w:r>
              <w:rPr>
                <w:sz w:val="21"/>
              </w:rPr>
              <w:t>390Mpa</w:t>
            </w:r>
            <w:r>
              <w:rPr>
                <w:sz w:val="21"/>
              </w:rPr>
              <w:t>；抗拉强度</w:t>
            </w:r>
            <w:r>
              <w:rPr>
                <w:sz w:val="21"/>
              </w:rPr>
              <w:t>315~430Mpa</w:t>
            </w:r>
            <w:r>
              <w:rPr>
                <w:sz w:val="21"/>
              </w:rPr>
              <w:t>；断后伸长率≥</w:t>
            </w:r>
            <w:r>
              <w:rPr>
                <w:sz w:val="21"/>
              </w:rPr>
              <w:t>40%</w:t>
            </w:r>
            <w:r>
              <w:rPr>
                <w:sz w:val="21"/>
              </w:rPr>
              <w:t>。耐霉性：黑曲霉、烟曲霉、腊叶芽枝霉、聚多曲霉（萨氏曲霉）；耐霉性等级</w:t>
            </w:r>
            <w:r>
              <w:rPr>
                <w:sz w:val="21"/>
              </w:rPr>
              <w:t>0</w:t>
            </w:r>
            <w:r>
              <w:rPr>
                <w:sz w:val="21"/>
              </w:rPr>
              <w:t>级，金相法脱碳层深度≥</w:t>
            </w:r>
            <w:r>
              <w:rPr>
                <w:sz w:val="21"/>
              </w:rPr>
              <w:t>0.25mm</w:t>
            </w:r>
            <w:r>
              <w:rPr>
                <w:sz w:val="21"/>
              </w:rPr>
              <w:t>，化学成分</w:t>
            </w:r>
            <w:r>
              <w:rPr>
                <w:sz w:val="21"/>
              </w:rPr>
              <w:t>(</w:t>
            </w:r>
            <w:r>
              <w:rPr>
                <w:sz w:val="21"/>
              </w:rPr>
              <w:t>质量分数</w:t>
            </w:r>
            <w:r>
              <w:rPr>
                <w:sz w:val="21"/>
              </w:rPr>
              <w:t>)%</w:t>
            </w:r>
            <w:r>
              <w:rPr>
                <w:sz w:val="21"/>
              </w:rPr>
              <w:t>进行检测，耐液体性：耐</w:t>
            </w:r>
            <w:r>
              <w:rPr>
                <w:sz w:val="21"/>
              </w:rPr>
              <w:t>0.9%</w:t>
            </w:r>
            <w:r>
              <w:rPr>
                <w:sz w:val="21"/>
              </w:rPr>
              <w:t>的氯化钠，</w:t>
            </w:r>
            <w:r>
              <w:rPr>
                <w:sz w:val="21"/>
              </w:rPr>
              <w:t>500h</w:t>
            </w:r>
            <w:r>
              <w:rPr>
                <w:sz w:val="21"/>
              </w:rPr>
              <w:t>后，无起泡、无剥落、无粉化。</w:t>
            </w:r>
          </w:p>
          <w:p>
            <w:pPr>
              <w:pStyle w:val="null3"/>
              <w:jc w:val="both"/>
            </w:pPr>
            <w:r>
              <w:rPr>
                <w:sz w:val="21"/>
              </w:rPr>
              <w:t>4</w:t>
            </w:r>
            <w:r>
              <w:rPr>
                <w:sz w:val="21"/>
              </w:rPr>
              <w:t>、采用五金配件</w:t>
            </w:r>
          </w:p>
          <w:p>
            <w:pPr>
              <w:pStyle w:val="null3"/>
              <w:jc w:val="both"/>
            </w:pPr>
            <w:r>
              <w:rPr>
                <w:sz w:val="21"/>
              </w:rPr>
              <w:t>参考图：</w:t>
            </w:r>
          </w:p>
          <w:p>
            <w:pPr>
              <w:pStyle w:val="null3"/>
              <w:jc w:val="both"/>
            </w:pPr>
            <w:r>
              <w:drawing>
                <wp:inline distT="0" distR="0" distB="0" distL="0">
                  <wp:extent cx="1352550" cy="100012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352550" cy="1000125"/>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套</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 xml:space="preserve">9 </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椅子</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、采用优质网布饰面，内高密度海绵，回弹力强，一次发泡成型海绵具有较高的人体工学标准要求，密度较大，不轻易凹陷变形。</w:t>
            </w:r>
          </w:p>
          <w:p>
            <w:pPr>
              <w:pStyle w:val="null3"/>
              <w:jc w:val="both"/>
            </w:pPr>
            <w:r>
              <w:rPr>
                <w:sz w:val="21"/>
              </w:rPr>
              <w:t>2</w:t>
            </w:r>
            <w:r>
              <w:rPr>
                <w:sz w:val="21"/>
              </w:rPr>
              <w:t>、阻燃海绵（软包件）：感官要求、物理力学性能、恒定负荷反复压陷疲劳性能检测合格，甲醛释放量未检出。</w:t>
            </w:r>
            <w:r>
              <w:rPr>
                <w:sz w:val="21"/>
              </w:rPr>
              <w:t xml:space="preserve">TVOC </w:t>
            </w:r>
            <w:r>
              <w:rPr>
                <w:sz w:val="21"/>
              </w:rPr>
              <w:t>未检出。表观密度≥</w:t>
            </w:r>
            <w:r>
              <w:rPr>
                <w:sz w:val="21"/>
              </w:rPr>
              <w:t>48kg/m</w:t>
            </w:r>
            <w:r>
              <w:rPr>
                <w:sz w:val="21"/>
              </w:rPr>
              <w:t>³，断裂伸长率≥</w:t>
            </w:r>
            <w:r>
              <w:rPr>
                <w:sz w:val="21"/>
              </w:rPr>
              <w:t>180%</w:t>
            </w:r>
            <w:r>
              <w:rPr>
                <w:sz w:val="21"/>
              </w:rPr>
              <w:t>。通过香烟抗引燃特性试验，阻燃达</w:t>
            </w:r>
            <w:r>
              <w:rPr>
                <w:sz w:val="21"/>
              </w:rPr>
              <w:t>I</w:t>
            </w:r>
            <w:r>
              <w:rPr>
                <w:sz w:val="21"/>
              </w:rPr>
              <w:t>级；防霉性能：球毛壳霉、产黄青霉，防霉等级</w:t>
            </w:r>
            <w:r>
              <w:rPr>
                <w:sz w:val="21"/>
              </w:rPr>
              <w:t>0</w:t>
            </w:r>
            <w:r>
              <w:rPr>
                <w:sz w:val="21"/>
              </w:rPr>
              <w:t>级，阻燃烧性能</w:t>
            </w:r>
            <w:r>
              <w:rPr>
                <w:sz w:val="21"/>
              </w:rPr>
              <w:t>B1</w:t>
            </w:r>
            <w:r>
              <w:rPr>
                <w:sz w:val="21"/>
              </w:rPr>
              <w:t>级：单位面积热释放速率峰值≤</w:t>
            </w:r>
            <w:r>
              <w:rPr>
                <w:sz w:val="21"/>
              </w:rPr>
              <w:t>230KW/m</w:t>
            </w:r>
            <w:r>
              <w:rPr>
                <w:sz w:val="21"/>
              </w:rPr>
              <w:t>²；平均燃烧时间≤</w:t>
            </w:r>
            <w:r>
              <w:rPr>
                <w:sz w:val="21"/>
              </w:rPr>
              <w:t>25S</w:t>
            </w:r>
            <w:r>
              <w:rPr>
                <w:sz w:val="21"/>
              </w:rPr>
              <w:t>；平均燃烧高度≤</w:t>
            </w:r>
            <w:r>
              <w:rPr>
                <w:sz w:val="21"/>
              </w:rPr>
              <w:t>178mm</w:t>
            </w:r>
            <w:r>
              <w:rPr>
                <w:sz w:val="21"/>
              </w:rPr>
              <w:t>。</w:t>
            </w:r>
          </w:p>
          <w:p>
            <w:pPr>
              <w:pStyle w:val="null3"/>
              <w:jc w:val="both"/>
            </w:pPr>
            <w:r>
              <w:rPr>
                <w:sz w:val="21"/>
              </w:rPr>
              <w:t>参考图：</w:t>
            </w:r>
          </w:p>
          <w:p>
            <w:pPr>
              <w:pStyle w:val="null3"/>
              <w:jc w:val="both"/>
            </w:pPr>
            <w:r>
              <w:drawing>
                <wp:inline distT="0" distR="0" distB="0" distL="0">
                  <wp:extent cx="1076325" cy="1695450"/>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076325" cy="1695450"/>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10</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展柜</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w:t>
            </w:r>
            <w:r>
              <w:rPr>
                <w:sz w:val="21"/>
              </w:rPr>
              <w:t>2000W*620D*2000H</w:t>
            </w:r>
          </w:p>
          <w:p>
            <w:pPr>
              <w:pStyle w:val="null3"/>
              <w:jc w:val="both"/>
            </w:pPr>
            <w:r>
              <w:rPr>
                <w:sz w:val="21"/>
              </w:rPr>
              <w:t>材质：</w:t>
            </w:r>
          </w:p>
          <w:p>
            <w:pPr>
              <w:pStyle w:val="null3"/>
              <w:jc w:val="both"/>
            </w:pPr>
            <w:r>
              <w:rPr>
                <w:sz w:val="21"/>
              </w:rPr>
              <w:t>1</w:t>
            </w:r>
            <w:r>
              <w:rPr>
                <w:sz w:val="21"/>
              </w:rPr>
              <w:t>、采用防火板饰面，环保</w:t>
            </w:r>
            <w:r>
              <w:rPr>
                <w:sz w:val="21"/>
              </w:rPr>
              <w:t>E1</w:t>
            </w:r>
            <w:r>
              <w:rPr>
                <w:sz w:val="21"/>
              </w:rPr>
              <w:t>级多层板基材。</w:t>
            </w:r>
          </w:p>
          <w:p>
            <w:pPr>
              <w:pStyle w:val="null3"/>
              <w:jc w:val="both"/>
            </w:pPr>
            <w:r>
              <w:rPr>
                <w:sz w:val="21"/>
              </w:rPr>
              <w:t>2</w:t>
            </w:r>
            <w:r>
              <w:rPr>
                <w:sz w:val="21"/>
              </w:rPr>
              <w:t>、多层实木板：其甲醛释放量≤</w:t>
            </w:r>
            <w:r>
              <w:rPr>
                <w:sz w:val="21"/>
              </w:rPr>
              <w:t>0.020mg/m</w:t>
            </w:r>
            <w:r>
              <w:rPr>
                <w:sz w:val="21"/>
              </w:rPr>
              <w:t>³，含水率≤</w:t>
            </w:r>
            <w:r>
              <w:rPr>
                <w:sz w:val="21"/>
              </w:rPr>
              <w:t>8.4%</w:t>
            </w:r>
            <w:r>
              <w:rPr>
                <w:sz w:val="21"/>
              </w:rPr>
              <w:t>，抗金黄色葡萄球菌率≥</w:t>
            </w:r>
            <w:r>
              <w:rPr>
                <w:sz w:val="21"/>
              </w:rPr>
              <w:t>99.6%</w:t>
            </w:r>
            <w:r>
              <w:rPr>
                <w:sz w:val="21"/>
              </w:rPr>
              <w:t>，防出芽短梗霉为</w:t>
            </w:r>
            <w:r>
              <w:rPr>
                <w:sz w:val="21"/>
              </w:rPr>
              <w:t>0</w:t>
            </w:r>
            <w:r>
              <w:rPr>
                <w:sz w:val="21"/>
              </w:rPr>
              <w:t>级。</w:t>
            </w:r>
          </w:p>
          <w:p>
            <w:pPr>
              <w:pStyle w:val="null3"/>
              <w:jc w:val="both"/>
            </w:pPr>
            <w:r>
              <w:rPr>
                <w:sz w:val="21"/>
              </w:rPr>
              <w:t>3</w:t>
            </w:r>
            <w:r>
              <w:rPr>
                <w:sz w:val="21"/>
              </w:rPr>
              <w:t>、采用优质五金配件</w:t>
            </w:r>
          </w:p>
          <w:p>
            <w:pPr>
              <w:pStyle w:val="null3"/>
              <w:jc w:val="both"/>
            </w:pPr>
            <w:r>
              <w:rPr>
                <w:sz w:val="21"/>
              </w:rPr>
              <w:t>参考图：</w:t>
            </w:r>
          </w:p>
          <w:p>
            <w:pPr>
              <w:pStyle w:val="null3"/>
              <w:jc w:val="both"/>
            </w:pPr>
            <w:r>
              <w:drawing>
                <wp:inline distT="0" distR="0" distB="0" distL="0">
                  <wp:extent cx="942975" cy="126682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942975" cy="1266825"/>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11</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收纳柜</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w:t>
            </w:r>
            <w:r>
              <w:rPr>
                <w:sz w:val="21"/>
              </w:rPr>
              <w:t>2400W*650D*1000H</w:t>
            </w:r>
          </w:p>
          <w:p>
            <w:pPr>
              <w:pStyle w:val="null3"/>
              <w:jc w:val="both"/>
            </w:pPr>
            <w:r>
              <w:rPr>
                <w:sz w:val="21"/>
              </w:rPr>
              <w:t>材质：</w:t>
            </w:r>
          </w:p>
          <w:p>
            <w:pPr>
              <w:pStyle w:val="null3"/>
              <w:jc w:val="both"/>
            </w:pPr>
            <w:r>
              <w:rPr>
                <w:sz w:val="21"/>
              </w:rPr>
              <w:t>1</w:t>
            </w:r>
            <w:r>
              <w:rPr>
                <w:sz w:val="21"/>
              </w:rPr>
              <w:t>、采用防火板饰面，环保</w:t>
            </w:r>
            <w:r>
              <w:rPr>
                <w:sz w:val="21"/>
              </w:rPr>
              <w:t>E1</w:t>
            </w:r>
            <w:r>
              <w:rPr>
                <w:sz w:val="21"/>
              </w:rPr>
              <w:t>级多层板基材。</w:t>
            </w:r>
          </w:p>
          <w:p>
            <w:pPr>
              <w:pStyle w:val="null3"/>
              <w:jc w:val="both"/>
            </w:pPr>
            <w:r>
              <w:rPr>
                <w:sz w:val="21"/>
              </w:rPr>
              <w:t>2</w:t>
            </w:r>
            <w:r>
              <w:rPr>
                <w:sz w:val="21"/>
              </w:rPr>
              <w:t>、多层实木板：其甲醛释放量≤</w:t>
            </w:r>
            <w:r>
              <w:rPr>
                <w:sz w:val="21"/>
              </w:rPr>
              <w:t>0.020mg/m</w:t>
            </w:r>
            <w:r>
              <w:rPr>
                <w:sz w:val="21"/>
              </w:rPr>
              <w:t>³，含水率≤</w:t>
            </w:r>
            <w:r>
              <w:rPr>
                <w:sz w:val="21"/>
              </w:rPr>
              <w:t>8.4%</w:t>
            </w:r>
            <w:r>
              <w:rPr>
                <w:sz w:val="21"/>
              </w:rPr>
              <w:t>，抗金黄色葡萄球菌率≥</w:t>
            </w:r>
            <w:r>
              <w:rPr>
                <w:sz w:val="21"/>
              </w:rPr>
              <w:t>99.6%</w:t>
            </w:r>
            <w:r>
              <w:rPr>
                <w:sz w:val="21"/>
              </w:rPr>
              <w:t>，防出芽短梗霉为</w:t>
            </w:r>
            <w:r>
              <w:rPr>
                <w:sz w:val="21"/>
              </w:rPr>
              <w:t>0</w:t>
            </w:r>
            <w:r>
              <w:rPr>
                <w:sz w:val="21"/>
              </w:rPr>
              <w:t>级。</w:t>
            </w:r>
          </w:p>
          <w:p>
            <w:pPr>
              <w:pStyle w:val="null3"/>
              <w:jc w:val="both"/>
            </w:pPr>
            <w:r>
              <w:rPr>
                <w:sz w:val="21"/>
              </w:rPr>
              <w:t>3</w:t>
            </w:r>
            <w:r>
              <w:rPr>
                <w:sz w:val="21"/>
              </w:rPr>
              <w:t>、采用五金配件。</w:t>
            </w:r>
          </w:p>
          <w:p>
            <w:pPr>
              <w:pStyle w:val="null3"/>
              <w:jc w:val="both"/>
            </w:pPr>
            <w:r>
              <w:rPr>
                <w:sz w:val="21"/>
              </w:rPr>
              <w:t>参考图：</w:t>
            </w:r>
          </w:p>
          <w:p>
            <w:pPr>
              <w:pStyle w:val="null3"/>
              <w:jc w:val="both"/>
            </w:pPr>
            <w:r>
              <w:drawing>
                <wp:inline distT="0" distR="0" distB="0" distL="0">
                  <wp:extent cx="1219200" cy="110490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219200" cy="1104900"/>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12</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圆凳</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材质：采用西皮面料，高回弹海绵，加粗钢脚，可折叠收纳。</w:t>
            </w:r>
          </w:p>
          <w:p>
            <w:pPr>
              <w:pStyle w:val="null3"/>
              <w:jc w:val="both"/>
            </w:pPr>
            <w:r>
              <w:rPr>
                <w:sz w:val="21"/>
              </w:rPr>
              <w:t>参考图：</w:t>
            </w:r>
          </w:p>
          <w:p>
            <w:pPr>
              <w:pStyle w:val="null3"/>
              <w:jc w:val="both"/>
            </w:pPr>
            <w:r>
              <w:drawing>
                <wp:inline distT="0" distR="0" distB="0" distL="0">
                  <wp:extent cx="714375" cy="102870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714375" cy="1028700"/>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13</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伸缩风琴长凳</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材质：牛皮纸</w:t>
            </w:r>
          </w:p>
          <w:p>
            <w:pPr>
              <w:pStyle w:val="null3"/>
              <w:jc w:val="both"/>
            </w:pPr>
            <w:r>
              <w:rPr>
                <w:sz w:val="21"/>
              </w:rPr>
              <w:t>参考图：</w:t>
            </w:r>
          </w:p>
          <w:p>
            <w:pPr>
              <w:pStyle w:val="null3"/>
              <w:jc w:val="both"/>
            </w:pPr>
            <w:r>
              <w:drawing>
                <wp:inline distT="0" distR="0" distB="0" distL="0">
                  <wp:extent cx="1371600" cy="762000"/>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371600" cy="762000"/>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14</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升降电脑桌</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w:t>
            </w:r>
            <w:r>
              <w:rPr>
                <w:sz w:val="21"/>
              </w:rPr>
              <w:t>715W*475H*765-1065H</w:t>
            </w:r>
          </w:p>
          <w:p>
            <w:pPr>
              <w:pStyle w:val="null3"/>
              <w:jc w:val="both"/>
            </w:pPr>
            <w:r>
              <w:rPr>
                <w:sz w:val="21"/>
              </w:rPr>
              <w:t>材质：</w:t>
            </w:r>
            <w:r>
              <w:rPr>
                <w:sz w:val="21"/>
              </w:rPr>
              <w:t>1</w:t>
            </w:r>
            <w:r>
              <w:rPr>
                <w:sz w:val="21"/>
              </w:rPr>
              <w:t>、采用防火板饰面，环保</w:t>
            </w:r>
            <w:r>
              <w:rPr>
                <w:sz w:val="21"/>
              </w:rPr>
              <w:t>E1</w:t>
            </w:r>
            <w:r>
              <w:rPr>
                <w:sz w:val="21"/>
              </w:rPr>
              <w:t>级多层板基材静电喷涂金属脚架。</w:t>
            </w:r>
          </w:p>
          <w:p>
            <w:pPr>
              <w:pStyle w:val="null3"/>
              <w:jc w:val="both"/>
            </w:pPr>
            <w:r>
              <w:rPr>
                <w:sz w:val="21"/>
              </w:rPr>
              <w:t>2</w:t>
            </w:r>
            <w:r>
              <w:rPr>
                <w:sz w:val="21"/>
              </w:rPr>
              <w:t>、多层实木板：其甲醛释放量≤</w:t>
            </w:r>
            <w:r>
              <w:rPr>
                <w:sz w:val="21"/>
              </w:rPr>
              <w:t>0.020mg/m</w:t>
            </w:r>
            <w:r>
              <w:rPr>
                <w:sz w:val="21"/>
              </w:rPr>
              <w:t>³，含水率≤</w:t>
            </w:r>
            <w:r>
              <w:rPr>
                <w:sz w:val="21"/>
              </w:rPr>
              <w:t>8.4%</w:t>
            </w:r>
            <w:r>
              <w:rPr>
                <w:sz w:val="21"/>
              </w:rPr>
              <w:t>，抗金黄色葡萄球菌率≥</w:t>
            </w:r>
            <w:r>
              <w:rPr>
                <w:sz w:val="21"/>
              </w:rPr>
              <w:t>99.6%</w:t>
            </w:r>
            <w:r>
              <w:rPr>
                <w:sz w:val="21"/>
              </w:rPr>
              <w:t>，防出芽短梗霉为</w:t>
            </w:r>
            <w:r>
              <w:rPr>
                <w:sz w:val="21"/>
              </w:rPr>
              <w:t>0</w:t>
            </w:r>
            <w:r>
              <w:rPr>
                <w:sz w:val="21"/>
              </w:rPr>
              <w:t>级。</w:t>
            </w:r>
          </w:p>
          <w:p>
            <w:pPr>
              <w:pStyle w:val="null3"/>
              <w:jc w:val="both"/>
            </w:pPr>
            <w:r>
              <w:rPr>
                <w:sz w:val="21"/>
              </w:rPr>
              <w:t>3</w:t>
            </w:r>
            <w:r>
              <w:rPr>
                <w:sz w:val="21"/>
              </w:rPr>
              <w:t>、冷轧钢板：金属喷漆（塑）涂层；耐腐蚀</w:t>
            </w:r>
            <w:r>
              <w:rPr>
                <w:sz w:val="21"/>
              </w:rPr>
              <w:t>100h</w:t>
            </w:r>
            <w:r>
              <w:rPr>
                <w:sz w:val="21"/>
              </w:rPr>
              <w:t>后，检查划道两侧</w:t>
            </w:r>
            <w:r>
              <w:rPr>
                <w:sz w:val="21"/>
              </w:rPr>
              <w:t>3mm</w:t>
            </w:r>
            <w:r>
              <w:rPr>
                <w:sz w:val="21"/>
              </w:rPr>
              <w:t>外，应无锈迹、剥落、起皱、变色和失光等现象，硬度≥</w:t>
            </w:r>
            <w:r>
              <w:rPr>
                <w:sz w:val="21"/>
              </w:rPr>
              <w:t>3H</w:t>
            </w:r>
            <w:r>
              <w:rPr>
                <w:sz w:val="21"/>
              </w:rPr>
              <w:t>、冲击强度：冲击高度</w:t>
            </w:r>
            <w:r>
              <w:rPr>
                <w:sz w:val="21"/>
              </w:rPr>
              <w:t>400mm</w:t>
            </w:r>
            <w:r>
              <w:rPr>
                <w:sz w:val="21"/>
              </w:rPr>
              <w:t>，应无剥落、裂纹、皱纹，附着力</w:t>
            </w:r>
            <w:r>
              <w:rPr>
                <w:sz w:val="21"/>
              </w:rPr>
              <w:t>0</w:t>
            </w:r>
            <w:r>
              <w:rPr>
                <w:sz w:val="21"/>
              </w:rPr>
              <w:t>级，涂层厚度≥</w:t>
            </w:r>
            <w:r>
              <w:rPr>
                <w:sz w:val="21"/>
              </w:rPr>
              <w:t>100</w:t>
            </w:r>
            <w:r>
              <w:rPr>
                <w:sz w:val="21"/>
              </w:rPr>
              <w:t>μ</w:t>
            </w:r>
            <w:r>
              <w:rPr>
                <w:sz w:val="21"/>
              </w:rPr>
              <w:t>m</w:t>
            </w:r>
            <w:r>
              <w:rPr>
                <w:sz w:val="21"/>
              </w:rPr>
              <w:t>。乙酸盐雾试验（</w:t>
            </w:r>
            <w:r>
              <w:rPr>
                <w:sz w:val="21"/>
              </w:rPr>
              <w:t>ASS</w:t>
            </w:r>
            <w:r>
              <w:rPr>
                <w:sz w:val="21"/>
              </w:rPr>
              <w:t>试验）（连续喷雾≥</w:t>
            </w:r>
            <w:r>
              <w:rPr>
                <w:sz w:val="21"/>
              </w:rPr>
              <w:t>300</w:t>
            </w:r>
            <w:r>
              <w:rPr>
                <w:sz w:val="21"/>
              </w:rPr>
              <w:t>小时），镀（涂）层对基体的保护等级</w:t>
            </w:r>
            <w:r>
              <w:rPr>
                <w:sz w:val="21"/>
              </w:rPr>
              <w:t>10</w:t>
            </w:r>
            <w:r>
              <w:rPr>
                <w:sz w:val="21"/>
              </w:rPr>
              <w:t>级，镀</w:t>
            </w:r>
            <w:r>
              <w:rPr>
                <w:sz w:val="21"/>
              </w:rPr>
              <w:t>(</w:t>
            </w:r>
            <w:r>
              <w:rPr>
                <w:sz w:val="21"/>
              </w:rPr>
              <w:t>涂</w:t>
            </w:r>
            <w:r>
              <w:rPr>
                <w:sz w:val="21"/>
              </w:rPr>
              <w:t>)</w:t>
            </w:r>
            <w:r>
              <w:rPr>
                <w:sz w:val="21"/>
              </w:rPr>
              <w:t>层本身的耐腐蚀等级</w:t>
            </w:r>
            <w:r>
              <w:rPr>
                <w:sz w:val="21"/>
              </w:rPr>
              <w:t>10</w:t>
            </w:r>
            <w:r>
              <w:rPr>
                <w:sz w:val="21"/>
              </w:rPr>
              <w:t>级。中性盐雾（连续喷雾≥</w:t>
            </w:r>
            <w:r>
              <w:rPr>
                <w:sz w:val="21"/>
              </w:rPr>
              <w:t>300</w:t>
            </w:r>
            <w:r>
              <w:rPr>
                <w:sz w:val="21"/>
              </w:rPr>
              <w:t>小时），镀</w:t>
            </w:r>
            <w:r>
              <w:rPr>
                <w:sz w:val="21"/>
              </w:rPr>
              <w:t>(</w:t>
            </w:r>
            <w:r>
              <w:rPr>
                <w:sz w:val="21"/>
              </w:rPr>
              <w:t>涂</w:t>
            </w:r>
            <w:r>
              <w:rPr>
                <w:sz w:val="21"/>
              </w:rPr>
              <w:t>)</w:t>
            </w:r>
            <w:r>
              <w:rPr>
                <w:sz w:val="21"/>
              </w:rPr>
              <w:t>层对基体的保护等级</w:t>
            </w:r>
            <w:r>
              <w:rPr>
                <w:sz w:val="21"/>
              </w:rPr>
              <w:t>10</w:t>
            </w:r>
            <w:r>
              <w:rPr>
                <w:sz w:val="21"/>
              </w:rPr>
              <w:t>级，镀</w:t>
            </w:r>
            <w:r>
              <w:rPr>
                <w:sz w:val="21"/>
              </w:rPr>
              <w:t>(</w:t>
            </w:r>
            <w:r>
              <w:rPr>
                <w:sz w:val="21"/>
              </w:rPr>
              <w:t>涂</w:t>
            </w:r>
            <w:r>
              <w:rPr>
                <w:sz w:val="21"/>
              </w:rPr>
              <w:t>)</w:t>
            </w:r>
            <w:r>
              <w:rPr>
                <w:sz w:val="21"/>
              </w:rPr>
              <w:t>层本身的耐腐蚀等级</w:t>
            </w:r>
            <w:r>
              <w:rPr>
                <w:sz w:val="21"/>
              </w:rPr>
              <w:t>10</w:t>
            </w:r>
            <w:r>
              <w:rPr>
                <w:sz w:val="21"/>
              </w:rPr>
              <w:t>级。铜加速乙酸盐雾试验（</w:t>
            </w:r>
            <w:r>
              <w:rPr>
                <w:sz w:val="21"/>
              </w:rPr>
              <w:t>CASS</w:t>
            </w:r>
            <w:r>
              <w:rPr>
                <w:sz w:val="21"/>
              </w:rPr>
              <w:t>）（连续喷雾≥</w:t>
            </w:r>
            <w:r>
              <w:rPr>
                <w:sz w:val="21"/>
              </w:rPr>
              <w:t>800</w:t>
            </w:r>
            <w:r>
              <w:rPr>
                <w:sz w:val="21"/>
              </w:rPr>
              <w:t>小时），外观评级</w:t>
            </w:r>
            <w:r>
              <w:rPr>
                <w:sz w:val="21"/>
              </w:rPr>
              <w:t>10</w:t>
            </w:r>
            <w:r>
              <w:rPr>
                <w:sz w:val="21"/>
              </w:rPr>
              <w:t>级、保护评级</w:t>
            </w:r>
            <w:r>
              <w:rPr>
                <w:sz w:val="21"/>
              </w:rPr>
              <w:t>10</w:t>
            </w:r>
            <w:r>
              <w:rPr>
                <w:sz w:val="21"/>
              </w:rPr>
              <w:t>级。下屈服强度≥</w:t>
            </w:r>
            <w:r>
              <w:rPr>
                <w:sz w:val="21"/>
              </w:rPr>
              <w:t>390Mpa</w:t>
            </w:r>
            <w:r>
              <w:rPr>
                <w:sz w:val="21"/>
              </w:rPr>
              <w:t>；抗拉强度</w:t>
            </w:r>
            <w:r>
              <w:rPr>
                <w:sz w:val="21"/>
              </w:rPr>
              <w:t>315~430Mpa</w:t>
            </w:r>
            <w:r>
              <w:rPr>
                <w:sz w:val="21"/>
              </w:rPr>
              <w:t>；断后伸长率≥</w:t>
            </w:r>
            <w:r>
              <w:rPr>
                <w:sz w:val="21"/>
              </w:rPr>
              <w:t>40%</w:t>
            </w:r>
            <w:r>
              <w:rPr>
                <w:sz w:val="21"/>
              </w:rPr>
              <w:t>。耐霉性：黑曲霉、烟曲霉、腊叶芽枝霉、聚多曲霉（萨氏曲霉）；耐霉性等级</w:t>
            </w:r>
            <w:r>
              <w:rPr>
                <w:sz w:val="21"/>
              </w:rPr>
              <w:t>0</w:t>
            </w:r>
            <w:r>
              <w:rPr>
                <w:sz w:val="21"/>
              </w:rPr>
              <w:t>级，金相法脱碳层深度≥</w:t>
            </w:r>
            <w:r>
              <w:rPr>
                <w:sz w:val="21"/>
              </w:rPr>
              <w:t>0.25mm</w:t>
            </w:r>
            <w:r>
              <w:rPr>
                <w:sz w:val="21"/>
              </w:rPr>
              <w:t>，化学成分</w:t>
            </w:r>
            <w:r>
              <w:rPr>
                <w:sz w:val="21"/>
              </w:rPr>
              <w:t>(</w:t>
            </w:r>
            <w:r>
              <w:rPr>
                <w:sz w:val="21"/>
              </w:rPr>
              <w:t>质量分数</w:t>
            </w:r>
            <w:r>
              <w:rPr>
                <w:sz w:val="21"/>
              </w:rPr>
              <w:t>)%</w:t>
            </w:r>
            <w:r>
              <w:rPr>
                <w:sz w:val="21"/>
              </w:rPr>
              <w:t>进行检测，耐液体性：耐</w:t>
            </w:r>
            <w:r>
              <w:rPr>
                <w:sz w:val="21"/>
              </w:rPr>
              <w:t>0.9%</w:t>
            </w:r>
            <w:r>
              <w:rPr>
                <w:sz w:val="21"/>
              </w:rPr>
              <w:t>的氯化钠，</w:t>
            </w:r>
            <w:r>
              <w:rPr>
                <w:sz w:val="21"/>
              </w:rPr>
              <w:t>500h</w:t>
            </w:r>
            <w:r>
              <w:rPr>
                <w:sz w:val="21"/>
              </w:rPr>
              <w:t>后，无起泡、无剥落、无粉化。</w:t>
            </w:r>
          </w:p>
          <w:p>
            <w:pPr>
              <w:pStyle w:val="null3"/>
              <w:jc w:val="both"/>
            </w:pPr>
            <w:r>
              <w:rPr>
                <w:sz w:val="21"/>
              </w:rPr>
              <w:t>4</w:t>
            </w:r>
            <w:r>
              <w:rPr>
                <w:sz w:val="21"/>
              </w:rPr>
              <w:t>、采用优质五金配件</w:t>
            </w:r>
          </w:p>
          <w:p>
            <w:pPr>
              <w:pStyle w:val="null3"/>
              <w:jc w:val="both"/>
            </w:pPr>
            <w:r>
              <w:rPr>
                <w:sz w:val="21"/>
              </w:rPr>
              <w:t>参考图：</w:t>
            </w:r>
          </w:p>
          <w:p>
            <w:pPr>
              <w:pStyle w:val="null3"/>
              <w:jc w:val="both"/>
            </w:pPr>
            <w:r>
              <w:drawing>
                <wp:inline distT="0" distR="0" distB="0" distL="0">
                  <wp:extent cx="1362075" cy="1562100"/>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1362075" cy="1562100"/>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张</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570"/>
              <w:jc w:val="center"/>
            </w:pPr>
            <w:r>
              <w:rPr>
                <w:sz w:val="21"/>
              </w:rPr>
              <w:t>15</w:t>
            </w: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油漆展示柜</w:t>
            </w:r>
          </w:p>
        </w:tc>
        <w:tc>
          <w:tcPr>
            <w:tcW w:type="dxa" w:w="63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尺寸：约</w:t>
            </w:r>
            <w:r>
              <w:rPr>
                <w:sz w:val="21"/>
              </w:rPr>
              <w:t>1400W*750D*650H</w:t>
            </w:r>
          </w:p>
          <w:p>
            <w:pPr>
              <w:pStyle w:val="null3"/>
              <w:jc w:val="both"/>
            </w:pPr>
            <w:r>
              <w:rPr>
                <w:sz w:val="21"/>
              </w:rPr>
              <w:t>材质：</w:t>
            </w:r>
            <w:r>
              <w:rPr>
                <w:sz w:val="21"/>
              </w:rPr>
              <w:t>1</w:t>
            </w:r>
            <w:r>
              <w:rPr>
                <w:sz w:val="21"/>
              </w:rPr>
              <w:t>、采用胡桃木皮饰面，饰面中密度纤维板（中纤板）</w:t>
            </w:r>
          </w:p>
          <w:p>
            <w:pPr>
              <w:pStyle w:val="null3"/>
              <w:jc w:val="both"/>
            </w:pPr>
            <w:r>
              <w:rPr>
                <w:sz w:val="21"/>
              </w:rPr>
              <w:t>2</w:t>
            </w:r>
            <w:r>
              <w:rPr>
                <w:sz w:val="21"/>
              </w:rPr>
              <w:t>、饰面中密度纤维板（中纤板）：甲醛释放量（气候箱法</w:t>
            </w:r>
            <w:r>
              <w:rPr>
                <w:sz w:val="21"/>
              </w:rPr>
              <w:t>)</w:t>
            </w:r>
            <w:r>
              <w:rPr>
                <w:sz w:val="21"/>
              </w:rPr>
              <w:t>≤</w:t>
            </w:r>
            <w:r>
              <w:rPr>
                <w:sz w:val="21"/>
              </w:rPr>
              <w:t>0.022mg/m</w:t>
            </w:r>
            <w:r>
              <w:rPr>
                <w:sz w:val="21"/>
              </w:rPr>
              <w:t>³，</w:t>
            </w:r>
            <w:r>
              <w:rPr>
                <w:sz w:val="21"/>
              </w:rPr>
              <w:t>含水率≤</w:t>
            </w:r>
            <w:r>
              <w:rPr>
                <w:sz w:val="21"/>
              </w:rPr>
              <w:t xml:space="preserve">6.2% </w:t>
            </w:r>
            <w:r>
              <w:rPr>
                <w:sz w:val="21"/>
              </w:rPr>
              <w:t>，表面胶合强度≥</w:t>
            </w:r>
            <w:r>
              <w:rPr>
                <w:sz w:val="21"/>
              </w:rPr>
              <w:t>0.75g/cm</w:t>
            </w:r>
            <w:r>
              <w:rPr>
                <w:sz w:val="21"/>
              </w:rPr>
              <w:t>³，静曲强度≥</w:t>
            </w:r>
            <w:r>
              <w:rPr>
                <w:sz w:val="21"/>
              </w:rPr>
              <w:t>24.5g/cm</w:t>
            </w:r>
            <w:r>
              <w:rPr>
                <w:sz w:val="21"/>
              </w:rPr>
              <w:t>³，表面耐香烟灼烧、表面耐干热、表面耐污染腐蚀、表面耐龟裂、表面耐水蒸气均达到</w:t>
            </w:r>
            <w:r>
              <w:rPr>
                <w:sz w:val="21"/>
              </w:rPr>
              <w:t>5</w:t>
            </w:r>
            <w:r>
              <w:rPr>
                <w:sz w:val="21"/>
              </w:rPr>
              <w:t>级，耐光色牢度＞灰度卡</w:t>
            </w:r>
            <w:r>
              <w:rPr>
                <w:sz w:val="21"/>
              </w:rPr>
              <w:t>4</w:t>
            </w:r>
            <w:r>
              <w:rPr>
                <w:sz w:val="21"/>
              </w:rPr>
              <w:t>级。</w:t>
            </w:r>
          </w:p>
          <w:p>
            <w:pPr>
              <w:pStyle w:val="null3"/>
              <w:jc w:val="both"/>
            </w:pPr>
            <w:r>
              <w:rPr>
                <w:sz w:val="21"/>
              </w:rPr>
              <w:t>3</w:t>
            </w:r>
            <w:r>
              <w:rPr>
                <w:sz w:val="21"/>
              </w:rPr>
              <w:t>、采用优质五金配件</w:t>
            </w:r>
          </w:p>
          <w:p>
            <w:pPr>
              <w:pStyle w:val="null3"/>
              <w:jc w:val="both"/>
            </w:pPr>
            <w:r>
              <w:rPr>
                <w:sz w:val="21"/>
              </w:rPr>
              <w:t>参考图：</w:t>
            </w:r>
          </w:p>
          <w:p>
            <w:pPr>
              <w:pStyle w:val="null3"/>
              <w:jc w:val="both"/>
            </w:pPr>
            <w:r>
              <w:drawing>
                <wp:inline distT="0" distR="0" distB="0" distL="0">
                  <wp:extent cx="1409700" cy="1219200"/>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6"/>
                          <a:stretch>
                            <a:fillRect/>
                          </a:stretch>
                        </pic:blipFill>
                        <pic:spPr>
                          <a:xfrm>
                            <a:off x="0" y="0"/>
                            <a:ext cx="1409700" cy="1219200"/>
                          </a:xfrm>
                          <a:prstGeom prst="rect">
                            <a:avLst/>
                          </a:prstGeom>
                        </pic:spPr>
                      </pic:pic>
                    </a:graphicData>
                  </a:graphic>
                </wp:inline>
              </w:drawing>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个</w:t>
            </w:r>
          </w:p>
        </w:tc>
      </w:tr>
    </w:tbl>
    <w:p>
      <w:pPr>
        <w:pStyle w:val="null3"/>
        <w:ind w:firstLine="420"/>
        <w:jc w:val="both"/>
      </w:pPr>
      <w:r>
        <w:rPr>
          <w:sz w:val="21"/>
          <w:b/>
        </w:rPr>
        <w:t>注：</w:t>
      </w:r>
      <w:r>
        <w:rPr>
          <w:sz w:val="21"/>
        </w:rPr>
        <w:t>上述演示要求：</w:t>
      </w:r>
    </w:p>
    <w:p>
      <w:pPr>
        <w:pStyle w:val="null3"/>
        <w:jc w:val="left"/>
      </w:pPr>
      <w:r>
        <w:rPr>
          <w:sz w:val="21"/>
        </w:rPr>
        <w:t>1.</w:t>
      </w:r>
      <w:r>
        <w:rPr>
          <w:sz w:val="21"/>
        </w:rPr>
        <w:t>由有效投标人进行现场功能演示及答辩，演示答辩时间约20分钟，评审专家根据其现场功能演示及答辩表现进行评分。</w:t>
      </w:r>
    </w:p>
    <w:p>
      <w:pPr>
        <w:pStyle w:val="null3"/>
        <w:jc w:val="left"/>
      </w:pPr>
      <w:r>
        <w:rPr>
          <w:sz w:val="21"/>
        </w:rPr>
        <w:t>2.</w:t>
      </w:r>
      <w:r>
        <w:rPr>
          <w:sz w:val="21"/>
        </w:rPr>
        <w:t>授权委托代理人须凭身份证原件参加现场功能演示及答辩，参加人数一般不超过3人（含授权委托代理人在内）。</w:t>
      </w:r>
    </w:p>
    <w:p>
      <w:pPr>
        <w:pStyle w:val="null3"/>
        <w:jc w:val="left"/>
      </w:pPr>
      <w:r>
        <w:rPr>
          <w:sz w:val="21"/>
        </w:rPr>
        <w:t>3.</w:t>
      </w:r>
      <w:r>
        <w:rPr>
          <w:sz w:val="21"/>
        </w:rPr>
        <w:t>投标人必须自行携带相关设备（云主机、终端、软件）至开标现场搭建演示环境，对演示项功能进行逐一演示，不允许公网、PPT、视频、图片演示。如未提供设备进行现场演示，则现场演示得0分。</w:t>
      </w:r>
    </w:p>
    <w:p>
      <w:pPr>
        <w:pStyle w:val="null3"/>
      </w:pPr>
      <w:r>
        <w:rPr/>
        <w:t>采购包1（虚拟仿真实训室建设项目）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签订合同后60天内交货安装完毕。</w:t>
            </w:r>
          </w:p>
        </w:tc>
      </w:tr>
      <w:tr>
        <w:tc>
          <w:tcPr>
            <w:tcW w:type="dxa" w:w="4153"/>
          </w:tcPr>
          <w:p>
            <w:pPr>
              <w:pStyle w:val="null3"/>
            </w:pPr>
            <w:r>
              <w:rPr/>
              <w:t>标的提供的地点</w:t>
            </w:r>
          </w:p>
        </w:tc>
        <w:tc>
          <w:tcPr>
            <w:tcW w:type="dxa" w:w="4153"/>
          </w:tcPr>
          <w:p>
            <w:pPr>
              <w:pStyle w:val="null3"/>
            </w:pPr>
            <w:r>
              <w:rPr/>
              <w:t>广东环境保护工程职业学院内采购人指定地点。</w:t>
            </w:r>
          </w:p>
        </w:tc>
      </w:tr>
      <w:tr>
        <w:tc>
          <w:tcPr>
            <w:tcW w:type="dxa" w:w="4153"/>
          </w:tcPr>
          <w:p>
            <w:pPr>
              <w:pStyle w:val="null3"/>
            </w:pPr>
            <w:r>
              <w:rPr/>
              <w:t>付款方式</w:t>
            </w:r>
          </w:p>
        </w:tc>
        <w:tc>
          <w:tcPr>
            <w:tcW w:type="dxa" w:w="4153"/>
          </w:tcPr>
          <w:p>
            <w:pPr>
              <w:pStyle w:val="null3"/>
            </w:pPr>
            <w:r>
              <w:rPr/>
              <w:t>1期：支付比例50%,（1）预付款：签订合同后在收到中标人提供的有效发票5个工作日内，支付合同总价的50%。</w:t>
            </w:r>
          </w:p>
          <w:p>
            <w:pPr>
              <w:pStyle w:val="null3"/>
            </w:pPr>
            <w:r>
              <w:rPr/>
              <w:t>2期：支付比例50%,（2）设备安装调试结束，提交全部报告材料，调试完成并验收合格后，采购人凭验收报告和中标人提供的有效发票按照合同总价的50％向中标人支付货款。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1期：（1）货物运抵采购人指定地点后，双方对货物进行初验。 ①检查货物外观，包括但不限于：外包装有无损伤、货物是否有损坏及腐蚀、掉漆现象。若外观有损坏及腐蚀、掉漆等，影响用户使用，中标人应负责更换。 ②检查货物标识，设备类应有铭牌、标注货物名称、规格、型号、生产商、出厂日期等。 （2）货物初验后，需按采购人要求，安装在指定位置，并配置至设备能正常运行后，由中标人向采购人提出正式验收申请。 ①正式验收以签订合同中的各类目的数量与参数作为验收条件。设备类应能正常运转，设备配件与配套软件应符合合同要求。 ②若提供的货物数量、参数不符，或设备不能运转。采购人不给予验收。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虚拟仿真实训室建设项目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1,722,139.00</w:t>
            </w:r>
          </w:p>
        </w:tc>
        <w:tc>
          <w:tcPr>
            <w:tcW w:type="dxa" w:w="831"/>
          </w:tcPr>
          <w:p>
            <w:pPr>
              <w:pStyle w:val="null3"/>
              <w:jc w:val="right"/>
            </w:pPr>
            <w:r>
              <w:rPr/>
              <w:t>1,722,139.00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分布式桌面云系统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虚拟仿真实训室建设项目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18.为防止因电压变化造成的干扰，所投产品符合电压暂降和短时中断和电压变化抗扰度要求（符合GB/T17626.11-2008相关标准）：电压降低30%、电压降低100%，在实验时间条件下，设备不出现画面质量降低，存储数据丢失，按键失灵现象；（提供带CMA或CNAS标识的功能性测试报告扫描件）</w:t>
            </w:r>
          </w:p>
        </w:tc>
      </w:tr>
      <w:tr>
        <w:tc>
          <w:tcPr>
            <w:tcW w:type="dxa" w:w="2076"/>
          </w:tcPr>
          <w:p/>
        </w:tc>
        <w:tc>
          <w:tcPr>
            <w:tcW w:type="dxa" w:w="415"/>
          </w:tcPr>
          <w:p>
            <w:pPr>
              <w:pStyle w:val="null3"/>
            </w:pPr>
            <w:r>
              <w:rPr/>
              <w:t>2</w:t>
            </w:r>
          </w:p>
        </w:tc>
        <w:tc>
          <w:tcPr>
            <w:tcW w:type="dxa" w:w="5814"/>
          </w:tcPr>
          <w:p>
            <w:pPr>
              <w:pStyle w:val="null3"/>
            </w:pPr>
            <w:r>
              <w:rPr/>
              <w:t>其他参数要求详见“</w:t>
            </w:r>
            <w:r>
              <w:rPr>
                <w:sz w:val="21"/>
                <w:b/>
                <w:color w:val="000000"/>
              </w:rPr>
              <w:t>三、采购内容与技术要求</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分布式桌面云系统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 xml:space="preserve">11. </w:t>
            </w:r>
            <w:r>
              <w:rPr>
                <w:sz w:val="21"/>
              </w:rPr>
              <w:t>支持端对端数据智能传输，可将已有镜像的终端作为发送端，给同教室内其他终端下发镜像，提升系统下发效率；（提供带</w:t>
            </w:r>
            <w:r>
              <w:rPr>
                <w:sz w:val="21"/>
              </w:rPr>
              <w:t>CMA</w:t>
            </w:r>
            <w:r>
              <w:rPr>
                <w:sz w:val="21"/>
              </w:rPr>
              <w:t>或</w:t>
            </w:r>
            <w:r>
              <w:rPr>
                <w:sz w:val="21"/>
              </w:rPr>
              <w:t>CNAS</w:t>
            </w:r>
            <w:r>
              <w:rPr>
                <w:sz w:val="21"/>
              </w:rPr>
              <w:t>标识的功能性测试报告扫描件）；</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w:t>
            </w:r>
            <w:r>
              <w:rPr>
                <w:sz w:val="21"/>
              </w:rPr>
              <w:t>34.</w:t>
            </w:r>
            <w:r>
              <w:rPr>
                <w:sz w:val="21"/>
              </w:rPr>
              <w:t>提供的桌面服务平台须通过符合</w:t>
            </w:r>
            <w:r>
              <w:rPr>
                <w:sz w:val="21"/>
              </w:rPr>
              <w:t>GB/T 25000.51-2016</w:t>
            </w:r>
            <w:r>
              <w:rPr>
                <w:sz w:val="21"/>
              </w:rPr>
              <w:t>标准的外设管理、终端排序、定时开关机、</w:t>
            </w:r>
            <w:r>
              <w:rPr>
                <w:sz w:val="21"/>
              </w:rPr>
              <w:t>SSD</w:t>
            </w:r>
            <w:r>
              <w:rPr>
                <w:sz w:val="21"/>
              </w:rPr>
              <w:t>测速、课表编排等功能测试，提供带</w:t>
            </w:r>
            <w:r>
              <w:rPr>
                <w:sz w:val="21"/>
              </w:rPr>
              <w:t>CMA</w:t>
            </w:r>
            <w:r>
              <w:rPr>
                <w:sz w:val="21"/>
              </w:rPr>
              <w:t>或</w:t>
            </w:r>
            <w:r>
              <w:rPr>
                <w:sz w:val="21"/>
              </w:rPr>
              <w:t>CNAS</w:t>
            </w:r>
            <w:r>
              <w:rPr>
                <w:sz w:val="21"/>
              </w:rPr>
              <w:t>标识的功能性测试报告扫描件。</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w:t>
            </w:r>
            <w:r>
              <w:rPr>
                <w:sz w:val="21"/>
              </w:rPr>
              <w:t>46.</w:t>
            </w:r>
            <w:r>
              <w:rPr>
                <w:sz w:val="21"/>
              </w:rPr>
              <w:t>底层服务器虚拟化软件需通过《信息技术弹性计算应用接口》测评；（投标文件中提供第三方检测机构出具的功能性测试报告扫描件）；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w:t>
            </w:r>
            <w:r>
              <w:rPr>
                <w:sz w:val="21"/>
              </w:rPr>
              <w:t>52.</w:t>
            </w:r>
            <w:r>
              <w:rPr>
                <w:sz w:val="21"/>
              </w:rPr>
              <w:t>要求所投产品提供对主流国产操作系统及国产芯片（如海光、兆芯）的兼容性联合互认证明文件的扫描件（证明文件是第三方认证测试报告或认证证书）。</w:t>
            </w:r>
          </w:p>
        </w:tc>
      </w:tr>
      <w:tr>
        <w:tc>
          <w:tcPr>
            <w:tcW w:type="dxa" w:w="2076"/>
          </w:tcPr>
          <w:p/>
        </w:tc>
        <w:tc>
          <w:tcPr>
            <w:tcW w:type="dxa" w:w="415"/>
          </w:tcPr>
          <w:p>
            <w:pPr>
              <w:pStyle w:val="null3"/>
            </w:pPr>
            <w:r>
              <w:rPr/>
              <w:t>5</w:t>
            </w:r>
          </w:p>
        </w:tc>
        <w:tc>
          <w:tcPr>
            <w:tcW w:type="dxa" w:w="5814"/>
          </w:tcPr>
          <w:p>
            <w:pPr>
              <w:pStyle w:val="null3"/>
            </w:pPr>
            <w:r>
              <w:rPr/>
              <w:t>其他参数要求详见“</w:t>
            </w:r>
            <w:r>
              <w:rPr>
                <w:b/>
              </w:rPr>
              <w:t>三、采购内容与技术要求</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广东环境保护工程职业学院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采购机构代理服务收费标准：按委托代理协议约定。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020-83187085/83196816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采购包1(虚拟仿真实训室建设项目)：综合评分法,是指投标文件满足招标文件全部实质性要求，且按照评审因素的量化指标评审得分最高的投标人为中标候选人的评标方法。（最低报价不是中标的唯一依据。）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供应商必须具有良好的商业信誉和健全的财务会计制度（提供以下2种证明材料之一：a. 2023年度经会计师事务所审计的财务状况报告；b.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参加政府采购活动前三年内，在经营活动中没有重大违法记录（可参照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除不适宜专门面向中小企业采购的货物外（具体清单详见用户需求内容），其它货物均面向中小企业采购。供应商提供的货物（除不适宜专门面向中小企业采购的货物外）须由中小企业生产且使用该中小企业商号或注册商标。中小企业须符合本项目采购标的对应行业（工业）的政策划分标准的中小企业。监狱企业、残疾人福利单位视同小型、微型企业。 注：中小企业应填写的投标人盖章的《中小企业声明函》（货物）为判定标准，残疾人福利性单位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且是唯一的，未超过本项目（包组）采购预算及最高限价。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如出现投标报价错误</w:t>
            </w:r>
          </w:p>
        </w:tc>
        <w:tc>
          <w:tcPr>
            <w:tcW w:type="dxa" w:w="4238"/>
          </w:tcPr>
          <w:p>
            <w:pPr>
              <w:pStyle w:val="null3"/>
            </w:pPr>
            <w:r>
              <w:rPr/>
              <w:t>如出现投标报价错误，按处理原则修正后的报价，投标人按规定书面确认。</w:t>
            </w:r>
          </w:p>
        </w:tc>
      </w:tr>
      <w:tr>
        <w:tc>
          <w:tcPr>
            <w:tcW w:type="dxa" w:w="890"/>
          </w:tcPr>
          <w:p>
            <w:pPr>
              <w:pStyle w:val="null3"/>
            </w:pPr>
            <w:r>
              <w:rPr/>
              <w:t>3</w:t>
            </w:r>
          </w:p>
        </w:tc>
        <w:tc>
          <w:tcPr>
            <w:tcW w:type="dxa" w:w="3178"/>
          </w:tcPr>
          <w:p>
            <w:pPr>
              <w:pStyle w:val="null3"/>
            </w:pPr>
            <w:r>
              <w:rPr/>
              <w:t>对标的货物没有报价漏项</w:t>
            </w:r>
          </w:p>
        </w:tc>
        <w:tc>
          <w:tcPr>
            <w:tcW w:type="dxa" w:w="4238"/>
          </w:tcPr>
          <w:p>
            <w:pPr>
              <w:pStyle w:val="null3"/>
            </w:pPr>
            <w:r>
              <w:rPr/>
              <w:t>对标的货物没有报价漏项。</w:t>
            </w:r>
          </w:p>
        </w:tc>
      </w:tr>
      <w:tr>
        <w:tc>
          <w:tcPr>
            <w:tcW w:type="dxa" w:w="890"/>
          </w:tcPr>
          <w:p>
            <w:pPr>
              <w:pStyle w:val="null3"/>
            </w:pPr>
            <w:r>
              <w:rPr/>
              <w:t>4</w:t>
            </w:r>
          </w:p>
        </w:tc>
        <w:tc>
          <w:tcPr>
            <w:tcW w:type="dxa" w:w="3178"/>
          </w:tcPr>
          <w:p>
            <w:pPr>
              <w:pStyle w:val="null3"/>
            </w:pPr>
            <w:r>
              <w:rPr/>
              <w:t>提交投标函等</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6</w:t>
            </w:r>
          </w:p>
        </w:tc>
        <w:tc>
          <w:tcPr>
            <w:tcW w:type="dxa" w:w="3178"/>
          </w:tcPr>
          <w:p>
            <w:pPr>
              <w:pStyle w:val="null3"/>
            </w:pPr>
            <w:r>
              <w:rPr/>
              <w:t>投标有效期为投标截止日起不少于90天</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未以进口产品投标</w:t>
            </w:r>
          </w:p>
        </w:tc>
        <w:tc>
          <w:tcPr>
            <w:tcW w:type="dxa" w:w="4238"/>
          </w:tcPr>
          <w:p>
            <w:pPr>
              <w:pStyle w:val="null3"/>
            </w:pPr>
            <w:r>
              <w:rPr/>
              <w:t>未以进口产品投标。</w:t>
            </w:r>
          </w:p>
        </w:tc>
      </w:tr>
      <w:tr>
        <w:tc>
          <w:tcPr>
            <w:tcW w:type="dxa" w:w="890"/>
          </w:tcPr>
          <w:p>
            <w:pPr>
              <w:pStyle w:val="null3"/>
            </w:pPr>
            <w:r>
              <w:rPr/>
              <w:t>8</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未含有采购人不可接受的附加条件</w:t>
            </w:r>
          </w:p>
        </w:tc>
        <w:tc>
          <w:tcPr>
            <w:tcW w:type="dxa" w:w="4238"/>
          </w:tcPr>
          <w:p>
            <w:pPr>
              <w:pStyle w:val="null3"/>
            </w:pPr>
            <w:r>
              <w:rPr/>
              <w:t>未含有采购人不可接受的附加条件。</w:t>
            </w:r>
          </w:p>
        </w:tc>
      </w:tr>
      <w:tr>
        <w:tc>
          <w:tcPr>
            <w:tcW w:type="dxa" w:w="890"/>
          </w:tcPr>
          <w:p>
            <w:pPr>
              <w:pStyle w:val="null3"/>
            </w:pPr>
            <w:r>
              <w:rPr/>
              <w:t>10</w:t>
            </w:r>
          </w:p>
        </w:tc>
        <w:tc>
          <w:tcPr>
            <w:tcW w:type="dxa" w:w="3178"/>
          </w:tcPr>
          <w:p>
            <w:pPr>
              <w:pStyle w:val="null3"/>
            </w:pPr>
            <w:r>
              <w:rPr/>
              <w:t>未出现采购文件所列的视为串通投标情形</w:t>
            </w:r>
          </w:p>
        </w:tc>
        <w:tc>
          <w:tcPr>
            <w:tcW w:type="dxa" w:w="4238"/>
          </w:tcPr>
          <w:p>
            <w:pPr>
              <w:pStyle w:val="null3"/>
            </w:pPr>
            <w:r>
              <w:rPr/>
              <w:t>未出现采购文件所列的视为串通投标情形。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采购包1(虚拟仿真实训室建设项目):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投标产品的重要技术指标等响应情况 (20.0分)</w:t>
            </w:r>
          </w:p>
        </w:tc>
        <w:tc>
          <w:tcPr>
            <w:tcW w:type="dxa" w:w="5076"/>
          </w:tcPr>
          <w:p>
            <w:pPr>
              <w:pStyle w:val="null3"/>
              <w:jc w:val="left"/>
            </w:pPr>
            <w:r>
              <w:rPr/>
              <w:t>本项目带“▲”号参数共5项，每完全满足1项得4分，最高得20分。 【注：招标文件技术参数中有明确要求提供的证明资料，必须提供，如不提供，按负偏离不得分;未明确要求提供证明资料的，以《技术和服务要求响应表》响应情况为准。】</w:t>
            </w:r>
          </w:p>
        </w:tc>
      </w:tr>
      <w:tr>
        <w:tc>
          <w:tcPr>
            <w:tcW w:type="dxa" w:w="922"/>
            <w:gridSpan w:val="2"/>
            <w:vMerge/>
          </w:tcPr>
          <w:p/>
        </w:tc>
        <w:tc>
          <w:tcPr>
            <w:tcW w:type="dxa" w:w="2307"/>
          </w:tcPr>
          <w:p>
            <w:pPr>
              <w:pStyle w:val="null3"/>
              <w:jc w:val="left"/>
            </w:pPr>
            <w:r>
              <w:rPr/>
              <w:t>技术指标响应情况 (9.0分)</w:t>
            </w:r>
          </w:p>
        </w:tc>
        <w:tc>
          <w:tcPr>
            <w:tcW w:type="dxa" w:w="5076"/>
          </w:tcPr>
          <w:p>
            <w:pPr>
              <w:pStyle w:val="null3"/>
              <w:jc w:val="left"/>
            </w:pPr>
            <w:r>
              <w:rPr/>
              <w:t>其他一般条款：设备主要技术参数清单中每一项产品的“规格要求”列，非“▲”、非“★”号及非演示条款完全满足时，该对应产品（内容）得0.6分，15项产品（内容）合计最高得9分。 注：采购需求中要求提供证明材料的技术参数条款须按要求提供，否则视为负偏离。其他一般条款项参数响应以《技术响应表》为准。</w:t>
            </w:r>
          </w:p>
        </w:tc>
      </w:tr>
      <w:tr>
        <w:tc>
          <w:tcPr>
            <w:tcW w:type="dxa" w:w="922"/>
            <w:gridSpan w:val="2"/>
            <w:vMerge/>
          </w:tcPr>
          <w:p/>
        </w:tc>
        <w:tc>
          <w:tcPr>
            <w:tcW w:type="dxa" w:w="2307"/>
          </w:tcPr>
          <w:p>
            <w:pPr>
              <w:pStyle w:val="null3"/>
              <w:jc w:val="left"/>
            </w:pPr>
            <w:r>
              <w:rPr/>
              <w:t>技术培训方案 (2.0分)</w:t>
            </w:r>
            <w:r>
              <w:rPr/>
              <w:t>，（等次分值选择：</w:t>
            </w:r>
            <w:r>
              <w:rPr/>
              <w:t>0.0;</w:t>
            </w:r>
            <w:r>
              <w:rPr/>
              <w:t>1.0;</w:t>
            </w:r>
            <w:r>
              <w:rPr/>
              <w:t>1.5;</w:t>
            </w:r>
            <w:r>
              <w:rPr/>
              <w:t>2.0;</w:t>
            </w:r>
            <w:r>
              <w:rPr/>
              <w:t>）</w:t>
            </w:r>
          </w:p>
        </w:tc>
        <w:tc>
          <w:tcPr>
            <w:tcW w:type="dxa" w:w="5076"/>
          </w:tcPr>
          <w:p>
            <w:pPr>
              <w:pStyle w:val="null3"/>
              <w:jc w:val="left"/>
            </w:pPr>
            <w:r>
              <w:rPr/>
              <w:t>投标人的技术培训方案，包括技术培训方案是否具体、详细、完善、有利于项目保障进行评价： 1、方案完全满足且优于采购需求的，得2分； 2、方案满足采购需求的，得1.5分； 3、方案不完全满足采购需求的，得1分； 4、其他情况不得分。</w:t>
            </w:r>
          </w:p>
        </w:tc>
      </w:tr>
      <w:tr>
        <w:tc>
          <w:tcPr>
            <w:tcW w:type="dxa" w:w="922"/>
            <w:gridSpan w:val="2"/>
            <w:vMerge/>
          </w:tcPr>
          <w:p/>
        </w:tc>
        <w:tc>
          <w:tcPr>
            <w:tcW w:type="dxa" w:w="2307"/>
          </w:tcPr>
          <w:p>
            <w:pPr>
              <w:pStyle w:val="null3"/>
              <w:jc w:val="left"/>
            </w:pPr>
            <w:r>
              <w:rPr/>
              <w:t>售后服务方案 (2.0分)</w:t>
            </w:r>
            <w:r>
              <w:rPr/>
              <w:t>，（等次分值选择：</w:t>
            </w:r>
            <w:r>
              <w:rPr/>
              <w:t>0.0;</w:t>
            </w:r>
            <w:r>
              <w:rPr/>
              <w:t>1.0;</w:t>
            </w:r>
            <w:r>
              <w:rPr/>
              <w:t>1.5;</w:t>
            </w:r>
            <w:r>
              <w:rPr/>
              <w:t>2.0;</w:t>
            </w:r>
            <w:r>
              <w:rPr/>
              <w:t>）</w:t>
            </w:r>
          </w:p>
        </w:tc>
        <w:tc>
          <w:tcPr>
            <w:tcW w:type="dxa" w:w="5076"/>
          </w:tcPr>
          <w:p>
            <w:pPr>
              <w:pStyle w:val="null3"/>
              <w:jc w:val="left"/>
            </w:pPr>
            <w:r>
              <w:rPr/>
              <w:t>投标人针对本项目的售后服务方案，且同时包括但不限于维修响应时间、维护维修方案、服务承诺、技术支持、服务便利程度。 1、售后服务方案完全满足且优于采购需求的，得2分； 2、售后服务方案完全满足采购需求的，得1.5分； 3、售后服务方案不完全满足采购需求的，得1分； 注：未提供的不得分。 本小项不得分，项目实施方案均不得分。</w:t>
            </w:r>
          </w:p>
        </w:tc>
      </w:tr>
      <w:tr>
        <w:tc>
          <w:tcPr>
            <w:tcW w:type="dxa" w:w="922"/>
            <w:gridSpan w:val="2"/>
            <w:vMerge/>
          </w:tcPr>
          <w:p/>
        </w:tc>
        <w:tc>
          <w:tcPr>
            <w:tcW w:type="dxa" w:w="2307"/>
          </w:tcPr>
          <w:p>
            <w:pPr>
              <w:pStyle w:val="null3"/>
              <w:jc w:val="left"/>
            </w:pPr>
            <w:r>
              <w:rPr/>
              <w:t>项目实施方案 (3.0分)</w:t>
            </w:r>
            <w:r>
              <w:rPr/>
              <w:t>，（等次分值选择：</w:t>
            </w:r>
            <w:r>
              <w:rPr/>
              <w:t>0.0;</w:t>
            </w:r>
            <w:r>
              <w:rPr/>
              <w:t>2.0;</w:t>
            </w:r>
            <w:r>
              <w:rPr/>
              <w:t>3.0;</w:t>
            </w:r>
            <w:r>
              <w:rPr/>
              <w:t>）</w:t>
            </w:r>
          </w:p>
        </w:tc>
        <w:tc>
          <w:tcPr>
            <w:tcW w:type="dxa" w:w="5076"/>
          </w:tcPr>
          <w:p>
            <w:pPr>
              <w:pStyle w:val="null3"/>
              <w:jc w:val="left"/>
            </w:pPr>
            <w:r>
              <w:rPr/>
              <w:t>针对投标人提供的本项目的项目实施方案进行综合评审： 1、项目实施方案优于或完全满足采购需求的，得3分； 2、项目实施方案部分满足采购需求的，得2分； 3、方案不能满足采购需求或其他，不得分。</w:t>
            </w:r>
          </w:p>
        </w:tc>
      </w:tr>
      <w:tr>
        <w:tc>
          <w:tcPr>
            <w:tcW w:type="dxa" w:w="922"/>
            <w:gridSpan w:val="2"/>
            <w:vMerge/>
          </w:tcPr>
          <w:p/>
        </w:tc>
        <w:tc>
          <w:tcPr>
            <w:tcW w:type="dxa" w:w="2307"/>
          </w:tcPr>
          <w:p>
            <w:pPr>
              <w:pStyle w:val="null3"/>
              <w:jc w:val="left"/>
            </w:pPr>
            <w:r>
              <w:rPr/>
              <w:t>现场演示 (24.0分)</w:t>
            </w:r>
          </w:p>
        </w:tc>
        <w:tc>
          <w:tcPr>
            <w:tcW w:type="dxa" w:w="5076"/>
          </w:tcPr>
          <w:p>
            <w:pPr>
              <w:pStyle w:val="null3"/>
              <w:jc w:val="left"/>
            </w:pPr>
            <w:r>
              <w:rPr/>
              <w:t>演示要求详见用户需求书。评分细则如下，本项满分24分，每完全满足一项得4分： 演示条款如下： 1、支持消息发布功能，管理员可直接通过web管理平台给终端发送消息，在场景选单页面即可接收消息（还没进入windows系统环境下），消息可在屏幕上方从右到左滚动显示，在滚动显示消息的状态下，点击选择进入win10系统后，可看到win10系统的完整开机流程； 2、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也可对模板进行转让与共享； 3、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拖动后可自动弹出文件保存路径选择界面； 4、针对教室桌面，能够设定独立的场景数据盘，并自动挂载到终端操作系统，针对场景数据盘能够设定清空策略，支持不清空/每周清空/每月清空等方式，满足单个专业环境下的数据存储要求； 5、支持微信扫码登录web管理平台后，在web管理平台里对模板分享链接，管理员可以将编辑模板的链接分享给需要编辑模板的用户，在浏览器中直接输入链接地址即可对模板进行编辑，支持分享日期、分享链接的失效期设置； 6、支持在虚拟桌面管理平台上编辑学期课表 (无需依赖第三方软件或脚本)，可设置学期开始和结束时间、每节课起始时间（支持单双周排课），可直接将桌面模板拖拽到课表中，例如将win10镜像拖动到周一的第3、4节课；</w:t>
            </w:r>
          </w:p>
        </w:tc>
      </w:tr>
      <w:tr>
        <w:tc>
          <w:tcPr>
            <w:tcW w:type="dxa" w:w="922"/>
            <w:gridSpan w:val="2"/>
            <w:vMerge w:val="restart"/>
          </w:tcPr>
          <w:p>
            <w:pPr>
              <w:pStyle w:val="null3"/>
              <w:jc w:val="center"/>
            </w:pPr>
            <w:r>
              <w:rPr/>
              <w:t>商务部分</w:t>
            </w:r>
          </w:p>
        </w:tc>
        <w:tc>
          <w:tcPr>
            <w:tcW w:type="dxa" w:w="2307"/>
          </w:tcPr>
          <w:p>
            <w:pPr>
              <w:pStyle w:val="null3"/>
              <w:jc w:val="left"/>
            </w:pPr>
            <w:r>
              <w:rPr/>
              <w:t>供应商综合实力 (5.0分)</w:t>
            </w:r>
          </w:p>
        </w:tc>
        <w:tc>
          <w:tcPr>
            <w:tcW w:type="dxa" w:w="5076"/>
          </w:tcPr>
          <w:p>
            <w:pPr>
              <w:pStyle w:val="null3"/>
              <w:jc w:val="left"/>
            </w:pPr>
            <w:r>
              <w:rPr/>
              <w:t>供应商应规范管理，建立各项管理体系： 具有有效的认证范围与信息化设备或系统集成相关的质量管理体系认证证书（认证范围与信息化设备或系统集成相关）得5分； 注：提供证书复印件，和在“全国认证认可信息公共服务平台”（http://cx.cnca.cn）对体系证书的信息查询截图作为评审依据，已失效或撤销或暂停的或不提供不得分。上述证书如因企业成立时间不足3个月而未能获得的且提供书面说明的，可对应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投标人提供已完成的2022年1月1日以来(以合同签订时间为准)系统集成项目业绩，每提供一份同类业绩得2.5分，本项最高得5分。 注：提供对应项目的合同关键页和验收报告的复印件（验收报告必须盖有用户单位或验收部门公章）。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广东省政府采购</w:t>
      </w:r>
    </w:p>
    <w:p>
      <w:pPr>
        <w:pStyle w:val="null3"/>
        <w:jc w:val="both"/>
      </w:pPr>
      <w:r>
        <w:rPr>
          <w:sz w:val="48"/>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21"/>
                <w:b/>
              </w:rPr>
              <w:t>采购编号：</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21"/>
                <w:b/>
              </w:rPr>
              <w:t>项目名称：</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bl>
    <w:p>
      <w:pPr>
        <w:pStyle w:val="null3"/>
        <w:jc w:val="both"/>
      </w:pPr>
      <w:r>
        <w:rPr>
          <w:sz w:val="21"/>
          <w:b/>
        </w:rPr>
        <w:t>甲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b/>
        </w:rPr>
        <w:t>乙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rPr>
        <w:t>项目名称：</w:t>
      </w:r>
      <w:r>
        <w:rPr>
          <w:sz w:val="21"/>
          <w:u w:val="single"/>
        </w:rPr>
        <w:t>　　　　　　　　　　　　　　　　　　　</w:t>
      </w:r>
      <w:r>
        <w:rPr>
          <w:sz w:val="21"/>
        </w:rPr>
        <w:t>　　采购编号：</w:t>
      </w:r>
      <w:r>
        <w:rPr>
          <w:sz w:val="21"/>
          <w:u w:val="single"/>
        </w:rPr>
        <w:t>　　　　　　　　　　</w:t>
      </w:r>
    </w:p>
    <w:p>
      <w:pPr>
        <w:pStyle w:val="null3"/>
        <w:jc w:val="both"/>
      </w:pPr>
      <w:r>
        <w:rPr>
          <w:sz w:val="21"/>
        </w:rPr>
        <w:t xml:space="preserve">根据 </w:t>
      </w:r>
      <w:r>
        <w:rPr>
          <w:sz w:val="21"/>
          <w:u w:val="single"/>
        </w:rPr>
        <w:t xml:space="preserve">              项目</w:t>
      </w:r>
      <w:r>
        <w:rPr>
          <w:sz w:val="21"/>
        </w:rPr>
        <w:t>的采购结果，按照《中华人民共和国政府采购法》、《合同法》的规定，</w:t>
      </w:r>
      <w:r>
        <w:rPr>
          <w:sz w:val="21"/>
        </w:rPr>
        <w:t>经双方协商，</w:t>
      </w:r>
      <w:r>
        <w:rPr>
          <w:sz w:val="21"/>
        </w:rPr>
        <w:t>本着平等互利和诚实信用的原则，</w:t>
      </w:r>
      <w:r>
        <w:rPr>
          <w:sz w:val="21"/>
        </w:rPr>
        <w:t>一致同意签订本合同如下。</w:t>
      </w:r>
    </w:p>
    <w:p>
      <w:pPr>
        <w:pStyle w:val="null3"/>
        <w:ind w:left="855"/>
        <w:jc w:val="both"/>
      </w:pPr>
      <w:r>
        <w:rPr>
          <w:sz w:val="21"/>
          <w:b/>
        </w:rPr>
        <w:t>一、   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5"/>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商品名称</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单价(元)</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合计总额：￥</w:t>
            </w:r>
            <w:r>
              <w:rPr>
                <w:sz w:val="21"/>
                <w:u w:val="single"/>
              </w:rPr>
              <w:t xml:space="preserve">                           </w:t>
            </w:r>
            <w:r>
              <w:rPr>
                <w:sz w:val="21"/>
              </w:rPr>
              <w:t>；    大写：</w:t>
            </w:r>
            <w:r>
              <w:rPr>
                <w:sz w:val="21"/>
                <w:u w:val="single"/>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ind w:left="855"/>
        <w:jc w:val="both"/>
      </w:pPr>
      <w:r>
        <w:rPr>
          <w:sz w:val="21"/>
          <w:b/>
        </w:rPr>
        <w:t>二、   合同金额</w:t>
      </w:r>
    </w:p>
    <w:p>
      <w:pPr>
        <w:pStyle w:val="null3"/>
        <w:ind w:left="855"/>
        <w:jc w:val="both"/>
      </w:pPr>
      <w:r>
        <w:rPr>
          <w:sz w:val="21"/>
        </w:rPr>
        <w:t xml:space="preserve">              </w:t>
      </w:r>
      <w:r>
        <w:rPr>
          <w:sz w:val="21"/>
        </w:rPr>
        <w:t>合同金额为（大写）：</w:t>
      </w:r>
      <w:r>
        <w:rPr>
          <w:sz w:val="21"/>
        </w:rPr>
        <w:t>_________________</w:t>
      </w:r>
      <w:r>
        <w:rPr>
          <w:sz w:val="21"/>
        </w:rPr>
        <w:t>元（￥</w:t>
      </w:r>
      <w:r>
        <w:rPr>
          <w:sz w:val="21"/>
        </w:rPr>
        <w:t>_______________</w:t>
      </w:r>
      <w:r>
        <w:rPr>
          <w:sz w:val="21"/>
        </w:rPr>
        <w:t>元）人民币。</w:t>
      </w:r>
    </w:p>
    <w:p>
      <w:pPr>
        <w:pStyle w:val="null3"/>
        <w:ind w:left="855"/>
        <w:jc w:val="both"/>
      </w:pPr>
      <w:r>
        <w:rPr>
          <w:sz w:val="21"/>
          <w:b/>
        </w:rPr>
        <w:t>三、   设备要求</w:t>
      </w:r>
    </w:p>
    <w:p>
      <w:pPr>
        <w:pStyle w:val="null3"/>
        <w:ind w:left="855"/>
        <w:jc w:val="both"/>
      </w:pPr>
      <w:r>
        <w:rPr>
          <w:sz w:val="21"/>
        </w:rPr>
        <w:t xml:space="preserve">        </w:t>
      </w:r>
      <w:r>
        <w:rPr>
          <w:sz w:val="21"/>
        </w:rPr>
        <w:t>货物为原制造商制造的全新产品，整机无污染，无侵权行为、表面无划损、无任何缺陷隐患，在中国境内可依常规安全合法使用。</w:t>
      </w:r>
    </w:p>
    <w:p>
      <w:pPr>
        <w:pStyle w:val="null3"/>
        <w:ind w:left="855"/>
        <w:jc w:val="both"/>
      </w:pPr>
      <w:r>
        <w:rPr>
          <w:sz w:val="21"/>
          <w:b/>
        </w:rPr>
        <w:t>四、   交货期、交货方式及交货地点</w:t>
      </w:r>
    </w:p>
    <w:p>
      <w:pPr>
        <w:pStyle w:val="null3"/>
        <w:ind w:left="855"/>
        <w:jc w:val="both"/>
      </w:pPr>
      <w:r>
        <w:rPr>
          <w:sz w:val="21"/>
        </w:rPr>
        <w:t xml:space="preserve">1.      </w:t>
      </w:r>
      <w:r>
        <w:rPr>
          <w:sz w:val="21"/>
        </w:rPr>
        <w:t>交货期：</w:t>
      </w:r>
    </w:p>
    <w:p>
      <w:pPr>
        <w:pStyle w:val="null3"/>
        <w:ind w:left="855"/>
        <w:jc w:val="both"/>
      </w:pPr>
      <w:r>
        <w:rPr>
          <w:sz w:val="21"/>
        </w:rPr>
        <w:t xml:space="preserve">2.      </w:t>
      </w:r>
      <w:r>
        <w:rPr>
          <w:sz w:val="21"/>
        </w:rPr>
        <w:t>交货方式：</w:t>
      </w:r>
    </w:p>
    <w:p>
      <w:pPr>
        <w:pStyle w:val="null3"/>
        <w:ind w:left="855"/>
        <w:jc w:val="both"/>
      </w:pPr>
      <w:r>
        <w:rPr>
          <w:sz w:val="21"/>
        </w:rPr>
        <w:t xml:space="preserve">3.      </w:t>
      </w:r>
      <w:r>
        <w:rPr>
          <w:sz w:val="21"/>
        </w:rPr>
        <w:t>交货地点：</w:t>
      </w:r>
    </w:p>
    <w:p>
      <w:pPr>
        <w:pStyle w:val="null3"/>
        <w:ind w:left="855"/>
        <w:jc w:val="both"/>
      </w:pPr>
      <w:r>
        <w:rPr>
          <w:sz w:val="21"/>
          <w:b/>
        </w:rPr>
        <w:t>五、   付款方式</w:t>
      </w:r>
    </w:p>
    <w:p>
      <w:pPr>
        <w:pStyle w:val="null3"/>
        <w:ind w:left="855"/>
        <w:jc w:val="both"/>
      </w:pPr>
      <w:r>
        <w:rPr>
          <w:sz w:val="21"/>
        </w:rPr>
        <w:t xml:space="preserve">        </w:t>
      </w:r>
      <w:r>
        <w:rPr>
          <w:sz w:val="21"/>
        </w:rPr>
        <w:t>由甲方按下列程序在</w:t>
      </w:r>
      <w:r>
        <w:rPr>
          <w:sz w:val="21"/>
          <w:u w:val="single"/>
        </w:rPr>
        <w:t xml:space="preserve">        </w:t>
      </w:r>
      <w:r>
        <w:rPr>
          <w:sz w:val="21"/>
        </w:rPr>
        <w:t>内付款：</w:t>
      </w:r>
    </w:p>
    <w:p>
      <w:pPr>
        <w:pStyle w:val="null3"/>
        <w:ind w:left="855"/>
        <w:jc w:val="both"/>
      </w:pPr>
      <w:r>
        <w:rPr>
          <w:sz w:val="21"/>
        </w:rPr>
        <w:t xml:space="preserve">1.      </w:t>
      </w:r>
      <w:r>
        <w:rPr>
          <w:sz w:val="21"/>
        </w:rPr>
        <w:t>预付款：签订合同后，支付合同总价的</w:t>
      </w:r>
      <w:r>
        <w:rPr>
          <w:sz w:val="21"/>
          <w:u w:val="single"/>
        </w:rPr>
        <w:t xml:space="preserve">      </w:t>
      </w:r>
      <w:r>
        <w:rPr>
          <w:sz w:val="21"/>
        </w:rPr>
        <w:t>%。</w:t>
      </w:r>
    </w:p>
    <w:p>
      <w:pPr>
        <w:pStyle w:val="null3"/>
        <w:ind w:left="855"/>
        <w:jc w:val="both"/>
      </w:pPr>
      <w:r>
        <w:rPr>
          <w:sz w:val="21"/>
        </w:rPr>
        <w:t xml:space="preserve">2.      </w:t>
      </w:r>
      <w:r>
        <w:rPr>
          <w:sz w:val="21"/>
        </w:rPr>
        <w:t>设备安装调试结束，提交全部报告材料，调试完成并验收合格后，支付至合同金额的</w:t>
      </w:r>
      <w:r>
        <w:rPr>
          <w:sz w:val="21"/>
          <w:u w:val="single"/>
        </w:rPr>
        <w:t xml:space="preserve">      </w:t>
      </w:r>
      <w:r>
        <w:rPr>
          <w:sz w:val="21"/>
        </w:rPr>
        <w:t>%，同时无息退还乙方的合同履约保证金。</w:t>
      </w:r>
    </w:p>
    <w:p>
      <w:pPr>
        <w:pStyle w:val="null3"/>
        <w:ind w:left="855"/>
        <w:jc w:val="both"/>
      </w:pPr>
      <w:r>
        <w:rPr>
          <w:sz w:val="21"/>
        </w:rPr>
        <w:t xml:space="preserve">3.      </w:t>
      </w:r>
      <w:r>
        <w:rPr>
          <w:sz w:val="21"/>
        </w:rPr>
        <w:t>从验收合格之日起，正常使用</w:t>
      </w:r>
      <w:r>
        <w:rPr>
          <w:sz w:val="21"/>
          <w:u w:val="single"/>
        </w:rPr>
        <w:t xml:space="preserve">     </w:t>
      </w:r>
      <w:r>
        <w:rPr>
          <w:sz w:val="21"/>
        </w:rPr>
        <w:t>个月后，支付合同总价的</w:t>
      </w:r>
      <w:r>
        <w:rPr>
          <w:sz w:val="21"/>
          <w:u w:val="single"/>
        </w:rPr>
        <w:t xml:space="preserve">    </w:t>
      </w:r>
      <w:r>
        <w:rPr>
          <w:sz w:val="21"/>
        </w:rPr>
        <w:t>％。</w:t>
      </w:r>
    </w:p>
    <w:p>
      <w:pPr>
        <w:pStyle w:val="null3"/>
        <w:ind w:left="855"/>
        <w:jc w:val="both"/>
      </w:pPr>
      <w:r>
        <w:rPr>
          <w:sz w:val="21"/>
        </w:rPr>
        <w:t xml:space="preserve">4.      </w:t>
      </w:r>
      <w:r>
        <w:rPr>
          <w:sz w:val="21"/>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left="855"/>
        <w:jc w:val="both"/>
      </w:pPr>
      <w:r>
        <w:rPr>
          <w:sz w:val="21"/>
          <w:b/>
        </w:rPr>
        <w:t>六、   质保期及售后服务要求</w:t>
      </w:r>
    </w:p>
    <w:p>
      <w:pPr>
        <w:pStyle w:val="null3"/>
        <w:ind w:left="855"/>
        <w:jc w:val="both"/>
      </w:pPr>
      <w:r>
        <w:rPr>
          <w:sz w:val="21"/>
        </w:rPr>
        <w:t xml:space="preserve">1.      </w:t>
      </w:r>
      <w:r>
        <w:rPr>
          <w:sz w:val="21"/>
        </w:rPr>
        <w:t>本合同的质量保证期（简称“质保期”）为</w:t>
      </w:r>
      <w:r>
        <w:rPr>
          <w:sz w:val="21"/>
          <w:u w:val="single"/>
        </w:rPr>
        <w:t xml:space="preserve">     </w:t>
      </w:r>
      <w:r>
        <w:rPr>
          <w:sz w:val="21"/>
        </w:rPr>
        <w:t>年，质保期内乙方对所供货物实行包修、包换、包退及合同约定的其它事项，期满后可同时提供终身</w:t>
      </w:r>
      <w:r>
        <w:rPr>
          <w:sz w:val="21"/>
          <w:u w:val="single"/>
        </w:rPr>
        <w:t>(免费/有偿)</w:t>
      </w:r>
      <w:r>
        <w:rPr>
          <w:sz w:val="21"/>
        </w:rPr>
        <w:t>维修保养服务。</w:t>
      </w:r>
    </w:p>
    <w:p>
      <w:pPr>
        <w:pStyle w:val="null3"/>
        <w:ind w:left="855"/>
        <w:jc w:val="both"/>
      </w:pPr>
      <w:r>
        <w:rPr>
          <w:sz w:val="21"/>
        </w:rPr>
        <w:t xml:space="preserve">2.      </w:t>
      </w:r>
      <w:r>
        <w:rPr>
          <w:sz w:val="21"/>
        </w:rPr>
        <w:t>质保期内，如设备或零部件因质量原因出现故障而造成短期停用时，则质保期和免费维修期相应顺延。如停用时间累计超过60天则质保期重新计算。</w:t>
      </w:r>
    </w:p>
    <w:p>
      <w:pPr>
        <w:pStyle w:val="null3"/>
        <w:ind w:left="855"/>
        <w:jc w:val="both"/>
      </w:pPr>
      <w:r>
        <w:rPr>
          <w:sz w:val="21"/>
        </w:rPr>
        <w:t xml:space="preserve">3.      </w:t>
      </w:r>
      <w:r>
        <w:rPr>
          <w:sz w:val="21"/>
        </w:rPr>
        <w:t>对甲方的服务通知，乙方在接报后1小时内响应，4小时内到达现场，48小时内处理完毕。若在48小时内仍未能有效解决，乙方须免费提供同档次的设备予甲方临时使用。</w:t>
      </w:r>
    </w:p>
    <w:p>
      <w:pPr>
        <w:pStyle w:val="null3"/>
        <w:ind w:left="855"/>
        <w:jc w:val="both"/>
      </w:pPr>
      <w:r>
        <w:rPr>
          <w:sz w:val="21"/>
          <w:b/>
        </w:rPr>
        <w:t>七、   安装与调试</w:t>
      </w:r>
    </w:p>
    <w:p>
      <w:pPr>
        <w:pStyle w:val="null3"/>
        <w:ind w:left="855"/>
        <w:jc w:val="both"/>
      </w:pPr>
      <w:r>
        <w:rPr>
          <w:sz w:val="21"/>
        </w:rPr>
        <w:t xml:space="preserve">1.      </w:t>
      </w:r>
      <w:r>
        <w:rPr>
          <w:sz w:val="21"/>
        </w:rPr>
        <w:t>乙方必须依照招标文件的要求和报价文件的承诺，将设备、系统安装并调试至正常运行的最佳状态。</w:t>
      </w:r>
    </w:p>
    <w:p>
      <w:pPr>
        <w:pStyle w:val="null3"/>
        <w:ind w:left="855"/>
        <w:jc w:val="both"/>
      </w:pPr>
      <w:r>
        <w:rPr>
          <w:sz w:val="21"/>
          <w:b/>
        </w:rPr>
        <w:t>八、   验收：</w:t>
      </w:r>
    </w:p>
    <w:p>
      <w:pPr>
        <w:pStyle w:val="null3"/>
        <w:ind w:left="855"/>
        <w:jc w:val="both"/>
      </w:pPr>
      <w:r>
        <w:rPr>
          <w:sz w:val="21"/>
        </w:rPr>
        <w:t xml:space="preserve">1.      </w:t>
      </w:r>
      <w:r>
        <w:rPr>
          <w:sz w:val="21"/>
        </w:rPr>
        <w:t>交付验收标准</w:t>
      </w:r>
      <w:r>
        <w:rPr>
          <w:sz w:val="21"/>
        </w:rPr>
        <w:t>依次序对照适用</w:t>
      </w:r>
      <w:r>
        <w:rPr>
          <w:sz w:val="21"/>
        </w:rPr>
        <w:t>标准</w:t>
      </w:r>
      <w:r>
        <w:rPr>
          <w:sz w:val="21"/>
        </w:rPr>
        <w:t>为：</w:t>
      </w:r>
      <w:r>
        <w:rPr>
          <w:sz w:val="21"/>
        </w:rPr>
        <w:t>①符合中华人民共和国国家安全质量标准、环保标准或行业标准；②符合招标文件和响应承诺中甲方认可的合理最佳配置、参数及各项要求；③货物来源国官方标准。</w:t>
      </w:r>
    </w:p>
    <w:p>
      <w:pPr>
        <w:pStyle w:val="null3"/>
        <w:ind w:left="855"/>
        <w:jc w:val="both"/>
      </w:pPr>
      <w:r>
        <w:rPr>
          <w:sz w:val="21"/>
        </w:rPr>
        <w:t xml:space="preserve">2.      </w:t>
      </w:r>
      <w:r>
        <w:rPr>
          <w:sz w:val="21"/>
        </w:rPr>
        <w:t>进口产品必须具备原产地证明和商检局的检验证明及合法进货渠道证明。</w:t>
      </w:r>
    </w:p>
    <w:p>
      <w:pPr>
        <w:pStyle w:val="null3"/>
        <w:ind w:left="855"/>
        <w:jc w:val="both"/>
      </w:pPr>
      <w:r>
        <w:rPr>
          <w:sz w:val="21"/>
        </w:rPr>
        <w:t xml:space="preserve">3.      </w:t>
      </w:r>
      <w:r>
        <w:rPr>
          <w:sz w:val="21"/>
        </w:rPr>
        <w:t>货物为原厂商未启封全新包装，具出厂合格证，序列号、包装箱号与出厂批号一致，并可追索查阅。所有随设备的附件必须齐全。</w:t>
      </w:r>
    </w:p>
    <w:p>
      <w:pPr>
        <w:pStyle w:val="null3"/>
        <w:ind w:left="855"/>
        <w:jc w:val="both"/>
      </w:pPr>
      <w:r>
        <w:rPr>
          <w:sz w:val="21"/>
        </w:rPr>
        <w:t xml:space="preserve">4.      </w:t>
      </w:r>
      <w:r>
        <w:rPr>
          <w:sz w:val="21"/>
        </w:rPr>
        <w:t>乙方应将关键主机设备的用户手册、保修手册、有关单证资料及配备件、随机工具等交付给甲方，使用操作及安全须知等重要资料应附有中文说明。</w:t>
      </w:r>
    </w:p>
    <w:p>
      <w:pPr>
        <w:pStyle w:val="null3"/>
        <w:ind w:left="855"/>
        <w:jc w:val="both"/>
      </w:pPr>
      <w:r>
        <w:rPr>
          <w:sz w:val="21"/>
        </w:rPr>
        <w:t xml:space="preserve">5.      </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855"/>
        <w:jc w:val="both"/>
      </w:pPr>
      <w:r>
        <w:rPr>
          <w:sz w:val="21"/>
          <w:b/>
        </w:rPr>
        <w:t>九、   违约责任与赔偿损失</w:t>
      </w:r>
    </w:p>
    <w:p>
      <w:pPr>
        <w:pStyle w:val="null3"/>
        <w:ind w:left="855"/>
        <w:jc w:val="both"/>
      </w:pPr>
      <w:r>
        <w:rPr>
          <w:sz w:val="21"/>
        </w:rPr>
        <w:t xml:space="preserve">1.      </w:t>
      </w:r>
      <w:r>
        <w:rPr>
          <w:sz w:val="21"/>
        </w:rPr>
        <w:t>乙方交付的货物、工程/提供的服务不符合本合同规定的，甲方有权拒收，并且乙方须向甲方支付本合同总价5%的违约金。</w:t>
      </w:r>
    </w:p>
    <w:p>
      <w:pPr>
        <w:pStyle w:val="null3"/>
        <w:ind w:left="855"/>
        <w:jc w:val="both"/>
      </w:pPr>
      <w:r>
        <w:rPr>
          <w:sz w:val="21"/>
        </w:rPr>
        <w:t xml:space="preserve">2.      </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left="855"/>
        <w:jc w:val="both"/>
      </w:pPr>
      <w:r>
        <w:rPr>
          <w:sz w:val="21"/>
        </w:rPr>
        <w:t xml:space="preserve">3.      </w:t>
      </w:r>
      <w:r>
        <w:rPr>
          <w:sz w:val="21"/>
        </w:rPr>
        <w:t>甲方无正当理由拒收货物/接受服务，到期拒付货物/服务款项的，甲方向乙方偿付本合同总的5%的违约金。甲方人逾期付款，则每日按本合同总价的3‰向乙方偿付违约金。</w:t>
      </w:r>
    </w:p>
    <w:p>
      <w:pPr>
        <w:pStyle w:val="null3"/>
        <w:ind w:left="855"/>
        <w:jc w:val="both"/>
      </w:pPr>
      <w:r>
        <w:rPr>
          <w:sz w:val="21"/>
        </w:rPr>
        <w:t xml:space="preserve">4.      </w:t>
      </w:r>
      <w:r>
        <w:rPr>
          <w:sz w:val="21"/>
        </w:rPr>
        <w:t>对于因甲方原因导致变更、中止或者终止政府采购合同的，甲方应当依照以下合同约定对供应商受到的损失予以赔偿或者补偿：</w:t>
      </w:r>
    </w:p>
    <w:p>
      <w:pPr>
        <w:pStyle w:val="null3"/>
        <w:ind w:left="855"/>
        <w:jc w:val="both"/>
      </w:pPr>
      <w:r>
        <w:rPr>
          <w:sz w:val="21"/>
        </w:rPr>
        <w:t xml:space="preserve">       </w:t>
      </w:r>
      <w:r>
        <w:rPr>
          <w:sz w:val="21"/>
          <w:u w:val="single"/>
        </w:rPr>
        <w:t xml:space="preserve">                                                 </w:t>
      </w:r>
    </w:p>
    <w:p>
      <w:pPr>
        <w:pStyle w:val="null3"/>
        <w:ind w:left="855"/>
        <w:jc w:val="both"/>
      </w:pPr>
      <w:r>
        <w:rPr>
          <w:sz w:val="21"/>
        </w:rPr>
        <w:t xml:space="preserve">5.      </w:t>
      </w:r>
      <w:r>
        <w:rPr>
          <w:sz w:val="21"/>
        </w:rPr>
        <w:t>其它违约责任按《中华人民共和国合同法》处理。</w:t>
      </w:r>
    </w:p>
    <w:p>
      <w:pPr>
        <w:pStyle w:val="null3"/>
        <w:ind w:left="855"/>
        <w:jc w:val="both"/>
      </w:pPr>
      <w:r>
        <w:rPr>
          <w:sz w:val="21"/>
          <w:b/>
        </w:rPr>
        <w:t>十、   争议的解决</w:t>
      </w:r>
    </w:p>
    <w:p>
      <w:pPr>
        <w:pStyle w:val="null3"/>
        <w:ind w:left="360"/>
        <w:jc w:val="both"/>
      </w:pPr>
      <w:r>
        <w:rPr>
          <w:sz w:val="21"/>
        </w:rPr>
        <w:t xml:space="preserve">1. </w:t>
      </w:r>
      <w:r>
        <w:rPr>
          <w:sz w:val="21"/>
        </w:rPr>
        <w:t>合同执行过程中发生的任何争议，如双方不能通过友好协商解决，按相关法律法规处理。</w:t>
      </w:r>
    </w:p>
    <w:p>
      <w:pPr>
        <w:pStyle w:val="null3"/>
        <w:ind w:left="855"/>
        <w:jc w:val="both"/>
      </w:pPr>
      <w:r>
        <w:rPr>
          <w:sz w:val="21"/>
          <w:b/>
        </w:rPr>
        <w:t>十一、  不可抗力</w:t>
      </w:r>
    </w:p>
    <w:p>
      <w:pPr>
        <w:pStyle w:val="null3"/>
        <w:ind w:left="855"/>
        <w:jc w:val="both"/>
      </w:pPr>
      <w:r>
        <w:rPr>
          <w:sz w:val="21"/>
        </w:rPr>
        <w:t xml:space="preserve">1.      </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1"/>
          <w:b/>
        </w:rPr>
        <w:t>十二、  税费</w:t>
      </w:r>
    </w:p>
    <w:p>
      <w:pPr>
        <w:pStyle w:val="null3"/>
        <w:ind w:left="855"/>
        <w:jc w:val="both"/>
      </w:pPr>
      <w:r>
        <w:rPr>
          <w:sz w:val="21"/>
        </w:rPr>
        <w:t xml:space="preserve">1.      </w:t>
      </w:r>
      <w:r>
        <w:rPr>
          <w:sz w:val="21"/>
        </w:rPr>
        <w:t>在中国境内、外发生的与本合同执行有关的一切税费均由乙方负担。</w:t>
      </w:r>
    </w:p>
    <w:p>
      <w:pPr>
        <w:pStyle w:val="null3"/>
        <w:ind w:left="855"/>
        <w:jc w:val="both"/>
      </w:pPr>
      <w:r>
        <w:rPr>
          <w:sz w:val="21"/>
          <w:b/>
        </w:rPr>
        <w:t>十三、  其它</w:t>
      </w:r>
    </w:p>
    <w:p>
      <w:pPr>
        <w:pStyle w:val="null3"/>
        <w:ind w:left="855"/>
        <w:jc w:val="both"/>
      </w:pPr>
      <w:r>
        <w:rPr>
          <w:sz w:val="21"/>
        </w:rPr>
        <w:t xml:space="preserve">1.      </w:t>
      </w:r>
      <w:r>
        <w:rPr>
          <w:sz w:val="21"/>
        </w:rPr>
        <w:t>本合同所有附件、招标文件、投标文件、中标通知书均为合同的有效组成部分，与本合同具有同等法律效力。</w:t>
      </w:r>
    </w:p>
    <w:p>
      <w:pPr>
        <w:pStyle w:val="null3"/>
        <w:ind w:left="855"/>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left="855"/>
        <w:jc w:val="both"/>
      </w:pPr>
      <w:r>
        <w:rPr>
          <w:sz w:val="21"/>
        </w:rPr>
        <w:t xml:space="preserve">3.      </w:t>
      </w:r>
      <w:r>
        <w:rPr>
          <w:sz w:val="21"/>
        </w:rPr>
        <w:t>如一方地址、电话、传真号码有变更，应在变更当日内书面通知对方，否则，应承担相应责任。</w:t>
      </w:r>
    </w:p>
    <w:p>
      <w:pPr>
        <w:pStyle w:val="null3"/>
        <w:ind w:left="855"/>
        <w:jc w:val="both"/>
      </w:pPr>
      <w:r>
        <w:rPr>
          <w:sz w:val="21"/>
        </w:rPr>
        <w:t xml:space="preserve">4.      </w:t>
      </w:r>
      <w:r>
        <w:rPr>
          <w:sz w:val="21"/>
        </w:rPr>
        <w:t>除甲方事先书面同意外，乙方不得部分或全部转让其应履行的合同项下的义务。</w:t>
      </w:r>
    </w:p>
    <w:p>
      <w:pPr>
        <w:pStyle w:val="null3"/>
        <w:ind w:left="855"/>
        <w:jc w:val="both"/>
      </w:pPr>
      <w:r>
        <w:rPr>
          <w:sz w:val="21"/>
          <w:b/>
        </w:rPr>
        <w:t>十四、  合同生效</w:t>
      </w:r>
    </w:p>
    <w:p>
      <w:pPr>
        <w:pStyle w:val="null3"/>
        <w:ind w:left="855"/>
        <w:jc w:val="both"/>
      </w:pPr>
      <w:r>
        <w:rPr>
          <w:sz w:val="21"/>
        </w:rPr>
        <w:t xml:space="preserve">1.      </w:t>
      </w:r>
      <w:r>
        <w:rPr>
          <w:sz w:val="21"/>
        </w:rPr>
        <w:t>本合同在甲乙双方法人代表或其授权代表签字盖章后生效。</w:t>
      </w:r>
    </w:p>
    <w:p>
      <w:pPr>
        <w:pStyle w:val="null3"/>
        <w:ind w:left="855"/>
        <w:jc w:val="both"/>
      </w:pPr>
      <w:r>
        <w:rPr>
          <w:sz w:val="21"/>
        </w:rPr>
        <w:t xml:space="preserve">2.      </w:t>
      </w:r>
      <w:r>
        <w:rPr>
          <w:sz w:val="21"/>
        </w:rPr>
        <w:t>合同一式</w:t>
      </w:r>
      <w:r>
        <w:rPr>
          <w:sz w:val="21"/>
          <w:u w:val="single"/>
        </w:rPr>
        <w:t xml:space="preserve">    </w:t>
      </w:r>
      <w:r>
        <w:rPr>
          <w:sz w:val="21"/>
        </w:rPr>
        <w:t>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签订地点：</w:t>
      </w:r>
    </w:p>
    <w:p>
      <w:pPr>
        <w:pStyle w:val="null3"/>
        <w:jc w:val="both"/>
      </w:pPr>
      <w:r>
        <w:rPr>
          <w:sz w:val="21"/>
        </w:rPr>
        <w:t>签订日期：　　　年　　月　　日                                           签订日期：　　　年　　月　　日</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w:t>
      </w:r>
      <w:r>
        <w:rPr>
          <w:sz w:val="21"/>
        </w:rPr>
        <w:t>开 户 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440001-2024-43286</w:t>
      </w:r>
    </w:p>
    <w:p>
      <w:pPr>
        <w:pStyle w:val="null3"/>
        <w:jc w:val="center"/>
        <w:outlineLvl w:val="3"/>
      </w:pPr>
      <w:r>
        <w:rPr>
          <w:sz w:val="24"/>
          <w:b/>
        </w:rPr>
        <w:t>采购项目编号：</w:t>
      </w:r>
      <w:r>
        <w:rPr>
          <w:sz w:val="24"/>
          <w:b/>
        </w:rPr>
        <w:t>GPCGD241156HG246J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广东环境保护工程职业学院虚拟仿真实训室建设项目</w:t>
      </w:r>
      <w:r>
        <w:rPr>
          <w:u w:val="single"/>
        </w:rPr>
        <w:t>”</w:t>
      </w:r>
      <w:r>
        <w:rPr/>
        <w:t>项目的招标[采购项目编号为：</w:t>
      </w:r>
      <w:r>
        <w:rPr>
          <w:u w:val="single"/>
        </w:rPr>
        <w:t>GPCGD241156HG246J</w:t>
      </w:r>
      <w:r>
        <w:rPr/>
        <w:t>]，我方愿参与投标。</w:t>
      </w:r>
    </w:p>
    <w:p>
      <w:pPr>
        <w:pStyle w:val="null3"/>
        <w:ind w:firstLine="480"/>
      </w:pPr>
      <w:r>
        <w:rPr/>
        <w:t>我方确认收到贵方提供的</w:t>
      </w:r>
      <w:r>
        <w:rPr>
          <w:u w:val="single"/>
        </w:rPr>
        <w:t>“</w:t>
      </w:r>
      <w:r>
        <w:rPr>
          <w:u w:val="single"/>
        </w:rPr>
        <w:t>广东环境保护工程职业学院虚拟仿真实训室建设项目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广东环境保护工程职业学院虚拟仿真实训室建设项目</w:t>
      </w:r>
      <w:r>
        <w:rPr/>
        <w:t>”项目采购[采购项目编号为</w:t>
      </w:r>
      <w:r>
        <w:rPr/>
        <w:t>GPCGD241156HG246J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广东环境保护工程职业学院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广东环境保护工程职业学院虚拟仿真实训室建设项目</w:t>
      </w:r>
      <w:r>
        <w:rPr/>
        <w:t>招标中获中标（采购项目编号：</w:t>
      </w:r>
      <w:r>
        <w:rPr/>
        <w:t>GPCGD241156HG246J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广东环境保护工程职业学院虚拟仿真实训室建设项目</w:t>
      </w:r>
      <w:r>
        <w:rPr/>
        <w:t>”项目（采购项目编号：</w:t>
      </w:r>
      <w:r>
        <w:rPr/>
        <w:t>GPCGD241156HG246J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