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440001-2024-45393</w:t>
      </w:r>
    </w:p>
    <w:p>
      <w:pPr>
        <w:pStyle w:val="null3"/>
        <w:jc w:val="center"/>
        <w:outlineLvl w:val="3"/>
      </w:pPr>
      <w:r>
        <w:rPr>
          <w:sz w:val="24"/>
          <w:b/>
        </w:rPr>
        <w:t>采购项目编号：</w:t>
      </w:r>
      <w:r>
        <w:rPr>
          <w:sz w:val="24"/>
          <w:b/>
        </w:rPr>
        <w:t>GPCGD243104FG205F</w:t>
      </w:r>
    </w:p>
    <w:p>
      <w:pPr>
        <w:pStyle w:val="null3"/>
        <w:jc w:val="center"/>
        <w:outlineLvl w:val="3"/>
      </w:pPr>
      <w:r>
        <w:rPr>
          <w:sz w:val="24"/>
          <w:b/>
        </w:rPr>
        <w:t>项目名称：</w:t>
      </w:r>
      <w:r>
        <w:rPr>
          <w:sz w:val="24"/>
          <w:b/>
        </w:rPr>
        <w:t>广东省碳排放监测智慧云平台网络安全运营服务项目</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广东省碳排放监测智慧云平台网络安全运营服务项目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广东省碳排放监测智慧云平台网络安全运营服务项目</w:t>
      </w:r>
    </w:p>
    <w:p>
      <w:pPr>
        <w:pStyle w:val="null3"/>
        <w:ind w:firstLine="480"/>
      </w:pPr>
      <w:r>
        <w:rPr/>
        <w:t>采购计划编号：</w:t>
      </w:r>
      <w:r>
        <w:rPr/>
        <w:t>440001-2024-45393</w:t>
      </w:r>
    </w:p>
    <w:p>
      <w:pPr>
        <w:pStyle w:val="null3"/>
        <w:ind w:firstLine="480"/>
      </w:pPr>
      <w:r>
        <w:rPr/>
        <w:t>采购项目编号：</w:t>
      </w:r>
      <w:r>
        <w:rPr/>
        <w:t>GPCGD243104FG205F</w:t>
      </w:r>
    </w:p>
    <w:p>
      <w:pPr>
        <w:pStyle w:val="null3"/>
        <w:ind w:firstLine="480"/>
      </w:pPr>
      <w:r>
        <w:rPr/>
        <w:t>采购方式：</w:t>
      </w:r>
      <w:r>
        <w:rPr/>
        <w:t>公开招标</w:t>
      </w:r>
    </w:p>
    <w:p>
      <w:pPr>
        <w:pStyle w:val="null3"/>
        <w:ind w:firstLine="480"/>
      </w:pPr>
      <w:r>
        <w:rPr/>
        <w:t>预算金额：</w:t>
      </w:r>
      <w:r>
        <w:rPr/>
        <w:t>1,237,700.00</w:t>
      </w:r>
      <w:r>
        <w:rPr/>
        <w:t>元</w:t>
      </w:r>
    </w:p>
    <w:p>
      <w:pPr>
        <w:pStyle w:val="null3"/>
        <w:outlineLvl w:val="3"/>
      </w:pPr>
      <w:r>
        <w:rPr>
          <w:sz w:val="24"/>
          <w:b/>
        </w:rPr>
        <w:t>2.项目内容及需求情况（采购项目技术规格、参数及要求）</w:t>
      </w:r>
    </w:p>
    <w:p>
      <w:pPr>
        <w:pStyle w:val="null3"/>
      </w:pPr>
      <w:r>
        <w:rPr/>
        <w:t>采购包1(广东省碳排放监测智慧云平台网络安全运营服务):</w:t>
      </w:r>
    </w:p>
    <w:p>
      <w:pPr>
        <w:pStyle w:val="null3"/>
      </w:pPr>
      <w:r>
        <w:rPr/>
        <w:t>采购包预算金额：1,237,700.00元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其他运营服务</w:t>
            </w:r>
          </w:p>
        </w:tc>
        <w:tc>
          <w:tcPr>
            <w:tcW w:type="dxa" w:w="2136"/>
          </w:tcPr>
          <w:p>
            <w:pPr>
              <w:pStyle w:val="null3"/>
            </w:pPr>
            <w:r>
              <w:rPr/>
              <w:t>广东省碳排放监测智慧云平台网络安全运营服务项目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合同履行期限：服务开始后24个月。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采购包1（广东省碳排放监测智慧云平台网络安全运营服务）：</w:t>
      </w:r>
      <w:r>
        <w:rPr/>
        <w:t>本项目属于专门面向中小企业采购的项目。供应商须为符合本项目采购标的对应行业（软件和信息技术服务业）划分标准的中小企业（监狱企业、残疾人福利性单位视同小型、微型企业）。 注：中小企业以供应商填写的《中小企业声明函》（服务）为判定标准，残疾人福利性单位以供应商填写的《残疾人福利性单位声明函》（见投标格式）为判定标准，监狱企业供应商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p>
      <w:pPr>
        <w:pStyle w:val="null3"/>
        <w:outlineLvl w:val="3"/>
      </w:pPr>
      <w:r>
        <w:rPr>
          <w:sz w:val="24"/>
          <w:b/>
        </w:rPr>
        <w:t>3.本项目特定的资格要求：</w:t>
      </w:r>
    </w:p>
    <w:p>
      <w:pPr>
        <w:pStyle w:val="null3"/>
      </w:pPr>
      <w:r>
        <w:rPr/>
        <w:t>采购包1（广东省碳排放监测智慧云平台网络安全运营服务）：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020-83484462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020-83187191/sczx3@gd.gov.cn</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30"/>
        </w:rPr>
        <w:t>★</w:t>
      </w:r>
      <w:r>
        <w:rPr>
          <w:sz w:val="21"/>
          <w:b/>
        </w:rPr>
        <w:t>”</w:t>
      </w:r>
      <w:r>
        <w:rPr>
          <w:sz w:val="21"/>
          <w:b/>
        </w:rPr>
        <w:t>号条款</w:t>
      </w:r>
    </w:p>
    <w:p>
      <w:pPr>
        <w:pStyle w:val="null3"/>
        <w:ind w:firstLine="420"/>
        <w:jc w:val="both"/>
      </w:pPr>
      <w:r>
        <w:rPr>
          <w:sz w:val="21"/>
        </w:rPr>
        <w:t>《用户需求书》中标注有</w:t>
      </w:r>
      <w:r>
        <w:rPr>
          <w:sz w:val="21"/>
        </w:rPr>
        <w:t>“</w:t>
      </w:r>
      <w:r>
        <w:rPr>
          <w:sz w:val="30"/>
        </w:rPr>
        <w:t>★</w:t>
      </w:r>
      <w:r>
        <w:rPr>
          <w:sz w:val="21"/>
        </w:rPr>
        <w:t>”</w:t>
      </w:r>
      <w:r>
        <w:rPr>
          <w:sz w:val="21"/>
        </w:rPr>
        <w:t>号的条款必须实质性响应，负偏离（不满足要求）将导致投标无效。</w:t>
      </w:r>
    </w:p>
    <w:p>
      <w:pPr>
        <w:pStyle w:val="null3"/>
        <w:ind w:firstLine="420"/>
        <w:jc w:val="both"/>
      </w:pPr>
      <w:r>
        <w:rPr>
          <w:sz w:val="21"/>
        </w:rPr>
        <w:t>《用户需求书》中标注有</w:t>
      </w:r>
      <w:r>
        <w:rPr>
          <w:sz w:val="21"/>
        </w:rPr>
        <w:t>“▲”</w:t>
      </w:r>
      <w:r>
        <w:rPr>
          <w:sz w:val="21"/>
        </w:rPr>
        <w:t>的为重要参数指标，投标人若有部分</w:t>
      </w:r>
      <w:r>
        <w:rPr>
          <w:sz w:val="21"/>
        </w:rPr>
        <w:t>“▲”</w:t>
      </w:r>
      <w:r>
        <w:rPr>
          <w:sz w:val="21"/>
        </w:rPr>
        <w:t>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本项目属于服务类项目，中小企业划分标准所属行业为：软件和信息技术服务业。</w:t>
      </w:r>
    </w:p>
    <w:p>
      <w:pPr>
        <w:pStyle w:val="null3"/>
        <w:ind w:firstLine="420"/>
        <w:jc w:val="both"/>
      </w:pPr>
      <w:r>
        <w:rPr>
          <w:sz w:val="21"/>
          <w:b/>
        </w:rPr>
        <w:t xml:space="preserve">1  </w:t>
      </w:r>
      <w:r>
        <w:rPr>
          <w:sz w:val="21"/>
          <w:b/>
        </w:rPr>
        <w:t>项目概况</w:t>
      </w:r>
    </w:p>
    <w:p>
      <w:pPr>
        <w:pStyle w:val="null3"/>
        <w:ind w:firstLine="422"/>
        <w:jc w:val="both"/>
      </w:pPr>
      <w:r>
        <w:rPr>
          <w:sz w:val="21"/>
          <w:b/>
        </w:rPr>
        <w:t>1.1</w:t>
      </w:r>
      <w:r>
        <w:rPr>
          <w:sz w:val="21"/>
          <w:b/>
        </w:rPr>
        <w:t>基本信息</w:t>
      </w:r>
    </w:p>
    <w:p>
      <w:pPr>
        <w:pStyle w:val="null3"/>
        <w:ind w:firstLine="422"/>
        <w:jc w:val="both"/>
      </w:pPr>
      <w:r>
        <w:rPr>
          <w:sz w:val="21"/>
          <w:b/>
        </w:rPr>
        <w:t xml:space="preserve">1.1.1 </w:t>
      </w:r>
      <w:r>
        <w:rPr>
          <w:sz w:val="21"/>
          <w:b/>
        </w:rPr>
        <w:t>项目名称</w:t>
      </w:r>
    </w:p>
    <w:p>
      <w:pPr>
        <w:pStyle w:val="null3"/>
        <w:ind w:firstLine="400"/>
        <w:jc w:val="both"/>
      </w:pPr>
      <w:r>
        <w:rPr>
          <w:sz w:val="20"/>
        </w:rPr>
        <w:t>广东省碳排放监测智慧云平台网络安全运营服务项目</w:t>
      </w:r>
    </w:p>
    <w:p>
      <w:pPr>
        <w:pStyle w:val="null3"/>
        <w:ind w:firstLine="400"/>
        <w:jc w:val="both"/>
      </w:pPr>
      <w:r>
        <w:rPr>
          <w:sz w:val="20"/>
        </w:rPr>
        <w:t xml:space="preserve">1.1.2.         </w:t>
      </w:r>
      <w:r>
        <w:rPr>
          <w:sz w:val="20"/>
          <w:b/>
        </w:rPr>
        <w:t>采购人</w:t>
      </w:r>
    </w:p>
    <w:p>
      <w:pPr>
        <w:pStyle w:val="null3"/>
        <w:ind w:firstLine="400"/>
        <w:jc w:val="both"/>
      </w:pPr>
      <w:r>
        <w:rPr>
          <w:sz w:val="20"/>
        </w:rPr>
        <w:t>广东省投资和信用中心</w:t>
      </w:r>
    </w:p>
    <w:p>
      <w:pPr>
        <w:pStyle w:val="null3"/>
        <w:ind w:firstLine="400"/>
        <w:jc w:val="both"/>
      </w:pPr>
      <w:r>
        <w:rPr>
          <w:sz w:val="20"/>
        </w:rPr>
        <w:t xml:space="preserve">1.1.3.         </w:t>
      </w:r>
      <w:r>
        <w:rPr>
          <w:sz w:val="20"/>
          <w:b/>
        </w:rPr>
        <w:t>项目总体目标</w:t>
      </w:r>
    </w:p>
    <w:p>
      <w:pPr>
        <w:pStyle w:val="null3"/>
        <w:ind w:firstLine="400"/>
        <w:jc w:val="both"/>
      </w:pPr>
      <w:r>
        <w:rPr>
          <w:sz w:val="20"/>
        </w:rPr>
        <w:t>在广东省碳排放监测智慧云平台上线运行后，在</w:t>
      </w:r>
      <w:r>
        <w:rPr>
          <w:sz w:val="20"/>
        </w:rPr>
        <w:t>2</w:t>
      </w:r>
      <w:r>
        <w:rPr>
          <w:sz w:val="20"/>
        </w:rPr>
        <w:t>年的系统业务运营期间针对系统网络安全提供安全管理服务和应用安全服务；其中安全管理服务主要开展涉及组织和人员安全管理的相关规章制度编制，完善相关安全工作流程，建立安全管理相关机制。应用安全服务主要针对系统应用层面开展安全监测、渗透测试、数据库审计、漏洞扫描等服务，并针对发现的问题进行整改修复。通过网络安全运营服务，满足行业及主管部门对安全管控要求，支撑系统安全、稳定、高效运行。</w:t>
      </w:r>
    </w:p>
    <w:p>
      <w:pPr>
        <w:pStyle w:val="null3"/>
        <w:ind w:firstLine="400"/>
        <w:jc w:val="both"/>
      </w:pPr>
      <w:r>
        <w:rPr>
          <w:sz w:val="20"/>
        </w:rPr>
        <w:t xml:space="preserve">1.1.4.         </w:t>
      </w:r>
      <w:r>
        <w:rPr>
          <w:sz w:val="20"/>
          <w:b/>
        </w:rPr>
        <w:t>服务地点</w:t>
      </w:r>
    </w:p>
    <w:p>
      <w:pPr>
        <w:pStyle w:val="null3"/>
        <w:ind w:firstLine="400"/>
        <w:jc w:val="both"/>
      </w:pPr>
      <w:r>
        <w:rPr>
          <w:sz w:val="20"/>
        </w:rPr>
        <w:t>采购人指定的服务地点。</w:t>
      </w:r>
    </w:p>
    <w:p>
      <w:pPr>
        <w:pStyle w:val="null3"/>
        <w:ind w:firstLine="422"/>
        <w:jc w:val="both"/>
      </w:pPr>
      <w:r>
        <w:rPr>
          <w:sz w:val="21"/>
          <w:b/>
        </w:rPr>
        <w:t xml:space="preserve">1.2.  </w:t>
      </w:r>
      <w:r>
        <w:rPr>
          <w:sz w:val="21"/>
          <w:b/>
        </w:rPr>
        <w:t>项目背景</w:t>
      </w:r>
    </w:p>
    <w:p>
      <w:pPr>
        <w:pStyle w:val="null3"/>
        <w:ind w:firstLine="400"/>
        <w:jc w:val="both"/>
      </w:pPr>
      <w:r>
        <w:rPr>
          <w:sz w:val="20"/>
        </w:rPr>
        <w:t>本项目旨在承接国家</w:t>
      </w:r>
      <w:r>
        <w:rPr>
          <w:sz w:val="20"/>
        </w:rPr>
        <w:t>“30·60”</w:t>
      </w:r>
      <w:r>
        <w:rPr>
          <w:sz w:val="20"/>
        </w:rPr>
        <w:t>重大战略核心目标，依托广东省</w:t>
      </w:r>
      <w:r>
        <w:rPr>
          <w:sz w:val="20"/>
        </w:rPr>
        <w:t>“30·60”</w:t>
      </w:r>
      <w:r>
        <w:rPr>
          <w:sz w:val="20"/>
        </w:rPr>
        <w:t>实施意见和实施方案，按照数字政府规范要求，按照</w:t>
      </w:r>
      <w:r>
        <w:rPr>
          <w:sz w:val="20"/>
        </w:rPr>
        <w:t>“</w:t>
      </w:r>
      <w:r>
        <w:rPr>
          <w:sz w:val="20"/>
        </w:rPr>
        <w:t>数字发改</w:t>
      </w:r>
      <w:r>
        <w:rPr>
          <w:sz w:val="20"/>
        </w:rPr>
        <w:t>”</w:t>
      </w:r>
      <w:r>
        <w:rPr>
          <w:sz w:val="20"/>
        </w:rPr>
        <w:t>业务框架，建设碳排放监测智慧云平台。充分利用云计算、大数据、移动互联网、人工智能等新一代数字化技术手段，构建覆盖测碳、算碳、观碳、控碳全链条的现代双碳网络管理体系，实现双碳工作管理的数字化、智能化、生态化，提升碳排放数字化、信息化监测和管理水平，为政务决策和政策制定提供支撑。充分促进数据、服务、项目、技术、人才、知识等要素高速流动，有效支持</w:t>
      </w:r>
      <w:r>
        <w:rPr>
          <w:sz w:val="20"/>
        </w:rPr>
        <w:t>“</w:t>
      </w:r>
      <w:r>
        <w:rPr>
          <w:sz w:val="20"/>
        </w:rPr>
        <w:t>双碳</w:t>
      </w:r>
      <w:r>
        <w:rPr>
          <w:sz w:val="20"/>
        </w:rPr>
        <w:t>”</w:t>
      </w:r>
      <w:r>
        <w:rPr>
          <w:sz w:val="20"/>
        </w:rPr>
        <w:t>管理工作调度，有效支持政府职能部门政策制定，有效支持业务团队评估测算研究，有效支持社会企业低碳自主管控，有效支持碳金融碳市场健康发展，为</w:t>
      </w:r>
      <w:r>
        <w:rPr>
          <w:sz w:val="20"/>
        </w:rPr>
        <w:t>“</w:t>
      </w:r>
      <w:r>
        <w:rPr>
          <w:sz w:val="20"/>
        </w:rPr>
        <w:t>双碳</w:t>
      </w:r>
      <w:r>
        <w:rPr>
          <w:sz w:val="20"/>
        </w:rPr>
        <w:t>”</w:t>
      </w:r>
      <w:r>
        <w:rPr>
          <w:sz w:val="20"/>
        </w:rPr>
        <w:t>目标的实现保驾护航。</w:t>
      </w:r>
    </w:p>
    <w:p>
      <w:pPr>
        <w:pStyle w:val="null3"/>
        <w:ind w:firstLine="400"/>
        <w:jc w:val="both"/>
      </w:pPr>
      <w:r>
        <w:rPr>
          <w:sz w:val="20"/>
        </w:rPr>
        <w:t xml:space="preserve">2.      </w:t>
      </w:r>
      <w:r>
        <w:rPr>
          <w:sz w:val="20"/>
        </w:rPr>
        <w:t>项目预算</w:t>
      </w:r>
    </w:p>
    <w:p>
      <w:pPr>
        <w:pStyle w:val="null3"/>
        <w:ind w:firstLine="400"/>
        <w:jc w:val="both"/>
      </w:pPr>
      <w:r>
        <w:rPr>
          <w:sz w:val="20"/>
        </w:rPr>
        <w:t>本项目总预算为</w:t>
      </w:r>
      <w:r>
        <w:rPr>
          <w:sz w:val="20"/>
        </w:rPr>
        <w:t>123.77</w:t>
      </w:r>
      <w:r>
        <w:rPr>
          <w:sz w:val="20"/>
        </w:rPr>
        <w:t>万元。</w:t>
      </w:r>
    </w:p>
    <w:p>
      <w:pPr>
        <w:pStyle w:val="null3"/>
        <w:ind w:firstLine="400"/>
        <w:jc w:val="both"/>
      </w:pPr>
      <w:r>
        <w:rPr>
          <w:sz w:val="20"/>
        </w:rPr>
        <w:t xml:space="preserve">3.      </w:t>
      </w:r>
      <w:r>
        <w:rPr>
          <w:sz w:val="20"/>
        </w:rPr>
        <w:t>服务期限</w:t>
      </w:r>
    </w:p>
    <w:p>
      <w:pPr>
        <w:pStyle w:val="null3"/>
        <w:ind w:firstLine="400"/>
        <w:jc w:val="both"/>
      </w:pPr>
      <w:r>
        <w:rPr>
          <w:sz w:val="20"/>
        </w:rPr>
        <w:t>本项目服务以采购人确定的服务启动审核表时间为服务开始时间，服务期为</w:t>
      </w:r>
      <w:r>
        <w:rPr>
          <w:sz w:val="20"/>
        </w:rPr>
        <w:t>24</w:t>
      </w:r>
      <w:r>
        <w:rPr>
          <w:sz w:val="20"/>
        </w:rPr>
        <w:t>个月。</w:t>
      </w:r>
    </w:p>
    <w:p>
      <w:pPr>
        <w:pStyle w:val="null3"/>
        <w:ind w:firstLine="400"/>
        <w:jc w:val="both"/>
      </w:pPr>
      <w:r>
        <w:rPr>
          <w:sz w:val="20"/>
        </w:rPr>
        <w:t xml:space="preserve">4.      </w:t>
      </w:r>
      <w:r>
        <w:rPr>
          <w:sz w:val="20"/>
        </w:rPr>
        <w:t>服务内容</w:t>
      </w:r>
    </w:p>
    <w:p>
      <w:pPr>
        <w:pStyle w:val="null3"/>
        <w:ind w:firstLine="400"/>
        <w:jc w:val="both"/>
      </w:pPr>
      <w:r>
        <w:rPr>
          <w:sz w:val="20"/>
        </w:rPr>
        <w:t xml:space="preserve">4.1.   </w:t>
      </w:r>
      <w:r>
        <w:rPr>
          <w:sz w:val="20"/>
        </w:rPr>
        <w:t>广东省碳排放监测智慧云平台网络安全运营服务</w:t>
      </w:r>
    </w:p>
    <w:p>
      <w:pPr>
        <w:pStyle w:val="null3"/>
        <w:ind w:firstLine="400"/>
        <w:jc w:val="both"/>
      </w:pPr>
      <w:r>
        <w:rPr>
          <w:sz w:val="20"/>
        </w:rPr>
        <w:t>网络安全运营服务包括安全管理服务和应用安全服务。</w:t>
      </w:r>
    </w:p>
    <w:p>
      <w:pPr>
        <w:pStyle w:val="null3"/>
        <w:ind w:firstLine="400"/>
        <w:jc w:val="both"/>
      </w:pPr>
      <w:r>
        <w:rPr>
          <w:sz w:val="20"/>
        </w:rPr>
        <w:t xml:space="preserve">4.1.1.         </w:t>
      </w:r>
      <w:r>
        <w:rPr>
          <w:sz w:val="20"/>
          <w:b/>
        </w:rPr>
        <w:t>安全管理服务</w:t>
      </w:r>
      <w:r>
        <w:rPr>
          <w:sz w:val="20"/>
          <w:b/>
        </w:rPr>
        <w:t xml:space="preserve">        </w:t>
      </w:r>
    </w:p>
    <w:p>
      <w:pPr>
        <w:pStyle w:val="null3"/>
        <w:ind w:firstLine="402"/>
        <w:jc w:val="both"/>
      </w:pPr>
      <w:r>
        <w:rPr>
          <w:sz w:val="20"/>
          <w:b/>
        </w:rPr>
        <w:t xml:space="preserve">4.1.1.1.      </w:t>
      </w:r>
      <w:r>
        <w:rPr>
          <w:sz w:val="20"/>
          <w:b/>
        </w:rPr>
        <w:t>安全组织架构及人员管理</w:t>
      </w:r>
    </w:p>
    <w:p>
      <w:pPr>
        <w:pStyle w:val="null3"/>
        <w:ind w:firstLine="400"/>
        <w:jc w:val="both"/>
      </w:pPr>
      <w:r>
        <w:rPr>
          <w:sz w:val="20"/>
        </w:rPr>
        <w:t>建立信息安全管理小组等信息安全管理机构，明确信息安全管理机构的组织形式和运作方式。在双碳保障信息安全标准规范的框架之上，进一步细化有关人员录用、离岗、考核、培训和外部人员信息安全管理的相关规章，以及日常管理工作配套的机制和措施手段。重点制定完善相关的人员信息安全宣传手册、第三方外包服务机构和人员安全管理规范、外部人员访问机房等受控区域的流程和规定，建立重要岗位、外部人员和第三方服务单位的信息安全和保密协议签订机制。</w:t>
      </w:r>
    </w:p>
    <w:p>
      <w:pPr>
        <w:pStyle w:val="null3"/>
        <w:ind w:firstLine="402"/>
        <w:jc w:val="both"/>
      </w:pPr>
      <w:r>
        <w:rPr>
          <w:sz w:val="20"/>
          <w:b/>
        </w:rPr>
        <w:t>服务交付物：</w:t>
      </w:r>
    </w:p>
    <w:p>
      <w:pPr>
        <w:pStyle w:val="null3"/>
        <w:ind w:firstLine="400"/>
        <w:jc w:val="both"/>
      </w:pPr>
      <w:r>
        <w:rPr>
          <w:sz w:val="20"/>
        </w:rPr>
        <w:t>1.</w:t>
      </w:r>
      <w:r>
        <w:rPr>
          <w:sz w:val="20"/>
        </w:rPr>
        <w:t>《人员信息安全管理的相关规章》</w:t>
      </w:r>
      <w:r>
        <w:rPr>
          <w:sz w:val="20"/>
        </w:rPr>
        <w:t>1</w:t>
      </w:r>
      <w:r>
        <w:rPr>
          <w:sz w:val="20"/>
        </w:rPr>
        <w:t>份；</w:t>
      </w:r>
    </w:p>
    <w:p>
      <w:pPr>
        <w:pStyle w:val="null3"/>
        <w:ind w:firstLine="400"/>
        <w:jc w:val="both"/>
      </w:pPr>
      <w:r>
        <w:rPr>
          <w:sz w:val="20"/>
        </w:rPr>
        <w:t>2.</w:t>
      </w:r>
      <w:r>
        <w:rPr>
          <w:sz w:val="20"/>
        </w:rPr>
        <w:t>《安全组织架构及人员管理运营服务报告》（每月）共计</w:t>
      </w:r>
      <w:r>
        <w:rPr>
          <w:sz w:val="20"/>
        </w:rPr>
        <w:t>24</w:t>
      </w:r>
      <w:r>
        <w:rPr>
          <w:sz w:val="20"/>
        </w:rPr>
        <w:t>份。</w:t>
      </w:r>
    </w:p>
    <w:p>
      <w:pPr>
        <w:pStyle w:val="null3"/>
        <w:ind w:firstLine="400"/>
        <w:jc w:val="both"/>
      </w:pPr>
      <w:r>
        <w:rPr>
          <w:sz w:val="20"/>
        </w:rPr>
        <w:t xml:space="preserve">4.1.2.         </w:t>
      </w:r>
      <w:r>
        <w:rPr>
          <w:sz w:val="20"/>
          <w:b/>
        </w:rPr>
        <w:t>应用安全服务</w:t>
      </w:r>
    </w:p>
    <w:p>
      <w:pPr>
        <w:pStyle w:val="null3"/>
        <w:ind w:firstLine="402"/>
        <w:jc w:val="both"/>
      </w:pPr>
      <w:r>
        <w:rPr>
          <w:sz w:val="20"/>
          <w:b/>
        </w:rPr>
        <w:t xml:space="preserve">4.1.2.1.      </w:t>
      </w:r>
      <w:r>
        <w:rPr>
          <w:sz w:val="20"/>
          <w:b/>
        </w:rPr>
        <w:t>安全监测服务</w:t>
      </w:r>
    </w:p>
    <w:p>
      <w:pPr>
        <w:pStyle w:val="null3"/>
        <w:ind w:firstLine="402"/>
        <w:jc w:val="both"/>
      </w:pPr>
      <w:r>
        <w:rPr>
          <w:sz w:val="20"/>
          <w:b/>
        </w:rPr>
        <w:t>1.</w:t>
      </w:r>
      <w:r>
        <w:rPr>
          <w:sz w:val="20"/>
          <w:b/>
        </w:rPr>
        <w:t>网页挂马及黑链监测服务</w:t>
      </w:r>
    </w:p>
    <w:p>
      <w:pPr>
        <w:pStyle w:val="null3"/>
        <w:ind w:firstLine="400"/>
        <w:jc w:val="both"/>
      </w:pPr>
      <w:r>
        <w:rPr>
          <w:sz w:val="20"/>
        </w:rPr>
        <w:t>依托于沙箱检测技术，可识别网站页面中的恶意代码，同时可以对潜藏在用户网页中的黄赌毒私服等广告黑链进行周期性检测，一旦发现挂马及黑链问题可以通知用户。</w:t>
      </w:r>
    </w:p>
    <w:p>
      <w:pPr>
        <w:pStyle w:val="null3"/>
        <w:ind w:firstLine="402"/>
        <w:jc w:val="both"/>
      </w:pPr>
      <w:r>
        <w:rPr>
          <w:sz w:val="20"/>
          <w:b/>
        </w:rPr>
        <w:t>2.Web</w:t>
      </w:r>
      <w:r>
        <w:rPr>
          <w:sz w:val="20"/>
          <w:b/>
        </w:rPr>
        <w:t>防篡改服务</w:t>
      </w:r>
    </w:p>
    <w:p>
      <w:pPr>
        <w:pStyle w:val="null3"/>
        <w:ind w:firstLine="400"/>
        <w:jc w:val="both"/>
      </w:pPr>
      <w:r>
        <w:rPr>
          <w:sz w:val="20"/>
        </w:rPr>
        <w:t>采用</w:t>
      </w:r>
      <w:r>
        <w:rPr>
          <w:sz w:val="20"/>
        </w:rPr>
        <w:t>WEB</w:t>
      </w:r>
      <w:r>
        <w:rPr>
          <w:sz w:val="20"/>
        </w:rPr>
        <w:t>服务器核心内嵌技术，基于智能特征分析技术，对网页篡改所采用的主要攻击手段（如</w:t>
      </w:r>
      <w:r>
        <w:rPr>
          <w:sz w:val="20"/>
        </w:rPr>
        <w:t>WEB Shell</w:t>
      </w:r>
      <w:r>
        <w:rPr>
          <w:sz w:val="20"/>
        </w:rPr>
        <w:t>、非法上传、</w:t>
      </w:r>
      <w:r>
        <w:rPr>
          <w:sz w:val="20"/>
        </w:rPr>
        <w:t>SQL</w:t>
      </w:r>
      <w:r>
        <w:rPr>
          <w:sz w:val="20"/>
        </w:rPr>
        <w:t>注入及</w:t>
      </w:r>
      <w:r>
        <w:rPr>
          <w:sz w:val="20"/>
        </w:rPr>
        <w:t>XSS</w:t>
      </w:r>
      <w:r>
        <w:rPr>
          <w:sz w:val="20"/>
        </w:rPr>
        <w:t>）进行检测并做有效阻断，有效防护对动态内容的篡改，设置第一道防线；应用增强型内核层文件保护技术，保护策略设置的目标文件不被非法进程修改，提供第二道防线。事后，</w:t>
      </w:r>
      <w:r>
        <w:rPr>
          <w:sz w:val="20"/>
        </w:rPr>
        <w:t>Web</w:t>
      </w:r>
      <w:r>
        <w:rPr>
          <w:sz w:val="20"/>
        </w:rPr>
        <w:t>应用防护系统提供事后补偿机制，确保</w:t>
      </w:r>
      <w:r>
        <w:rPr>
          <w:sz w:val="20"/>
        </w:rPr>
        <w:t>WEB</w:t>
      </w:r>
      <w:r>
        <w:rPr>
          <w:sz w:val="20"/>
        </w:rPr>
        <w:t>网站不响应被篡改内容并进行文件自动恢复。</w:t>
      </w:r>
    </w:p>
    <w:p>
      <w:pPr>
        <w:pStyle w:val="null3"/>
        <w:ind w:firstLine="402"/>
        <w:jc w:val="both"/>
      </w:pPr>
      <w:r>
        <w:rPr>
          <w:sz w:val="20"/>
          <w:b/>
        </w:rPr>
        <w:t>3.</w:t>
      </w:r>
      <w:r>
        <w:rPr>
          <w:sz w:val="20"/>
          <w:b/>
        </w:rPr>
        <w:t>网站可用性监测及</w:t>
      </w:r>
      <w:r>
        <w:rPr>
          <w:sz w:val="20"/>
          <w:b/>
        </w:rPr>
        <w:t>DNS</w:t>
      </w:r>
      <w:r>
        <w:rPr>
          <w:sz w:val="20"/>
          <w:b/>
        </w:rPr>
        <w:t>解析监测服务</w:t>
      </w:r>
    </w:p>
    <w:p>
      <w:pPr>
        <w:pStyle w:val="null3"/>
        <w:ind w:firstLine="400"/>
        <w:jc w:val="both"/>
      </w:pPr>
      <w:r>
        <w:rPr>
          <w:sz w:val="20"/>
        </w:rPr>
        <w:t>依托于政务云上多个监测节点，多条线路监测，可识别网站运营是否有稳定性问题并通知用户。</w:t>
      </w:r>
    </w:p>
    <w:p>
      <w:pPr>
        <w:pStyle w:val="null3"/>
        <w:ind w:firstLine="402"/>
        <w:jc w:val="both"/>
      </w:pPr>
      <w:r>
        <w:rPr>
          <w:sz w:val="20"/>
          <w:b/>
        </w:rPr>
        <w:t>4.</w:t>
      </w:r>
      <w:r>
        <w:rPr>
          <w:sz w:val="20"/>
          <w:b/>
        </w:rPr>
        <w:t>安全巡检与应急处置</w:t>
      </w:r>
    </w:p>
    <w:p>
      <w:pPr>
        <w:pStyle w:val="null3"/>
        <w:ind w:firstLine="400"/>
        <w:jc w:val="both"/>
      </w:pPr>
      <w:r>
        <w:rPr>
          <w:sz w:val="20"/>
        </w:rPr>
        <w:t>成立应急保障组织，包括应急保障领导小组、应急响应处置小组和应急保障专家小组。制定安全事件应急处置流程，明确应急处置过程中各项工作的内容和责任主体。包括事件报告、事件处置、事件通报、事件升级机制和流程。建立安全巡检机制，运营工程师每月对系统基础功能进行巡检一次，及时发现安全风险，做好预警防范工作。安全巡检重点主要包括：门户安全、数据采集安全、数据</w:t>
      </w:r>
      <w:r>
        <w:rPr>
          <w:sz w:val="20"/>
        </w:rPr>
        <w:t>治理安全。</w:t>
      </w:r>
    </w:p>
    <w:p>
      <w:pPr>
        <w:pStyle w:val="null3"/>
        <w:ind w:firstLine="402"/>
        <w:jc w:val="both"/>
      </w:pPr>
      <w:r>
        <w:rPr>
          <w:sz w:val="20"/>
          <w:b/>
        </w:rPr>
        <w:t>服务交付物：</w:t>
      </w:r>
    </w:p>
    <w:p>
      <w:pPr>
        <w:pStyle w:val="null3"/>
        <w:ind w:firstLine="400"/>
        <w:jc w:val="both"/>
      </w:pPr>
      <w:r>
        <w:rPr>
          <w:sz w:val="20"/>
        </w:rPr>
        <w:t>1.</w:t>
      </w:r>
      <w:r>
        <w:rPr>
          <w:sz w:val="20"/>
        </w:rPr>
        <w:t>《安全监测报告》（每月）共计</w:t>
      </w:r>
      <w:r>
        <w:rPr>
          <w:sz w:val="20"/>
        </w:rPr>
        <w:t>24</w:t>
      </w:r>
      <w:r>
        <w:rPr>
          <w:sz w:val="20"/>
        </w:rPr>
        <w:t>份；</w:t>
      </w:r>
    </w:p>
    <w:p>
      <w:pPr>
        <w:pStyle w:val="null3"/>
        <w:ind w:firstLine="400"/>
        <w:jc w:val="both"/>
      </w:pPr>
      <w:r>
        <w:rPr>
          <w:sz w:val="20"/>
        </w:rPr>
        <w:t>2.</w:t>
      </w:r>
      <w:r>
        <w:rPr>
          <w:sz w:val="20"/>
        </w:rPr>
        <w:t>《安全故障分析报告》（每月）共计</w:t>
      </w:r>
      <w:r>
        <w:rPr>
          <w:sz w:val="20"/>
        </w:rPr>
        <w:t>24</w:t>
      </w:r>
      <w:r>
        <w:rPr>
          <w:sz w:val="20"/>
        </w:rPr>
        <w:t>份。</w:t>
      </w:r>
    </w:p>
    <w:p>
      <w:pPr>
        <w:pStyle w:val="null3"/>
        <w:ind w:firstLine="402"/>
        <w:jc w:val="both"/>
      </w:pPr>
      <w:r>
        <w:rPr>
          <w:sz w:val="20"/>
          <w:b/>
        </w:rPr>
        <w:t>安全检测工具详细技术要求：</w:t>
      </w:r>
    </w:p>
    <w:tbl>
      <w:tblPr>
        <w:tblW w:w="0" w:type="auto"/>
        <w:tblBorders>
          <w:top w:val="none" w:color="000000" w:sz="4"/>
          <w:left w:val="none" w:color="000000" w:sz="4"/>
          <w:bottom w:val="none" w:color="000000" w:sz="4"/>
          <w:right w:val="none" w:color="000000" w:sz="4"/>
          <w:insideH w:val="none"/>
          <w:insideV w:val="none"/>
        </w:tblBorders>
      </w:tblPr>
      <w:tblGrid>
        <w:gridCol w:w="1175"/>
        <w:gridCol w:w="7131"/>
      </w:tblGrid>
      <w:tr>
        <w:tc>
          <w:tcPr>
            <w:tcW w:type="dxa" w:w="1175"/>
            <w:tcBorders>
              <w:top w:val="single" w:color="000000" w:sz="4"/>
              <w:left w:val="single" w:color="000000" w:sz="4"/>
              <w:bottom w:val="single" w:color="000000" w:sz="4"/>
              <w:right w:val="single" w:color="000000" w:sz="4"/>
            </w:tcBorders>
            <w:shd w:fill="BFBFBF"/>
            <w:tcMar>
              <w:top w:type="dxa" w:w="0"/>
              <w:left w:type="dxa" w:w="105"/>
              <w:bottom w:type="dxa" w:w="0"/>
              <w:right w:type="dxa" w:w="105"/>
            </w:tcMar>
          </w:tcPr>
          <w:p>
            <w:pPr>
              <w:pStyle w:val="null3"/>
              <w:jc w:val="center"/>
            </w:pPr>
            <w:r>
              <w:rPr>
                <w:sz w:val="20"/>
                <w:b/>
                <w:color w:val="000000"/>
              </w:rPr>
              <w:t>技术项</w:t>
            </w:r>
          </w:p>
        </w:tc>
        <w:tc>
          <w:tcPr>
            <w:tcW w:type="dxa" w:w="7131"/>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0"/>
                <w:b/>
                <w:color w:val="000000"/>
              </w:rPr>
              <w:t>技术要求</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脆弱性监测</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支持提供</w:t>
            </w:r>
            <w:r>
              <w:rPr>
                <w:sz w:val="20"/>
                <w:color w:val="000000"/>
              </w:rPr>
              <w:t>Web</w:t>
            </w:r>
            <w:r>
              <w:rPr>
                <w:sz w:val="20"/>
                <w:color w:val="000000"/>
              </w:rPr>
              <w:t>漏洞扫描服务，支持发现</w:t>
            </w:r>
            <w:r>
              <w:rPr>
                <w:sz w:val="20"/>
                <w:color w:val="000000"/>
              </w:rPr>
              <w:t>SQL</w:t>
            </w:r>
            <w:r>
              <w:rPr>
                <w:sz w:val="20"/>
                <w:color w:val="000000"/>
              </w:rPr>
              <w:t>注入漏洞、跨站脚本漏洞、命令执行漏洞、敏感信息泄露漏洞、文件包含漏洞、反序列化漏洞等漏洞。</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安全事件监测</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支持监测网站安全事件，最大扫描深度可达</w:t>
            </w:r>
            <w:r>
              <w:rPr>
                <w:sz w:val="20"/>
                <w:color w:val="000000"/>
              </w:rPr>
              <w:t>100</w:t>
            </w:r>
            <w:r>
              <w:rPr>
                <w:sz w:val="20"/>
                <w:color w:val="000000"/>
              </w:rPr>
              <w:t>层，可监测事件类型包括暗链、外链、坏链、</w:t>
            </w:r>
            <w:r>
              <w:rPr>
                <w:sz w:val="20"/>
                <w:color w:val="000000"/>
              </w:rPr>
              <w:t>JS</w:t>
            </w:r>
            <w:r>
              <w:rPr>
                <w:sz w:val="20"/>
                <w:color w:val="000000"/>
              </w:rPr>
              <w:t>挖矿脚本、网页挂马。（提供功能界面截图，在相应指标作出标记并注明针对的参数（例如用红色方框标记）。未做标记出现漏评风险由投标人承担，评标委员会可视为不满足。）</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支持基于时间、事件类型、域名检索安全事件，展示站点标题、</w:t>
            </w:r>
            <w:r>
              <w:rPr>
                <w:sz w:val="20"/>
                <w:color w:val="000000"/>
              </w:rPr>
              <w:t>URL</w:t>
            </w:r>
            <w:r>
              <w:rPr>
                <w:sz w:val="20"/>
                <w:color w:val="000000"/>
              </w:rPr>
              <w:t>详情、安全事件类型、专家审核时间、修复状态。</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支持查看安全事件详情和</w:t>
            </w:r>
            <w:r>
              <w:rPr>
                <w:sz w:val="20"/>
                <w:color w:val="000000"/>
              </w:rPr>
              <w:t>POC</w:t>
            </w:r>
            <w:r>
              <w:rPr>
                <w:sz w:val="20"/>
                <w:color w:val="000000"/>
              </w:rPr>
              <w:t>数据包</w:t>
            </w:r>
            <w:r>
              <w:rPr>
                <w:sz w:val="20"/>
                <w:color w:val="000000"/>
              </w:rPr>
              <w:t>/</w:t>
            </w:r>
            <w:r>
              <w:rPr>
                <w:sz w:val="20"/>
                <w:color w:val="000000"/>
              </w:rPr>
              <w:t>取证截图，完成风险处置后可手动更新事件状态为</w:t>
            </w:r>
            <w:r>
              <w:rPr>
                <w:sz w:val="20"/>
                <w:color w:val="000000"/>
              </w:rPr>
              <w:t>“</w:t>
            </w:r>
            <w:r>
              <w:rPr>
                <w:sz w:val="20"/>
                <w:color w:val="000000"/>
              </w:rPr>
              <w:t>已修复</w:t>
            </w:r>
            <w:r>
              <w:rPr>
                <w:sz w:val="20"/>
                <w:color w:val="000000"/>
              </w:rPr>
              <w:t>”</w:t>
            </w:r>
            <w:r>
              <w:rPr>
                <w:sz w:val="20"/>
                <w:color w:val="000000"/>
              </w:rPr>
              <w:t>。</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敏感内容监测</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支持文本敏感内容监测，最大扫描深度可达</w:t>
            </w:r>
            <w:r>
              <w:rPr>
                <w:sz w:val="20"/>
                <w:color w:val="000000"/>
              </w:rPr>
              <w:t>100</w:t>
            </w:r>
            <w:r>
              <w:rPr>
                <w:sz w:val="20"/>
                <w:color w:val="000000"/>
              </w:rPr>
              <w:t>层，可监测类型包括政治类、反动类、暴恐类、不文明用语、灌水文字、身份证信息；可添加的自定义敏感词不少于</w:t>
            </w:r>
            <w:r>
              <w:rPr>
                <w:sz w:val="20"/>
                <w:color w:val="000000"/>
              </w:rPr>
              <w:t>100</w:t>
            </w:r>
            <w:r>
              <w:rPr>
                <w:sz w:val="20"/>
                <w:color w:val="000000"/>
              </w:rPr>
              <w:t>条。</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可用性监测</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支持提供网站</w:t>
            </w:r>
            <w:r>
              <w:rPr>
                <w:sz w:val="20"/>
                <w:color w:val="000000"/>
              </w:rPr>
              <w:t>IPv4</w:t>
            </w:r>
            <w:r>
              <w:rPr>
                <w:sz w:val="20"/>
                <w:color w:val="000000"/>
              </w:rPr>
              <w:t>和</w:t>
            </w:r>
            <w:r>
              <w:rPr>
                <w:sz w:val="20"/>
                <w:color w:val="000000"/>
              </w:rPr>
              <w:t>IPv6</w:t>
            </w:r>
            <w:r>
              <w:rPr>
                <w:sz w:val="20"/>
                <w:color w:val="000000"/>
              </w:rPr>
              <w:t>可用性监测，监测节点覆盖三大运营商且不少于</w:t>
            </w:r>
            <w:r>
              <w:rPr>
                <w:sz w:val="20"/>
                <w:color w:val="000000"/>
              </w:rPr>
              <w:t>60</w:t>
            </w:r>
            <w:r>
              <w:rPr>
                <w:sz w:val="20"/>
                <w:color w:val="000000"/>
              </w:rPr>
              <w:t>个，监测频率</w:t>
            </w:r>
            <w:r>
              <w:rPr>
                <w:sz w:val="20"/>
                <w:color w:val="000000"/>
              </w:rPr>
              <w:t>≤5</w:t>
            </w:r>
            <w:r>
              <w:rPr>
                <w:sz w:val="20"/>
                <w:color w:val="000000"/>
              </w:rPr>
              <w:t>分钟</w:t>
            </w:r>
            <w:r>
              <w:rPr>
                <w:sz w:val="20"/>
                <w:color w:val="000000"/>
              </w:rPr>
              <w:t>/</w:t>
            </w:r>
            <w:r>
              <w:rPr>
                <w:sz w:val="20"/>
                <w:color w:val="000000"/>
              </w:rPr>
              <w:t>次。（提供功能界面截图，在相应指标作出标记并注明针对的参数（例如用红色方框标记）。未做标记出现漏评风险由投标人承担，评标委员会可视为不满足。）</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支持提供站点断网短信告警服务，通过短信内嵌的</w:t>
            </w:r>
            <w:r>
              <w:rPr>
                <w:sz w:val="20"/>
                <w:color w:val="000000"/>
              </w:rPr>
              <w:t>URL</w:t>
            </w:r>
            <w:r>
              <w:rPr>
                <w:sz w:val="20"/>
                <w:color w:val="000000"/>
              </w:rPr>
              <w:t>链接可查看网站断网详情及原始断网日志信息。（提供功能界面截图，在相应指标作出标记并注明针对的参数（例如用红色方框标记）。未做标记出现漏评风险由投标人承担，评标委员会可视为不满足。）</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记录站点断网信息，基于站点、地址、时间维度进行检索，展示站点名称、站点地址、断网时间、持续时长、站点当前状态、恢复时间，支持查看断网事件深层数据，包括使用的探测节点信息、请求状态码、请求连接时间、</w:t>
            </w:r>
            <w:r>
              <w:rPr>
                <w:sz w:val="20"/>
                <w:color w:val="000000"/>
              </w:rPr>
              <w:t>DNS</w:t>
            </w:r>
            <w:r>
              <w:rPr>
                <w:sz w:val="20"/>
                <w:color w:val="000000"/>
              </w:rPr>
              <w:t>解析时间、页面下载时间。（提供功能界面截图，在相应指标作出标记并注明针对的参数（例如用红色方框标记）。未做标记出现漏评风险由投标人承担，评标委员会可视为不满足。）</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可视化展示</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支持以大屏展示监测结果，监控站点数量、漏洞等级分布、安全事件等级分布、中高危漏洞、网站断网记录。</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支持以地图实时展示可用性探测节点访问网站的时延情况，根据站点响应状态自动绘制站点故障趋势图。</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微信公众号</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支持通过微信公众号查询站点的安全状态，展示漏洞威胁、安全事件和网站可用性监测数据。</w:t>
            </w:r>
          </w:p>
        </w:tc>
      </w:tr>
      <w:tr>
        <w:tc>
          <w:tcPr>
            <w:tcW w:type="dxa" w:w="11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安全告警</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支持通过短信和邮件向用户推送安全告警，告警类型包括漏洞告警、安全事件告警、断网告警。</w:t>
            </w:r>
          </w:p>
        </w:tc>
      </w:tr>
      <w:tr>
        <w:tc>
          <w:tcPr>
            <w:tcW w:type="dxa" w:w="1175"/>
            <w:vMerge/>
            <w:tcBorders>
              <w:top w:val="none" w:color="000000" w:sz="4"/>
              <w:left w:val="single" w:color="000000" w:sz="4"/>
              <w:bottom w:val="single" w:color="000000" w:sz="4"/>
              <w:right w:val="single" w:color="000000" w:sz="4"/>
            </w:tcBorders>
          </w:tcP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支持通过机器人电话方式向用户推送告警，告警类型包括安全事件和可用性，支持灵活配置告警等级、告警时间段、告警触发条件。</w:t>
            </w:r>
          </w:p>
        </w:tc>
      </w:tr>
      <w:tr>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部署方式</w:t>
            </w:r>
          </w:p>
        </w:tc>
        <w:tc>
          <w:tcPr>
            <w:tcW w:type="dxa" w:w="71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支持云化和本地私有化部分。</w:t>
            </w:r>
          </w:p>
        </w:tc>
      </w:tr>
    </w:tbl>
    <w:p>
      <w:pPr>
        <w:pStyle w:val="null3"/>
        <w:ind w:firstLine="400"/>
        <w:jc w:val="both"/>
      </w:pPr>
      <w:r>
        <w:rPr>
          <w:sz w:val="20"/>
          <w:b/>
        </w:rPr>
        <w:t xml:space="preserve">4.1.2.2.      </w:t>
      </w:r>
      <w:r>
        <w:rPr>
          <w:sz w:val="20"/>
          <w:b/>
        </w:rPr>
        <w:t>渗透测试服务</w:t>
      </w:r>
    </w:p>
    <w:p>
      <w:pPr>
        <w:pStyle w:val="null3"/>
        <w:ind w:firstLine="400"/>
        <w:jc w:val="both"/>
      </w:pPr>
      <w:r>
        <w:rPr>
          <w:sz w:val="20"/>
        </w:rPr>
        <w:t>针对提供每个季度</w:t>
      </w:r>
      <w:r>
        <w:rPr>
          <w:sz w:val="20"/>
        </w:rPr>
        <w:t>1</w:t>
      </w:r>
      <w:r>
        <w:rPr>
          <w:sz w:val="20"/>
        </w:rPr>
        <w:t>次的人工渗透测试，</w:t>
      </w:r>
      <w:r>
        <w:rPr>
          <w:sz w:val="20"/>
        </w:rPr>
        <w:t>2</w:t>
      </w:r>
      <w:r>
        <w:rPr>
          <w:sz w:val="20"/>
        </w:rPr>
        <w:t>年共</w:t>
      </w:r>
      <w:r>
        <w:rPr>
          <w:sz w:val="20"/>
        </w:rPr>
        <w:t>8</w:t>
      </w:r>
      <w:r>
        <w:rPr>
          <w:sz w:val="20"/>
        </w:rPr>
        <w:t>次，出具详细测试报告及协助修复服务。通过专业渗透工程师从用户的外部及内部开展，形式手段不限地以多种方式尝试渗透该系统的操作系统和应用，找出系统存在的后门或漏洞、页面漏洞、后台管理账号、用户弱密码等一切安全风险；主要是针对逻辑缺陷的发现，提出逻辑层次的漏洞修复。以黑客的视角对应用系统的安全状况进行黑盒测试，使用黑客攻击的工具和手段对应用系统进行模拟攻击测试，挖掘可能存在的安全漏洞。范围至少包括：</w:t>
      </w:r>
    </w:p>
    <w:p>
      <w:pPr>
        <w:pStyle w:val="null3"/>
        <w:ind w:firstLine="400"/>
        <w:jc w:val="both"/>
      </w:pPr>
      <w:r>
        <w:rPr>
          <w:sz w:val="20"/>
        </w:rPr>
        <w:t>1.</w:t>
      </w:r>
      <w:r>
        <w:rPr>
          <w:sz w:val="20"/>
        </w:rPr>
        <w:t>系统层安全测试：操作系统漏洞扫描、远程溢出、未授权访问测试、口令猜测、跳板攻击测试；</w:t>
      </w:r>
    </w:p>
    <w:p>
      <w:pPr>
        <w:pStyle w:val="null3"/>
        <w:ind w:firstLine="400"/>
        <w:jc w:val="both"/>
      </w:pPr>
      <w:r>
        <w:rPr>
          <w:sz w:val="20"/>
        </w:rPr>
        <w:t>2.</w:t>
      </w:r>
      <w:r>
        <w:rPr>
          <w:sz w:val="20"/>
        </w:rPr>
        <w:t>应用层安全测试：系统结构分析及测试信息收集、应用</w:t>
      </w:r>
      <w:r>
        <w:rPr>
          <w:sz w:val="20"/>
        </w:rPr>
        <w:t>/</w:t>
      </w:r>
      <w:r>
        <w:rPr>
          <w:sz w:val="20"/>
        </w:rPr>
        <w:t>服务运维配置缺陷检测、业务逻辑缺陷</w:t>
      </w:r>
      <w:r>
        <w:rPr>
          <w:sz w:val="20"/>
        </w:rPr>
        <w:t>&amp;</w:t>
      </w:r>
      <w:r>
        <w:rPr>
          <w:sz w:val="20"/>
        </w:rPr>
        <w:t>程序逻辑缺陷、登录验证测试、会话管理测试、</w:t>
      </w:r>
      <w:r>
        <w:rPr>
          <w:sz w:val="20"/>
        </w:rPr>
        <w:t>SQL</w:t>
      </w:r>
      <w:r>
        <w:rPr>
          <w:sz w:val="20"/>
        </w:rPr>
        <w:t>注入漏洞挖掘；</w:t>
      </w:r>
    </w:p>
    <w:p>
      <w:pPr>
        <w:pStyle w:val="null3"/>
        <w:ind w:firstLine="400"/>
        <w:jc w:val="both"/>
      </w:pPr>
      <w:r>
        <w:rPr>
          <w:sz w:val="20"/>
        </w:rPr>
        <w:t>3.</w:t>
      </w:r>
      <w:r>
        <w:rPr>
          <w:sz w:val="20"/>
        </w:rPr>
        <w:t>数据传输安全测试；</w:t>
      </w:r>
    </w:p>
    <w:p>
      <w:pPr>
        <w:pStyle w:val="null3"/>
        <w:ind w:firstLine="400"/>
        <w:jc w:val="both"/>
      </w:pPr>
      <w:r>
        <w:rPr>
          <w:sz w:val="20"/>
        </w:rPr>
        <w:t>4.</w:t>
      </w:r>
      <w:r>
        <w:rPr>
          <w:sz w:val="20"/>
        </w:rPr>
        <w:t>第三方</w:t>
      </w:r>
      <w:r>
        <w:rPr>
          <w:sz w:val="20"/>
        </w:rPr>
        <w:t>/</w:t>
      </w:r>
      <w:r>
        <w:rPr>
          <w:sz w:val="20"/>
        </w:rPr>
        <w:t>开源工具、软件、中间件、开发包的公开漏洞；</w:t>
      </w:r>
    </w:p>
    <w:p>
      <w:pPr>
        <w:pStyle w:val="null3"/>
        <w:ind w:firstLine="400"/>
        <w:jc w:val="both"/>
      </w:pPr>
      <w:r>
        <w:rPr>
          <w:sz w:val="20"/>
        </w:rPr>
        <w:t>5.</w:t>
      </w:r>
      <w:r>
        <w:rPr>
          <w:sz w:val="20"/>
        </w:rPr>
        <w:t>敏感信息保护；</w:t>
      </w:r>
    </w:p>
    <w:p>
      <w:pPr>
        <w:pStyle w:val="null3"/>
        <w:ind w:firstLine="400"/>
        <w:jc w:val="both"/>
      </w:pPr>
      <w:r>
        <w:rPr>
          <w:sz w:val="20"/>
        </w:rPr>
        <w:t>6.</w:t>
      </w:r>
      <w:r>
        <w:rPr>
          <w:sz w:val="20"/>
        </w:rPr>
        <w:t>敏感信息隐患；</w:t>
      </w:r>
    </w:p>
    <w:p>
      <w:pPr>
        <w:pStyle w:val="null3"/>
        <w:ind w:firstLine="400"/>
        <w:jc w:val="both"/>
      </w:pPr>
      <w:r>
        <w:rPr>
          <w:sz w:val="20"/>
        </w:rPr>
        <w:t>7.</w:t>
      </w:r>
      <w:r>
        <w:rPr>
          <w:sz w:val="20"/>
        </w:rPr>
        <w:t>跨站脚本隐患；</w:t>
      </w:r>
    </w:p>
    <w:p>
      <w:pPr>
        <w:pStyle w:val="null3"/>
        <w:ind w:firstLine="400"/>
        <w:jc w:val="both"/>
      </w:pPr>
      <w:r>
        <w:rPr>
          <w:sz w:val="20"/>
        </w:rPr>
        <w:t>8.</w:t>
      </w:r>
      <w:r>
        <w:rPr>
          <w:sz w:val="20"/>
        </w:rPr>
        <w:t>任意文件上传隐患；</w:t>
      </w:r>
    </w:p>
    <w:p>
      <w:pPr>
        <w:pStyle w:val="null3"/>
        <w:ind w:firstLine="400"/>
        <w:jc w:val="both"/>
      </w:pPr>
      <w:r>
        <w:rPr>
          <w:sz w:val="20"/>
        </w:rPr>
        <w:t>9.</w:t>
      </w:r>
      <w:r>
        <w:rPr>
          <w:sz w:val="20"/>
        </w:rPr>
        <w:t>任意文件下载隐患；</w:t>
      </w:r>
    </w:p>
    <w:p>
      <w:pPr>
        <w:pStyle w:val="null3"/>
        <w:ind w:firstLine="400"/>
        <w:jc w:val="both"/>
      </w:pPr>
      <w:r>
        <w:rPr>
          <w:sz w:val="20"/>
        </w:rPr>
        <w:t>10.</w:t>
      </w:r>
      <w:r>
        <w:rPr>
          <w:sz w:val="20"/>
        </w:rPr>
        <w:t>隐患整改。</w:t>
      </w:r>
    </w:p>
    <w:p>
      <w:pPr>
        <w:pStyle w:val="null3"/>
        <w:ind w:firstLine="402"/>
        <w:jc w:val="both"/>
      </w:pPr>
      <w:r>
        <w:rPr>
          <w:sz w:val="20"/>
          <w:b/>
        </w:rPr>
        <w:t>服务交付物：</w:t>
      </w:r>
    </w:p>
    <w:p>
      <w:pPr>
        <w:pStyle w:val="null3"/>
        <w:ind w:firstLine="400"/>
        <w:jc w:val="both"/>
      </w:pPr>
      <w:r>
        <w:rPr>
          <w:sz w:val="20"/>
        </w:rPr>
        <w:t>1.</w:t>
      </w:r>
      <w:r>
        <w:rPr>
          <w:sz w:val="20"/>
        </w:rPr>
        <w:t>《渗透测试服务方案》</w:t>
      </w:r>
      <w:r>
        <w:rPr>
          <w:sz w:val="20"/>
        </w:rPr>
        <w:t>1</w:t>
      </w:r>
      <w:r>
        <w:rPr>
          <w:sz w:val="20"/>
        </w:rPr>
        <w:t>份；</w:t>
      </w:r>
    </w:p>
    <w:p>
      <w:pPr>
        <w:pStyle w:val="null3"/>
        <w:ind w:firstLine="400"/>
        <w:jc w:val="both"/>
      </w:pPr>
      <w:r>
        <w:rPr>
          <w:sz w:val="20"/>
        </w:rPr>
        <w:t>2.</w:t>
      </w:r>
      <w:r>
        <w:rPr>
          <w:sz w:val="20"/>
        </w:rPr>
        <w:t>《渗透测试报告及隐患修复建议》（每季度）</w:t>
      </w:r>
      <w:r>
        <w:rPr>
          <w:sz w:val="20"/>
        </w:rPr>
        <w:t>8</w:t>
      </w:r>
      <w:r>
        <w:rPr>
          <w:sz w:val="20"/>
        </w:rPr>
        <w:t>份；</w:t>
      </w:r>
    </w:p>
    <w:p>
      <w:pPr>
        <w:pStyle w:val="null3"/>
        <w:ind w:firstLine="400"/>
        <w:jc w:val="both"/>
      </w:pPr>
      <w:r>
        <w:rPr>
          <w:sz w:val="20"/>
        </w:rPr>
        <w:t>3.</w:t>
      </w:r>
      <w:r>
        <w:rPr>
          <w:sz w:val="20"/>
        </w:rPr>
        <w:t>《隐患整改复测报告》（每季度）</w:t>
      </w:r>
      <w:r>
        <w:rPr>
          <w:sz w:val="20"/>
        </w:rPr>
        <w:t>8</w:t>
      </w:r>
      <w:r>
        <w:rPr>
          <w:sz w:val="20"/>
        </w:rPr>
        <w:t>份。</w:t>
      </w:r>
    </w:p>
    <w:p>
      <w:pPr>
        <w:pStyle w:val="null3"/>
        <w:ind w:firstLine="402"/>
        <w:jc w:val="both"/>
      </w:pPr>
      <w:r>
        <w:rPr>
          <w:sz w:val="20"/>
          <w:b/>
        </w:rPr>
        <w:t xml:space="preserve">4.1.2.3.      </w:t>
      </w:r>
      <w:r>
        <w:rPr>
          <w:sz w:val="20"/>
          <w:b/>
        </w:rPr>
        <w:t>数据库审计服务</w:t>
      </w:r>
    </w:p>
    <w:p>
      <w:pPr>
        <w:pStyle w:val="null3"/>
        <w:ind w:firstLine="400"/>
        <w:jc w:val="both"/>
      </w:pPr>
      <w:r>
        <w:rPr>
          <w:sz w:val="20"/>
        </w:rPr>
        <w:t>提供的数据库安全审计服务具备强大的</w:t>
      </w:r>
      <w:r>
        <w:rPr>
          <w:sz w:val="20"/>
        </w:rPr>
        <w:t>AI</w:t>
      </w:r>
      <w:r>
        <w:rPr>
          <w:sz w:val="20"/>
        </w:rPr>
        <w:t>威胁检测引擎和高性能网络处理器，能够在高并发环境下检测出各种变种攻击，为数据安全提供有力的审计报告。具体包括：</w:t>
      </w:r>
    </w:p>
    <w:p>
      <w:pPr>
        <w:pStyle w:val="null3"/>
        <w:ind w:firstLine="402"/>
        <w:jc w:val="both"/>
      </w:pPr>
      <w:r>
        <w:rPr>
          <w:sz w:val="20"/>
          <w:b/>
        </w:rPr>
        <w:t>1.</w:t>
      </w:r>
      <w:r>
        <w:rPr>
          <w:sz w:val="20"/>
          <w:b/>
        </w:rPr>
        <w:t>多引擎风险统计</w:t>
      </w:r>
    </w:p>
    <w:p>
      <w:pPr>
        <w:pStyle w:val="null3"/>
        <w:ind w:firstLine="400"/>
        <w:jc w:val="both"/>
      </w:pPr>
      <w:r>
        <w:rPr>
          <w:sz w:val="20"/>
        </w:rPr>
        <w:t>数据安全审计集合各大安全实验室的能力基础，拥有全球最新的安全资讯。结合即时安全情报，具备强大的</w:t>
      </w:r>
      <w:r>
        <w:rPr>
          <w:sz w:val="20"/>
        </w:rPr>
        <w:t>CVE</w:t>
      </w:r>
      <w:r>
        <w:rPr>
          <w:sz w:val="20"/>
        </w:rPr>
        <w:t>引擎，能够根据威胁攻击、恶意操作、</w:t>
      </w:r>
      <w:r>
        <w:rPr>
          <w:sz w:val="20"/>
        </w:rPr>
        <w:t>SQL</w:t>
      </w:r>
      <w:r>
        <w:rPr>
          <w:sz w:val="20"/>
        </w:rPr>
        <w:t>注入等流量特征对安全事件进行告警。除此之外，数据库审计还具备人工智能引擎监测措施，能有效发现全新的攻击模式以及各类常见攻击的变种，极大地减少了漏报问题。在面对不同的业务场景以及管理员特殊的审计需求时，还能够提供自定义安全规则库，定义范围包括访问源、</w:t>
      </w:r>
      <w:r>
        <w:rPr>
          <w:sz w:val="20"/>
        </w:rPr>
        <w:t>IP</w:t>
      </w:r>
      <w:r>
        <w:rPr>
          <w:sz w:val="20"/>
        </w:rPr>
        <w:t>、目标数据库、访问时间、操作内容、操作库表字段、访问用户名等，能够灵活定制出依据使用环境变化的个性化安全策略，确保各类审计需求落实到位。</w:t>
      </w:r>
    </w:p>
    <w:p>
      <w:pPr>
        <w:pStyle w:val="null3"/>
        <w:ind w:firstLine="402"/>
        <w:jc w:val="both"/>
      </w:pPr>
      <w:r>
        <w:rPr>
          <w:sz w:val="20"/>
          <w:b/>
        </w:rPr>
        <w:t>2.</w:t>
      </w:r>
      <w:r>
        <w:rPr>
          <w:sz w:val="20"/>
          <w:b/>
        </w:rPr>
        <w:t>全量会话统计</w:t>
      </w:r>
    </w:p>
    <w:p>
      <w:pPr>
        <w:pStyle w:val="null3"/>
        <w:ind w:firstLine="400"/>
        <w:jc w:val="both"/>
      </w:pPr>
      <w:r>
        <w:rPr>
          <w:sz w:val="20"/>
        </w:rPr>
        <w:t>数据库安全审计具备高性能网络引擎，即便在会话压力较大的环境下，依然能够准确记录所有与数据库相关的访问信息。同时，强大的数据存储能力最高能够容纳</w:t>
      </w:r>
      <w:r>
        <w:rPr>
          <w:sz w:val="20"/>
        </w:rPr>
        <w:t>500</w:t>
      </w:r>
      <w:r>
        <w:rPr>
          <w:sz w:val="20"/>
        </w:rPr>
        <w:t>亿条</w:t>
      </w:r>
      <w:r>
        <w:rPr>
          <w:sz w:val="20"/>
        </w:rPr>
        <w:t>SQL</w:t>
      </w:r>
      <w:r>
        <w:rPr>
          <w:sz w:val="20"/>
        </w:rPr>
        <w:t>语句，将</w:t>
      </w:r>
      <w:r>
        <w:rPr>
          <w:sz w:val="20"/>
        </w:rPr>
        <w:t>3</w:t>
      </w:r>
      <w:r>
        <w:rPr>
          <w:sz w:val="20"/>
        </w:rPr>
        <w:t>年以上的数据库操作信息完整地存储下来，溯源时效性长，为安全事件追责提供有力依据。</w:t>
      </w:r>
    </w:p>
    <w:p>
      <w:pPr>
        <w:pStyle w:val="null3"/>
        <w:ind w:firstLine="402"/>
        <w:jc w:val="both"/>
      </w:pPr>
      <w:r>
        <w:rPr>
          <w:sz w:val="20"/>
          <w:b/>
        </w:rPr>
        <w:t>3.</w:t>
      </w:r>
      <w:r>
        <w:rPr>
          <w:sz w:val="20"/>
          <w:b/>
        </w:rPr>
        <w:t>压力监测</w:t>
      </w:r>
    </w:p>
    <w:p>
      <w:pPr>
        <w:pStyle w:val="null3"/>
        <w:ind w:firstLine="400"/>
        <w:jc w:val="both"/>
      </w:pPr>
      <w:r>
        <w:rPr>
          <w:sz w:val="20"/>
        </w:rPr>
        <w:t>网络中每台数据库的语句压力信息将实时反馈在数据安全审计系统上。压力监测具体能展示以下几类数据：</w:t>
      </w:r>
    </w:p>
    <w:p>
      <w:pPr>
        <w:pStyle w:val="null3"/>
        <w:ind w:firstLine="400"/>
        <w:jc w:val="both"/>
      </w:pPr>
      <w:r>
        <w:rPr>
          <w:sz w:val="20"/>
        </w:rPr>
        <w:t>（</w:t>
      </w:r>
      <w:r>
        <w:rPr>
          <w:sz w:val="20"/>
        </w:rPr>
        <w:t>1</w:t>
      </w:r>
      <w:r>
        <w:rPr>
          <w:sz w:val="20"/>
        </w:rPr>
        <w:t>）流量曲线图可向管理员展示历史的语句压力走势。</w:t>
      </w:r>
    </w:p>
    <w:p>
      <w:pPr>
        <w:pStyle w:val="null3"/>
        <w:ind w:firstLine="400"/>
        <w:jc w:val="both"/>
      </w:pPr>
      <w:r>
        <w:rPr>
          <w:sz w:val="20"/>
        </w:rPr>
        <w:t>（</w:t>
      </w:r>
      <w:r>
        <w:rPr>
          <w:sz w:val="20"/>
        </w:rPr>
        <w:t>2</w:t>
      </w:r>
      <w:r>
        <w:rPr>
          <w:sz w:val="20"/>
        </w:rPr>
        <w:t>）语句压力排行信息可向管理员展示全网各数据库语句压力的横向比对。</w:t>
      </w:r>
    </w:p>
    <w:p>
      <w:pPr>
        <w:pStyle w:val="null3"/>
        <w:ind w:firstLine="402"/>
        <w:jc w:val="both"/>
      </w:pPr>
      <w:r>
        <w:rPr>
          <w:sz w:val="20"/>
          <w:b/>
        </w:rPr>
        <w:t>4.</w:t>
      </w:r>
      <w:r>
        <w:rPr>
          <w:sz w:val="20"/>
          <w:b/>
        </w:rPr>
        <w:t>定期报告</w:t>
      </w:r>
    </w:p>
    <w:p>
      <w:pPr>
        <w:pStyle w:val="null3"/>
        <w:ind w:firstLine="400"/>
        <w:jc w:val="both"/>
      </w:pPr>
      <w:r>
        <w:rPr>
          <w:sz w:val="20"/>
        </w:rPr>
        <w:t>数据安全审计全方位、多维度的审计报告能够周期性地反映数据库系统安全运行信息。为客户提供以下几类重要功能：</w:t>
      </w:r>
    </w:p>
    <w:p>
      <w:pPr>
        <w:pStyle w:val="null3"/>
        <w:ind w:firstLine="400"/>
        <w:jc w:val="both"/>
      </w:pPr>
      <w:r>
        <w:rPr>
          <w:sz w:val="20"/>
        </w:rPr>
        <w:t>（</w:t>
      </w:r>
      <w:r>
        <w:rPr>
          <w:sz w:val="20"/>
        </w:rPr>
        <w:t>1</w:t>
      </w:r>
      <w:r>
        <w:rPr>
          <w:sz w:val="20"/>
        </w:rPr>
        <w:t>）周期性的报告展示整个数据系统的安全情况；</w:t>
      </w:r>
    </w:p>
    <w:p>
      <w:pPr>
        <w:pStyle w:val="null3"/>
        <w:ind w:firstLine="400"/>
        <w:jc w:val="both"/>
      </w:pPr>
      <w:r>
        <w:rPr>
          <w:sz w:val="20"/>
        </w:rPr>
        <w:t>（</w:t>
      </w:r>
      <w:r>
        <w:rPr>
          <w:sz w:val="20"/>
        </w:rPr>
        <w:t>2</w:t>
      </w:r>
      <w:r>
        <w:rPr>
          <w:sz w:val="20"/>
        </w:rPr>
        <w:t>）数据安全审计提供基于等级保护测评相关要求的整体分析报告。</w:t>
      </w:r>
    </w:p>
    <w:p>
      <w:pPr>
        <w:pStyle w:val="null3"/>
        <w:ind w:firstLine="402"/>
        <w:jc w:val="both"/>
      </w:pPr>
      <w:r>
        <w:rPr>
          <w:sz w:val="20"/>
          <w:b/>
        </w:rPr>
        <w:t>服务交付物：</w:t>
      </w:r>
    </w:p>
    <w:p>
      <w:pPr>
        <w:pStyle w:val="null3"/>
        <w:ind w:firstLine="400"/>
        <w:jc w:val="both"/>
      </w:pPr>
      <w:r>
        <w:rPr>
          <w:sz w:val="20"/>
        </w:rPr>
        <w:t>1.</w:t>
      </w:r>
      <w:r>
        <w:rPr>
          <w:sz w:val="20"/>
        </w:rPr>
        <w:t>《数据库审计风险报告》（每月）共计</w:t>
      </w:r>
      <w:r>
        <w:rPr>
          <w:sz w:val="20"/>
        </w:rPr>
        <w:t>24</w:t>
      </w:r>
      <w:r>
        <w:rPr>
          <w:sz w:val="20"/>
        </w:rPr>
        <w:t>份。</w:t>
      </w:r>
    </w:p>
    <w:p>
      <w:pPr>
        <w:pStyle w:val="null3"/>
        <w:ind w:firstLine="402"/>
        <w:jc w:val="both"/>
      </w:pPr>
      <w:r>
        <w:rPr>
          <w:sz w:val="20"/>
          <w:b/>
        </w:rPr>
        <w:t>数据库审计工具详细技术要求：</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tcPr>
          <w:p>
            <w:pPr>
              <w:pStyle w:val="null3"/>
              <w:jc w:val="center"/>
            </w:pPr>
            <w:r>
              <w:rPr>
                <w:sz w:val="20"/>
                <w:color w:val="000000"/>
              </w:rPr>
              <w:t>技术项</w:t>
            </w:r>
          </w:p>
        </w:tc>
        <w:tc>
          <w:tcPr>
            <w:tcW w:type="dxa" w:w="7048"/>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0"/>
                <w:color w:val="000000"/>
              </w:rPr>
              <w:t>技术要求</w:t>
            </w:r>
          </w:p>
        </w:tc>
      </w:tr>
      <w:tr>
        <w:tc>
          <w:tcPr>
            <w:tcW w:type="dxa" w:w="1258"/>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0"/>
                <w:color w:val="000000"/>
              </w:rPr>
              <w:t>数据库兼容性</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数据库兼容</w:t>
            </w:r>
            <w:r>
              <w:rPr>
                <w:sz w:val="20"/>
                <w:color w:val="000000"/>
              </w:rPr>
              <w:t>MySQL</w:t>
            </w:r>
            <w:r>
              <w:rPr>
                <w:sz w:val="20"/>
                <w:color w:val="000000"/>
              </w:rPr>
              <w:t>、达梦、人大金仓（</w:t>
            </w:r>
            <w:r>
              <w:rPr>
                <w:sz w:val="20"/>
                <w:color w:val="000000"/>
              </w:rPr>
              <w:t>KingbaseES</w:t>
            </w:r>
            <w:r>
              <w:rPr>
                <w:sz w:val="20"/>
                <w:color w:val="000000"/>
              </w:rPr>
              <w:t>）、神通、浪潮</w:t>
            </w:r>
            <w:r>
              <w:rPr>
                <w:sz w:val="20"/>
                <w:color w:val="000000"/>
              </w:rPr>
              <w:t>KDB</w:t>
            </w:r>
            <w:r>
              <w:rPr>
                <w:sz w:val="20"/>
                <w:color w:val="000000"/>
              </w:rPr>
              <w:t>、湖南上容、</w:t>
            </w:r>
            <w:r>
              <w:rPr>
                <w:sz w:val="20"/>
                <w:color w:val="000000"/>
              </w:rPr>
              <w:t>HighGo</w:t>
            </w:r>
            <w:r>
              <w:rPr>
                <w:sz w:val="20"/>
                <w:color w:val="000000"/>
              </w:rPr>
              <w:t>（瀚高）等。</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数据库安全监测</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可同时支持包括数据库审计、风险扫描、状态监控、运维审计等功能，可按需扩展、每</w:t>
            </w:r>
            <w:r>
              <w:rPr>
                <w:sz w:val="20"/>
                <w:color w:val="000000"/>
              </w:rPr>
              <w:t>1T</w:t>
            </w:r>
            <w:r>
              <w:rPr>
                <w:sz w:val="20"/>
                <w:color w:val="000000"/>
              </w:rPr>
              <w:t>磁盘空间存储日志量不少于</w:t>
            </w:r>
            <w:r>
              <w:rPr>
                <w:sz w:val="20"/>
                <w:color w:val="000000"/>
              </w:rPr>
              <w:t>50</w:t>
            </w:r>
            <w:r>
              <w:rPr>
                <w:sz w:val="20"/>
                <w:color w:val="000000"/>
              </w:rPr>
              <w:t>亿，且全部日志全部为在线日志，无需等待解压过程即可查询。支持审计日志存储空间动态扩展、主备模式下，主备机审计日志能够进行同步。（提供系统</w:t>
            </w:r>
            <w:r>
              <w:rPr>
                <w:sz w:val="20"/>
                <w:color w:val="000000"/>
              </w:rPr>
              <w:t>1TB</w:t>
            </w:r>
            <w:r>
              <w:rPr>
                <w:sz w:val="20"/>
                <w:color w:val="000000"/>
              </w:rPr>
              <w:t>磁盘存储日志量不少于</w:t>
            </w:r>
            <w:r>
              <w:rPr>
                <w:sz w:val="20"/>
                <w:color w:val="000000"/>
              </w:rPr>
              <w:t>50</w:t>
            </w:r>
            <w:r>
              <w:rPr>
                <w:sz w:val="20"/>
                <w:color w:val="000000"/>
              </w:rPr>
              <w:t>亿的</w:t>
            </w:r>
            <w:r>
              <w:rPr>
                <w:sz w:val="20"/>
                <w:color w:val="000000"/>
              </w:rPr>
              <w:t>功能界面截图。在相应指标作出标记并注明针对的参数（例如用红色方框标记）。未做标记出现漏评风险由投标人承担，评标委员会可视为不满足。</w:t>
            </w:r>
            <w:r>
              <w:rPr>
                <w:sz w:val="20"/>
                <w:color w:val="000000"/>
              </w:rPr>
              <w:t>）</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支持对数据库进行风险扫描；进行风险扫描时可以实时刷新扫描结果，结果中可显示风险描述、风险等级（中风险、高风险、低风险、无风险）。</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对数据库服务器提供漏洞扫描，实现对数据库进行高风险、中风险、低风险漏洞进行识别。同时，可根据扫描结果提供漏洞修复建议；漏洞库管理，提供漏洞库管理服务，通过可视化界面展示数据库漏洞种类统计、风险漏洞种类统计，以及当前漏洞库（展示漏洞库总记录、漏洞名称、发现时间、风险等级、数据库类型、摘要）、漏洞详情（包括：漏洞名称、</w:t>
            </w:r>
            <w:r>
              <w:rPr>
                <w:sz w:val="20"/>
                <w:color w:val="000000"/>
              </w:rPr>
              <w:t>CVE</w:t>
            </w:r>
            <w:r>
              <w:rPr>
                <w:sz w:val="20"/>
                <w:color w:val="000000"/>
              </w:rPr>
              <w:t>编号、漏洞描述、修复建议、受影响版本等信息）。</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支持磁盘动态挂载扩展。</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支持对数据库会话进行实时监控，可以监控到的元素包括但不限于：</w:t>
            </w:r>
            <w:r>
              <w:rPr>
                <w:sz w:val="20"/>
                <w:color w:val="000000"/>
              </w:rPr>
              <w:t>SID</w:t>
            </w:r>
            <w:r>
              <w:rPr>
                <w:sz w:val="20"/>
                <w:color w:val="000000"/>
              </w:rPr>
              <w:t>、状态、机器、用户名、耗时、</w:t>
            </w:r>
            <w:r>
              <w:rPr>
                <w:sz w:val="20"/>
                <w:color w:val="000000"/>
              </w:rPr>
              <w:t>CPU</w:t>
            </w:r>
            <w:r>
              <w:rPr>
                <w:sz w:val="20"/>
                <w:color w:val="000000"/>
              </w:rPr>
              <w:t>使用量、内存排序、表扫描、物理读、逻辑读、提交、光标、缓冲区击中率。</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rPr>
              <w:t>支持将审计记录中</w:t>
            </w:r>
            <w:r>
              <w:rPr>
                <w:sz w:val="20"/>
              </w:rPr>
              <w:t>SQL</w:t>
            </w:r>
            <w:r>
              <w:rPr>
                <w:sz w:val="20"/>
              </w:rPr>
              <w:t>语句关键字翻译成中文，便于非专业人员阅读，支持将审计日志的敏感字段进行模糊化处理，防止敏感数据泄露。</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w:t>
            </w:r>
            <w:r>
              <w:rPr>
                <w:sz w:val="20"/>
              </w:rPr>
              <w:t>支持字典翻译功能；通过对</w:t>
            </w:r>
            <w:r>
              <w:rPr>
                <w:sz w:val="20"/>
              </w:rPr>
              <w:t>SQL</w:t>
            </w:r>
            <w:r>
              <w:rPr>
                <w:sz w:val="20"/>
              </w:rPr>
              <w:t>关键字字典进行设置，将</w:t>
            </w:r>
            <w:r>
              <w:rPr>
                <w:sz w:val="20"/>
              </w:rPr>
              <w:t>SQL</w:t>
            </w:r>
            <w:r>
              <w:rPr>
                <w:sz w:val="20"/>
              </w:rPr>
              <w:t>关键字翻译成通俗说明。同时支持对业务字典设置，将业务数据字段翻译成业务信息说明。</w:t>
            </w:r>
            <w:r>
              <w:rPr>
                <w:sz w:val="20"/>
                <w:color w:val="000000"/>
              </w:rPr>
              <w:t>（提供功能界面截图，在相应指标作出标记并注明针对的参数（例如用红色方框标记）。未做标记出现漏评风险由投标人承担，评标委员会可视为不满足。）</w:t>
            </w:r>
          </w:p>
        </w:tc>
      </w:tr>
    </w:tbl>
    <w:p>
      <w:pPr>
        <w:pStyle w:val="null3"/>
        <w:ind w:firstLine="400"/>
        <w:jc w:val="both"/>
      </w:pPr>
      <w:r>
        <w:rPr>
          <w:sz w:val="20"/>
          <w:b/>
        </w:rPr>
        <w:t xml:space="preserve">4.1.2.4.      </w:t>
      </w:r>
      <w:r>
        <w:rPr>
          <w:sz w:val="20"/>
          <w:b/>
        </w:rPr>
        <w:t>漏洞扫描服务</w:t>
      </w:r>
    </w:p>
    <w:p>
      <w:pPr>
        <w:pStyle w:val="null3"/>
        <w:ind w:firstLine="400"/>
        <w:jc w:val="both"/>
      </w:pPr>
      <w:r>
        <w:rPr>
          <w:sz w:val="20"/>
        </w:rPr>
        <w:t>提供每个月</w:t>
      </w:r>
      <w:r>
        <w:rPr>
          <w:sz w:val="20"/>
        </w:rPr>
        <w:t>1</w:t>
      </w:r>
      <w:r>
        <w:rPr>
          <w:sz w:val="20"/>
        </w:rPr>
        <w:t>次的漏洞扫描服务，利用第三方工具进行安全漏洞扫描。安全漏洞扫描围绕该系统的操作系统和应用系统是否存在后门或漏洞为目的。</w:t>
      </w:r>
    </w:p>
    <w:p>
      <w:pPr>
        <w:pStyle w:val="null3"/>
        <w:ind w:firstLine="400"/>
        <w:jc w:val="both"/>
      </w:pPr>
      <w:r>
        <w:rPr>
          <w:sz w:val="20"/>
        </w:rPr>
        <w:t>由于大多数未经过安全检测和增强的系统，都或多或少地存在未安装补丁、弱口令、开启不必要的服务等脆弱性，在系统上线运营后，这类脆弱性很可能导致系统风险。因此需要通过扫描探测的方式，检测目标系统上存在的漏洞，通过漏洞扫描工具以远程</w:t>
      </w:r>
      <w:r>
        <w:rPr>
          <w:sz w:val="20"/>
        </w:rPr>
        <w:t>/</w:t>
      </w:r>
      <w:r>
        <w:rPr>
          <w:sz w:val="20"/>
        </w:rPr>
        <w:t>本地扫描的方式，对评估范围内的系统和网络进行安全扫描，检测服务器主机、</w:t>
      </w:r>
      <w:r>
        <w:rPr>
          <w:sz w:val="20"/>
        </w:rPr>
        <w:t>Web</w:t>
      </w:r>
      <w:r>
        <w:rPr>
          <w:sz w:val="20"/>
        </w:rPr>
        <w:t>应用、数据库等信息系统所开放端口和服务，检测目标对象存在的系统漏洞和弱口令等脆弱性。</w:t>
      </w:r>
    </w:p>
    <w:p>
      <w:pPr>
        <w:pStyle w:val="null3"/>
        <w:ind w:firstLine="402"/>
        <w:jc w:val="both"/>
      </w:pPr>
      <w:r>
        <w:rPr>
          <w:sz w:val="20"/>
          <w:b/>
        </w:rPr>
        <w:t>服务交付物：</w:t>
      </w:r>
    </w:p>
    <w:p>
      <w:pPr>
        <w:pStyle w:val="null3"/>
        <w:ind w:firstLine="400"/>
        <w:jc w:val="both"/>
      </w:pPr>
      <w:r>
        <w:rPr>
          <w:sz w:val="20"/>
        </w:rPr>
        <w:t>1.</w:t>
      </w:r>
      <w:r>
        <w:rPr>
          <w:sz w:val="20"/>
        </w:rPr>
        <w:t>《漏洞扫描服务报告》（每月）共计</w:t>
      </w:r>
      <w:r>
        <w:rPr>
          <w:sz w:val="20"/>
        </w:rPr>
        <w:t>24</w:t>
      </w:r>
      <w:r>
        <w:rPr>
          <w:sz w:val="20"/>
        </w:rPr>
        <w:t>份。</w:t>
      </w:r>
    </w:p>
    <w:p>
      <w:pPr>
        <w:pStyle w:val="null3"/>
        <w:ind w:firstLine="402"/>
        <w:jc w:val="both"/>
      </w:pPr>
      <w:r>
        <w:rPr>
          <w:sz w:val="20"/>
          <w:b/>
        </w:rPr>
        <w:t>漏洞扫工具描详细技术要求：</w:t>
      </w:r>
    </w:p>
    <w:tbl>
      <w:tblPr>
        <w:tblW w:w="0" w:type="auto"/>
        <w:tblBorders>
          <w:top w:val="none" w:color="000000" w:sz="4"/>
          <w:left w:val="none" w:color="000000" w:sz="4"/>
          <w:bottom w:val="none" w:color="000000" w:sz="4"/>
          <w:right w:val="none" w:color="000000" w:sz="4"/>
          <w:insideH w:val="none"/>
          <w:insideV w:val="none"/>
        </w:tblBorders>
      </w:tblPr>
      <w:tblGrid>
        <w:gridCol w:w="1258"/>
        <w:gridCol w:w="7048"/>
      </w:tblGrid>
      <w:tr>
        <w:tc>
          <w:tcPr>
            <w:tcW w:type="dxa" w:w="1258"/>
            <w:tcBorders>
              <w:top w:val="single" w:color="000000" w:sz="4"/>
              <w:left w:val="single" w:color="000000" w:sz="4"/>
              <w:bottom w:val="single" w:color="000000" w:sz="4"/>
              <w:right w:val="single" w:color="000000" w:sz="4"/>
            </w:tcBorders>
            <w:shd w:fill="BFBFBF"/>
            <w:tcMar>
              <w:top w:type="dxa" w:w="0"/>
              <w:left w:type="dxa" w:w="105"/>
              <w:bottom w:type="dxa" w:w="0"/>
              <w:right w:type="dxa" w:w="105"/>
            </w:tcMar>
          </w:tcPr>
          <w:p>
            <w:pPr>
              <w:pStyle w:val="null3"/>
              <w:jc w:val="center"/>
            </w:pPr>
            <w:r>
              <w:rPr>
                <w:sz w:val="20"/>
                <w:color w:val="000000"/>
              </w:rPr>
              <w:t>技术项</w:t>
            </w:r>
          </w:p>
        </w:tc>
        <w:tc>
          <w:tcPr>
            <w:tcW w:type="dxa" w:w="7048"/>
            <w:tcBorders>
              <w:top w:val="single" w:color="000000" w:sz="4"/>
              <w:left w:val="none" w:color="000000" w:sz="4"/>
              <w:bottom w:val="single" w:color="000000" w:sz="4"/>
              <w:right w:val="single" w:color="000000" w:sz="4"/>
            </w:tcBorders>
            <w:shd w:fill="BEBEBE"/>
            <w:tcMar>
              <w:top w:type="dxa" w:w="0"/>
              <w:left w:type="dxa" w:w="105"/>
              <w:bottom w:type="dxa" w:w="0"/>
              <w:right w:type="dxa" w:w="105"/>
            </w:tcMar>
          </w:tcPr>
          <w:p>
            <w:pPr>
              <w:pStyle w:val="null3"/>
              <w:jc w:val="center"/>
            </w:pPr>
            <w:r>
              <w:rPr>
                <w:sz w:val="20"/>
                <w:color w:val="000000"/>
              </w:rPr>
              <w:t>技术要求</w:t>
            </w:r>
          </w:p>
        </w:tc>
      </w:tr>
      <w:tr>
        <w:tc>
          <w:tcPr>
            <w:tcW w:type="dxa" w:w="1258"/>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both"/>
            </w:pPr>
            <w:r>
              <w:rPr>
                <w:sz w:val="20"/>
                <w:color w:val="000000"/>
              </w:rPr>
              <w:t>资产探测</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可单独下发主机资产探测和</w:t>
            </w:r>
            <w:r>
              <w:rPr>
                <w:sz w:val="20"/>
                <w:color w:val="000000"/>
              </w:rPr>
              <w:t>Web</w:t>
            </w:r>
            <w:r>
              <w:rPr>
                <w:sz w:val="20"/>
                <w:color w:val="000000"/>
              </w:rPr>
              <w:t>资产探测扫描任务。</w:t>
            </w:r>
            <w:r>
              <w:rPr>
                <w:sz w:val="20"/>
                <w:color w:val="000000"/>
              </w:rPr>
              <w:t>主机资产探测任务可配置扫描模板，支持</w:t>
            </w:r>
            <w:r>
              <w:rPr>
                <w:sz w:val="20"/>
                <w:color w:val="000000"/>
              </w:rPr>
              <w:t>CPE</w:t>
            </w:r>
            <w:r>
              <w:rPr>
                <w:sz w:val="20"/>
                <w:color w:val="000000"/>
              </w:rPr>
              <w:t>模板、常规模板和工控物联网模板。</w:t>
            </w:r>
          </w:p>
        </w:tc>
      </w:tr>
      <w:tr>
        <w:tc>
          <w:tcPr>
            <w:tcW w:type="dxa" w:w="1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数据库安全监测</w:t>
            </w: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支持系统漏洞库和</w:t>
            </w:r>
            <w:r>
              <w:rPr>
                <w:sz w:val="20"/>
                <w:color w:val="000000"/>
              </w:rPr>
              <w:t>Web</w:t>
            </w:r>
            <w:r>
              <w:rPr>
                <w:sz w:val="20"/>
                <w:color w:val="000000"/>
              </w:rPr>
              <w:t>漏洞库通过多种维度对漏洞进行检索，包括：漏洞名称、漏洞</w:t>
            </w:r>
            <w:r>
              <w:rPr>
                <w:sz w:val="20"/>
                <w:color w:val="000000"/>
              </w:rPr>
              <w:t>ID</w:t>
            </w:r>
            <w:r>
              <w:rPr>
                <w:sz w:val="20"/>
                <w:color w:val="000000"/>
              </w:rPr>
              <w:t>，</w:t>
            </w:r>
            <w:r>
              <w:rPr>
                <w:sz w:val="20"/>
                <w:color w:val="000000"/>
              </w:rPr>
              <w:t>CVE ID</w:t>
            </w:r>
            <w:r>
              <w:rPr>
                <w:sz w:val="20"/>
                <w:color w:val="000000"/>
              </w:rPr>
              <w:t>、</w:t>
            </w:r>
            <w:r>
              <w:rPr>
                <w:sz w:val="20"/>
                <w:color w:val="000000"/>
              </w:rPr>
              <w:t>BUGTRAQ ID</w:t>
            </w:r>
            <w:r>
              <w:rPr>
                <w:sz w:val="20"/>
                <w:color w:val="000000"/>
              </w:rPr>
              <w:t>、</w:t>
            </w:r>
            <w:r>
              <w:rPr>
                <w:sz w:val="20"/>
                <w:color w:val="000000"/>
              </w:rPr>
              <w:t>CNCVE ID</w:t>
            </w:r>
            <w:r>
              <w:rPr>
                <w:sz w:val="20"/>
                <w:color w:val="000000"/>
              </w:rPr>
              <w:t>、</w:t>
            </w:r>
            <w:r>
              <w:rPr>
                <w:sz w:val="20"/>
                <w:color w:val="000000"/>
              </w:rPr>
              <w:t>CNVD ID</w:t>
            </w:r>
            <w:r>
              <w:rPr>
                <w:sz w:val="20"/>
                <w:color w:val="000000"/>
              </w:rPr>
              <w:t>、</w:t>
            </w:r>
            <w:r>
              <w:rPr>
                <w:sz w:val="20"/>
                <w:color w:val="000000"/>
              </w:rPr>
              <w:t>CNNVD ID</w:t>
            </w:r>
            <w:r>
              <w:rPr>
                <w:sz w:val="20"/>
                <w:color w:val="000000"/>
              </w:rPr>
              <w:t>、</w:t>
            </w:r>
            <w:r>
              <w:rPr>
                <w:sz w:val="20"/>
                <w:color w:val="000000"/>
              </w:rPr>
              <w:t xml:space="preserve">MS </w:t>
            </w:r>
            <w:r>
              <w:rPr>
                <w:sz w:val="20"/>
                <w:color w:val="000000"/>
              </w:rPr>
              <w:t>编号、风险等级、是否使用危险插件、是否支持漏洞验证，漏洞发布日期、漏洞分类信息。</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支持扫描容器镜像存在的漏洞，支持扫描互联网上公开仓库中的镜像以及私有仓库中的镜像</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具备单独口令猜测扫描任务，支持多种口令猜测方式，包括利用</w:t>
            </w:r>
            <w:r>
              <w:rPr>
                <w:sz w:val="20"/>
                <w:color w:val="000000"/>
              </w:rPr>
              <w:t>SMB</w:t>
            </w:r>
            <w:r>
              <w:rPr>
                <w:sz w:val="20"/>
                <w:color w:val="000000"/>
              </w:rPr>
              <w:t>、</w:t>
            </w:r>
            <w:r>
              <w:rPr>
                <w:sz w:val="20"/>
                <w:color w:val="000000"/>
              </w:rPr>
              <w:t>RDP</w:t>
            </w:r>
            <w:r>
              <w:rPr>
                <w:sz w:val="20"/>
                <w:color w:val="000000"/>
              </w:rPr>
              <w:t>、</w:t>
            </w:r>
            <w:r>
              <w:rPr>
                <w:sz w:val="20"/>
                <w:color w:val="000000"/>
              </w:rPr>
              <w:t>SSH</w:t>
            </w:r>
            <w:r>
              <w:rPr>
                <w:sz w:val="20"/>
                <w:color w:val="000000"/>
              </w:rPr>
              <w:t>、</w:t>
            </w:r>
            <w:r>
              <w:rPr>
                <w:sz w:val="20"/>
                <w:color w:val="000000"/>
              </w:rPr>
              <w:t>Telnet</w:t>
            </w:r>
            <w:r>
              <w:rPr>
                <w:sz w:val="20"/>
                <w:color w:val="000000"/>
              </w:rPr>
              <w:t>、</w:t>
            </w:r>
            <w:r>
              <w:rPr>
                <w:sz w:val="20"/>
                <w:color w:val="000000"/>
              </w:rPr>
              <w:t>SQL SERVER</w:t>
            </w:r>
            <w:r>
              <w:rPr>
                <w:sz w:val="20"/>
                <w:color w:val="000000"/>
              </w:rPr>
              <w:t>、</w:t>
            </w:r>
            <w:r>
              <w:rPr>
                <w:sz w:val="20"/>
                <w:color w:val="000000"/>
              </w:rPr>
              <w:t xml:space="preserve">MySQL </w:t>
            </w:r>
            <w:r>
              <w:rPr>
                <w:sz w:val="20"/>
                <w:color w:val="000000"/>
              </w:rPr>
              <w:t>、</w:t>
            </w:r>
            <w:r>
              <w:rPr>
                <w:sz w:val="20"/>
                <w:color w:val="000000"/>
              </w:rPr>
              <w:t>Oracle</w:t>
            </w:r>
            <w:r>
              <w:rPr>
                <w:sz w:val="20"/>
                <w:color w:val="000000"/>
              </w:rPr>
              <w:t>、</w:t>
            </w:r>
            <w:r>
              <w:rPr>
                <w:sz w:val="20"/>
                <w:color w:val="000000"/>
              </w:rPr>
              <w:t>Sybase</w:t>
            </w:r>
            <w:r>
              <w:rPr>
                <w:sz w:val="20"/>
                <w:color w:val="000000"/>
              </w:rPr>
              <w:t>、</w:t>
            </w:r>
            <w:r>
              <w:rPr>
                <w:sz w:val="20"/>
                <w:color w:val="000000"/>
              </w:rPr>
              <w:t>DB2</w:t>
            </w:r>
            <w:r>
              <w:rPr>
                <w:sz w:val="20"/>
                <w:color w:val="000000"/>
              </w:rPr>
              <w:t>、</w:t>
            </w:r>
            <w:r>
              <w:rPr>
                <w:sz w:val="20"/>
                <w:color w:val="000000"/>
              </w:rPr>
              <w:t>MongoDB</w:t>
            </w:r>
            <w:r>
              <w:rPr>
                <w:sz w:val="20"/>
                <w:color w:val="000000"/>
              </w:rPr>
              <w:t>、</w:t>
            </w:r>
            <w:r>
              <w:rPr>
                <w:sz w:val="20"/>
                <w:color w:val="000000"/>
              </w:rPr>
              <w:t>Memcached</w:t>
            </w:r>
            <w:r>
              <w:rPr>
                <w:sz w:val="20"/>
                <w:color w:val="000000"/>
              </w:rPr>
              <w:t>、</w:t>
            </w:r>
            <w:r>
              <w:rPr>
                <w:sz w:val="20"/>
                <w:color w:val="000000"/>
              </w:rPr>
              <w:t xml:space="preserve">Redis </w:t>
            </w:r>
            <w:r>
              <w:rPr>
                <w:sz w:val="20"/>
                <w:color w:val="000000"/>
              </w:rPr>
              <w:t>、</w:t>
            </w:r>
            <w:r>
              <w:rPr>
                <w:sz w:val="20"/>
                <w:color w:val="000000"/>
              </w:rPr>
              <w:t xml:space="preserve">PostgreSQL </w:t>
            </w:r>
            <w:r>
              <w:rPr>
                <w:sz w:val="20"/>
                <w:color w:val="000000"/>
              </w:rPr>
              <w:t>、</w:t>
            </w:r>
            <w:r>
              <w:rPr>
                <w:sz w:val="20"/>
                <w:color w:val="000000"/>
              </w:rPr>
              <w:t xml:space="preserve">HighGo </w:t>
            </w:r>
            <w:r>
              <w:rPr>
                <w:sz w:val="20"/>
                <w:color w:val="000000"/>
              </w:rPr>
              <w:t>、</w:t>
            </w:r>
            <w:r>
              <w:rPr>
                <w:sz w:val="20"/>
                <w:color w:val="000000"/>
              </w:rPr>
              <w:t xml:space="preserve">UXDB </w:t>
            </w:r>
            <w:r>
              <w:rPr>
                <w:sz w:val="20"/>
                <w:color w:val="000000"/>
              </w:rPr>
              <w:t>、</w:t>
            </w:r>
            <w:r>
              <w:rPr>
                <w:sz w:val="20"/>
                <w:color w:val="000000"/>
              </w:rPr>
              <w:t xml:space="preserve">Kingbase </w:t>
            </w:r>
            <w:r>
              <w:rPr>
                <w:sz w:val="20"/>
                <w:color w:val="000000"/>
              </w:rPr>
              <w:t>、</w:t>
            </w:r>
            <w:r>
              <w:rPr>
                <w:sz w:val="20"/>
                <w:color w:val="000000"/>
              </w:rPr>
              <w:t xml:space="preserve">STDB </w:t>
            </w:r>
            <w:r>
              <w:rPr>
                <w:sz w:val="20"/>
                <w:color w:val="000000"/>
              </w:rPr>
              <w:t>、</w:t>
            </w:r>
            <w:r>
              <w:rPr>
                <w:sz w:val="20"/>
                <w:color w:val="000000"/>
              </w:rPr>
              <w:t>FTP</w:t>
            </w:r>
            <w:r>
              <w:rPr>
                <w:sz w:val="20"/>
                <w:color w:val="000000"/>
              </w:rPr>
              <w:t>、</w:t>
            </w:r>
            <w:r>
              <w:rPr>
                <w:sz w:val="20"/>
                <w:color w:val="000000"/>
              </w:rPr>
              <w:t>SFTP</w:t>
            </w:r>
            <w:r>
              <w:rPr>
                <w:sz w:val="20"/>
                <w:color w:val="000000"/>
              </w:rPr>
              <w:t>、</w:t>
            </w:r>
            <w:r>
              <w:rPr>
                <w:sz w:val="20"/>
                <w:color w:val="000000"/>
              </w:rPr>
              <w:t>ActiveMQ</w:t>
            </w:r>
            <w:r>
              <w:rPr>
                <w:sz w:val="20"/>
                <w:color w:val="000000"/>
              </w:rPr>
              <w:t>、</w:t>
            </w:r>
            <w:r>
              <w:rPr>
                <w:sz w:val="20"/>
                <w:color w:val="000000"/>
              </w:rPr>
              <w:t>POP3</w:t>
            </w:r>
            <w:r>
              <w:rPr>
                <w:sz w:val="20"/>
                <w:color w:val="000000"/>
              </w:rPr>
              <w:t>、</w:t>
            </w:r>
            <w:r>
              <w:rPr>
                <w:sz w:val="20"/>
                <w:color w:val="000000"/>
              </w:rPr>
              <w:t>Tomcat</w:t>
            </w:r>
            <w:r>
              <w:rPr>
                <w:sz w:val="20"/>
                <w:color w:val="000000"/>
              </w:rPr>
              <w:t>、</w:t>
            </w:r>
            <w:r>
              <w:rPr>
                <w:sz w:val="20"/>
                <w:color w:val="000000"/>
              </w:rPr>
              <w:t>SMTP</w:t>
            </w:r>
            <w:r>
              <w:rPr>
                <w:sz w:val="20"/>
                <w:color w:val="000000"/>
              </w:rPr>
              <w:t>、</w:t>
            </w:r>
            <w:r>
              <w:rPr>
                <w:sz w:val="20"/>
                <w:color w:val="000000"/>
              </w:rPr>
              <w:t>IMAP</w:t>
            </w:r>
            <w:r>
              <w:rPr>
                <w:sz w:val="20"/>
                <w:color w:val="000000"/>
              </w:rPr>
              <w:t>、</w:t>
            </w:r>
            <w:r>
              <w:rPr>
                <w:sz w:val="20"/>
                <w:color w:val="000000"/>
              </w:rPr>
              <w:t>Onvif</w:t>
            </w:r>
            <w:r>
              <w:rPr>
                <w:sz w:val="20"/>
                <w:color w:val="000000"/>
              </w:rPr>
              <w:t>、</w:t>
            </w:r>
            <w:r>
              <w:rPr>
                <w:sz w:val="20"/>
                <w:color w:val="000000"/>
              </w:rPr>
              <w:t>RTSP</w:t>
            </w:r>
            <w:r>
              <w:rPr>
                <w:sz w:val="20"/>
                <w:color w:val="000000"/>
              </w:rPr>
              <w:t>、</w:t>
            </w:r>
            <w:r>
              <w:rPr>
                <w:sz w:val="20"/>
                <w:color w:val="000000"/>
              </w:rPr>
              <w:t xml:space="preserve"> SNMP</w:t>
            </w:r>
            <w:r>
              <w:rPr>
                <w:sz w:val="20"/>
                <w:color w:val="000000"/>
              </w:rPr>
              <w:t>、</w:t>
            </w:r>
            <w:r>
              <w:rPr>
                <w:sz w:val="20"/>
                <w:color w:val="000000"/>
              </w:rPr>
              <w:t>SIP</w:t>
            </w:r>
            <w:r>
              <w:rPr>
                <w:sz w:val="20"/>
                <w:color w:val="000000"/>
              </w:rPr>
              <w:t>、</w:t>
            </w:r>
            <w:r>
              <w:rPr>
                <w:sz w:val="20"/>
                <w:color w:val="000000"/>
              </w:rPr>
              <w:t>Vmware ESXi</w:t>
            </w:r>
            <w:r>
              <w:rPr>
                <w:sz w:val="20"/>
                <w:color w:val="000000"/>
              </w:rPr>
              <w:t>、</w:t>
            </w:r>
            <w:r>
              <w:rPr>
                <w:sz w:val="20"/>
                <w:color w:val="000000"/>
              </w:rPr>
              <w:t>HTTP Digest</w:t>
            </w:r>
            <w:r>
              <w:rPr>
                <w:sz w:val="20"/>
                <w:color w:val="000000"/>
              </w:rPr>
              <w:t>、</w:t>
            </w:r>
            <w:r>
              <w:rPr>
                <w:sz w:val="20"/>
                <w:color w:val="000000"/>
              </w:rPr>
              <w:t>Weblogic</w:t>
            </w:r>
            <w:r>
              <w:rPr>
                <w:sz w:val="20"/>
                <w:color w:val="000000"/>
              </w:rPr>
              <w:t>、</w:t>
            </w:r>
            <w:r>
              <w:rPr>
                <w:sz w:val="20"/>
                <w:color w:val="000000"/>
              </w:rPr>
              <w:t>Elasticsearch</w:t>
            </w:r>
            <w:r>
              <w:rPr>
                <w:sz w:val="20"/>
                <w:color w:val="000000"/>
              </w:rPr>
              <w:t>、</w:t>
            </w:r>
            <w:r>
              <w:rPr>
                <w:sz w:val="20"/>
                <w:color w:val="000000"/>
              </w:rPr>
              <w:t>Websphere</w:t>
            </w:r>
            <w:r>
              <w:rPr>
                <w:sz w:val="20"/>
                <w:color w:val="000000"/>
              </w:rPr>
              <w:t>等协议进行口令猜测，允许外挂用户提供的用户名字典、密码字典和用户名密码组合字典</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支持自定义风险值计算标准配置，可对主机风险等级评定标准和网络风险等级评定标准进行自定义</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支持高级数据分析，可对同一</w:t>
            </w:r>
            <w:r>
              <w:rPr>
                <w:sz w:val="20"/>
                <w:color w:val="000000"/>
              </w:rPr>
              <w:t>IP</w:t>
            </w:r>
            <w:r>
              <w:rPr>
                <w:sz w:val="20"/>
                <w:color w:val="000000"/>
              </w:rPr>
              <w:t>的两次扫描结果进行风险对比分析，并可在线查看同一</w:t>
            </w:r>
            <w:r>
              <w:rPr>
                <w:sz w:val="20"/>
                <w:color w:val="000000"/>
              </w:rPr>
              <w:t>IP</w:t>
            </w:r>
            <w:r>
              <w:rPr>
                <w:sz w:val="20"/>
                <w:color w:val="000000"/>
              </w:rPr>
              <w:t>的多次历史扫描结果</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1258"/>
            <w:vMerge/>
            <w:tcBorders>
              <w:top w:val="none" w:color="000000" w:sz="4"/>
              <w:left w:val="single" w:color="000000" w:sz="4"/>
              <w:bottom w:val="single" w:color="000000" w:sz="4"/>
              <w:right w:val="single" w:color="000000" w:sz="4"/>
            </w:tcBorders>
          </w:tcPr>
          <w:p/>
        </w:tc>
        <w:tc>
          <w:tcPr>
            <w:tcW w:type="dxa" w:w="7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w:t>
            </w:r>
            <w:r>
              <w:rPr>
                <w:sz w:val="20"/>
                <w:color w:val="000000"/>
              </w:rPr>
              <w:t>支持容器镜像配置核查，发现镜像不合规项</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bl>
    <w:p>
      <w:pPr>
        <w:pStyle w:val="null3"/>
        <w:ind w:firstLine="400"/>
        <w:jc w:val="both"/>
      </w:pPr>
      <w:r>
        <w:rPr>
          <w:sz w:val="20"/>
        </w:rPr>
        <w:t xml:space="preserve">5.      </w:t>
      </w:r>
      <w:r>
        <w:rPr>
          <w:sz w:val="20"/>
        </w:rPr>
        <w:t>服务要求</w:t>
      </w:r>
    </w:p>
    <w:p>
      <w:pPr>
        <w:pStyle w:val="null3"/>
        <w:ind w:firstLine="400"/>
        <w:jc w:val="both"/>
      </w:pPr>
      <w:r>
        <w:rPr>
          <w:sz w:val="20"/>
        </w:rPr>
        <w:t xml:space="preserve">5.1.   </w:t>
      </w:r>
      <w:r>
        <w:rPr>
          <w:sz w:val="20"/>
        </w:rPr>
        <w:t>管理要求</w:t>
      </w:r>
    </w:p>
    <w:p>
      <w:pPr>
        <w:pStyle w:val="null3"/>
        <w:ind w:firstLine="400"/>
        <w:jc w:val="both"/>
      </w:pPr>
      <w:r>
        <w:rPr>
          <w:sz w:val="20"/>
        </w:rPr>
        <w:t xml:space="preserve">5.1.1.         </w:t>
      </w:r>
      <w:r>
        <w:rPr>
          <w:sz w:val="20"/>
          <w:b/>
        </w:rPr>
        <w:t>服务人员</w:t>
      </w:r>
    </w:p>
    <w:p>
      <w:pPr>
        <w:pStyle w:val="null3"/>
        <w:ind w:firstLine="400"/>
        <w:jc w:val="both"/>
      </w:pPr>
      <w:r>
        <w:rPr>
          <w:sz w:val="20"/>
        </w:rPr>
        <w:t>★</w:t>
      </w:r>
      <w:r>
        <w:rPr>
          <w:sz w:val="20"/>
        </w:rPr>
        <w:t>投标人需承诺投标文件中所列项目经理和技术支持人员为本项目专用人员，其中技术支持人员在项目服务期内需在采购人现场驻场服务，驻场期间考勤参考采购人有关规定执行。中标人须书面承诺，未经采购人同意，不得在合同签订后更换其他人员进行项目交付。</w:t>
      </w:r>
      <w:r>
        <w:rPr>
          <w:sz w:val="20"/>
        </w:rPr>
        <w:t>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w:t>
      </w:r>
      <w:r>
        <w:rPr>
          <w:sz w:val="20"/>
        </w:rPr>
        <w:t>如中标人未经采购人同意更换人员，采购人有权终止合同，并按中标人违约向同级财政部门投诉并追究相关法律责任；如项目经理或技术支持人员不符合采购人要求（是否符合采购人要求由本项目监理认定），采购人有权要求更换项目经理或技术支持人员，中标人需承担并负责消除由此产生的所有负面影响（包括但不限于项目进度延误、成本超支、质量不达标等），同时在两周内调整为符合采购人要求的项目经理或技术支持人员，否则采购人有权终止合同；不符合要求的相关人员所在服务时间不计入项目总服务期，更换合格人员后，中标人需以月的整数倍为单位，延长服务期限。（提供承诺函，可参照“投标文件格式”中《承诺函》格式）</w:t>
      </w:r>
    </w:p>
    <w:p>
      <w:pPr>
        <w:pStyle w:val="null3"/>
        <w:ind w:firstLine="400"/>
        <w:jc w:val="both"/>
      </w:pPr>
      <w:r>
        <w:rPr>
          <w:sz w:val="20"/>
        </w:rPr>
        <w:t>中标人应指派固定的团队为本项目提供专业服务，服务团队成员不得少于</w:t>
      </w:r>
      <w:r>
        <w:rPr>
          <w:sz w:val="20"/>
          <w:u w:val="single"/>
        </w:rPr>
        <w:t xml:space="preserve">  5  </w:t>
      </w:r>
      <w:r>
        <w:rPr>
          <w:sz w:val="20"/>
        </w:rPr>
        <w:t>人。其中项目经理（非驻场人员）需具备信息技术或计算机相关专业本科或以上学历，信息化项目管理经验不少于</w:t>
      </w:r>
      <w:r>
        <w:rPr>
          <w:sz w:val="20"/>
        </w:rPr>
        <w:t>5</w:t>
      </w:r>
      <w:r>
        <w:rPr>
          <w:sz w:val="20"/>
        </w:rPr>
        <w:t>年，具备相应的资质证书如信息系统项目管理师（计算机技术与软件专业技术资格）、信息安全工程师（计算机技术与软件专业技术资格）、网络工程师（计算机技术与软件专业技术资格）等证书。除项目经理外，需提供不少于</w:t>
      </w:r>
      <w:r>
        <w:rPr>
          <w:sz w:val="20"/>
        </w:rPr>
        <w:t>4</w:t>
      </w:r>
      <w:r>
        <w:rPr>
          <w:sz w:val="20"/>
        </w:rPr>
        <w:t>人的技术支持团队（非主要管理人员），技术支持人员主要承担渗透测试、日常运维管理、应急支撑、安全基线检查等工作，需具备信息技术或计算机相关专业本科或以上学历，相关工作经验不少于</w:t>
      </w:r>
      <w:r>
        <w:rPr>
          <w:sz w:val="20"/>
        </w:rPr>
        <w:t>2</w:t>
      </w:r>
      <w:r>
        <w:rPr>
          <w:sz w:val="20"/>
        </w:rPr>
        <w:t>年，具备相应的资质证书如信息安全工程师（计算机技术与软件专业技术资格）、网络工程师（计算机技术与软件专业技术资格）等证书。</w:t>
      </w:r>
    </w:p>
    <w:p>
      <w:pPr>
        <w:pStyle w:val="null3"/>
        <w:ind w:firstLine="400"/>
        <w:jc w:val="both"/>
      </w:pPr>
      <w:r>
        <w:rPr>
          <w:sz w:val="20"/>
        </w:rPr>
        <w:t>投标人应提供以上人员相关证明资料复印件并加盖公章，并提供以上人员在本公司任职的有效外部证明材料（如加盖政府有关部门印章的《投保单》或《社会保险参保人员证明》，或单位代缴个人所得税税单等，事业法人的相关人员应提供该单位的相关证明）复印件。</w:t>
      </w:r>
    </w:p>
    <w:p>
      <w:pPr>
        <w:pStyle w:val="null3"/>
        <w:ind w:firstLine="400"/>
        <w:jc w:val="both"/>
      </w:pPr>
      <w:r>
        <w:rPr>
          <w:sz w:val="20"/>
        </w:rPr>
        <w:t xml:space="preserve">5.1.2.         </w:t>
      </w:r>
      <w:r>
        <w:rPr>
          <w:sz w:val="20"/>
          <w:b/>
        </w:rPr>
        <w:t>进度要求</w:t>
      </w:r>
    </w:p>
    <w:p>
      <w:pPr>
        <w:pStyle w:val="null3"/>
        <w:ind w:firstLine="400"/>
        <w:jc w:val="both"/>
      </w:pPr>
      <w:r>
        <w:rPr>
          <w:sz w:val="20"/>
        </w:rPr>
        <w:t>本项目实施周期为</w:t>
      </w:r>
      <w:r>
        <w:rPr>
          <w:sz w:val="20"/>
        </w:rPr>
        <w:t>24</w:t>
      </w:r>
      <w:r>
        <w:rPr>
          <w:sz w:val="20"/>
        </w:rPr>
        <w:t>个月，需在合同签订的</w:t>
      </w:r>
      <w:r>
        <w:rPr>
          <w:sz w:val="20"/>
        </w:rPr>
        <w:t>10</w:t>
      </w:r>
      <w:r>
        <w:rPr>
          <w:sz w:val="20"/>
        </w:rPr>
        <w:t>个工作日内完成项目实施方案编制，具体时间以项目合同为准。</w:t>
      </w:r>
    </w:p>
    <w:p>
      <w:pPr>
        <w:pStyle w:val="null3"/>
        <w:ind w:firstLine="400"/>
        <w:jc w:val="both"/>
      </w:pPr>
      <w:r>
        <w:rPr>
          <w:sz w:val="20"/>
        </w:rPr>
        <w:t xml:space="preserve">5.1.3.         </w:t>
      </w:r>
      <w:r>
        <w:rPr>
          <w:sz w:val="20"/>
          <w:b/>
        </w:rPr>
        <w:t>组织实施要求</w:t>
      </w:r>
    </w:p>
    <w:p>
      <w:pPr>
        <w:pStyle w:val="null3"/>
        <w:ind w:firstLine="400"/>
        <w:jc w:val="both"/>
      </w:pPr>
      <w:r>
        <w:rPr>
          <w:sz w:val="20"/>
        </w:rPr>
        <w:t>为使项目按质、按量、按时及有序实施，中标人应建立完善、稳定的项目团队、内部组织管理方式及管理机构、协调机制、技术基础，支撑保障要求及其他相关要求。服务工具全部安装完成且连接完毕进行系统测试，应严格按测试计划进行，做好各项原始记录。</w:t>
      </w:r>
    </w:p>
    <w:p>
      <w:pPr>
        <w:pStyle w:val="null3"/>
        <w:ind w:firstLine="400"/>
        <w:jc w:val="both"/>
      </w:pPr>
      <w:r>
        <w:rPr>
          <w:sz w:val="20"/>
        </w:rPr>
        <w:t xml:space="preserve">5.1.4.         </w:t>
      </w:r>
      <w:r>
        <w:rPr>
          <w:sz w:val="20"/>
          <w:b/>
        </w:rPr>
        <w:t>文档管理要求</w:t>
      </w:r>
    </w:p>
    <w:p>
      <w:pPr>
        <w:pStyle w:val="null3"/>
        <w:ind w:firstLine="400"/>
        <w:jc w:val="both"/>
      </w:pPr>
      <w:r>
        <w:rPr>
          <w:sz w:val="20"/>
        </w:rPr>
        <w:t>中标人应在项目完成时，将本项目所有文档、资料汇集成册交付给采购人，所有文件要求用中文书写或有完整的中文注释。验收后，中标人按国家、省以及采购人档案管理要求，向采购人提供装订成册的纸质文档至少</w:t>
      </w:r>
      <w:r>
        <w:rPr>
          <w:sz w:val="20"/>
          <w:u w:val="single"/>
        </w:rPr>
        <w:t xml:space="preserve">  1  </w:t>
      </w:r>
      <w:r>
        <w:rPr>
          <w:sz w:val="20"/>
        </w:rPr>
        <w:t>套，电子文档</w:t>
      </w:r>
      <w:r>
        <w:rPr>
          <w:sz w:val="20"/>
          <w:u w:val="single"/>
        </w:rPr>
        <w:t xml:space="preserve"> 1  </w:t>
      </w:r>
      <w:r>
        <w:rPr>
          <w:sz w:val="20"/>
        </w:rPr>
        <w:t>套。</w:t>
      </w:r>
    </w:p>
    <w:p>
      <w:pPr>
        <w:pStyle w:val="null3"/>
        <w:ind w:firstLine="400"/>
        <w:jc w:val="both"/>
      </w:pPr>
      <w:r>
        <w:rPr>
          <w:sz w:val="20"/>
        </w:rPr>
        <w:t xml:space="preserve">5.1.5.         </w:t>
      </w:r>
      <w:r>
        <w:rPr>
          <w:sz w:val="20"/>
          <w:b/>
        </w:rPr>
        <w:t>质量保证要求</w:t>
      </w:r>
    </w:p>
    <w:p>
      <w:pPr>
        <w:pStyle w:val="null3"/>
        <w:ind w:firstLine="400"/>
        <w:jc w:val="both"/>
      </w:pPr>
      <w:r>
        <w:rPr>
          <w:sz w:val="20"/>
        </w:rPr>
        <w:t>为保证本项目能按时高质地顺利完成，规避项目风险或将风险降至最低程度，中标人应建立项目质量管理体系，包括但不限于质量目标、质量指标、岗位责任、问题处理计划、质量评价、整改完善等内容，并建立奖惩制度。</w:t>
      </w:r>
    </w:p>
    <w:p>
      <w:pPr>
        <w:pStyle w:val="null3"/>
        <w:ind w:firstLine="400"/>
        <w:jc w:val="both"/>
      </w:pPr>
      <w:r>
        <w:rPr>
          <w:sz w:val="20"/>
        </w:rPr>
        <w:t xml:space="preserve">5.1.6.         </w:t>
      </w:r>
      <w:r>
        <w:rPr>
          <w:sz w:val="20"/>
          <w:b/>
        </w:rPr>
        <w:t>考勤要求</w:t>
      </w:r>
    </w:p>
    <w:p>
      <w:pPr>
        <w:pStyle w:val="null3"/>
        <w:ind w:firstLine="400"/>
        <w:jc w:val="both"/>
      </w:pPr>
      <w:r>
        <w:rPr>
          <w:sz w:val="20"/>
        </w:rPr>
        <w:t>驻场工程师工作时间参考采购人相关规定执行；技术支持人员到现场支持重大活动保障或其他工作时，按照采购人安排，到场签到和离场签退。</w:t>
      </w:r>
    </w:p>
    <w:p>
      <w:pPr>
        <w:pStyle w:val="null3"/>
        <w:ind w:firstLine="402"/>
        <w:jc w:val="both"/>
      </w:pPr>
      <w:r>
        <w:rPr>
          <w:sz w:val="20"/>
          <w:b/>
        </w:rPr>
        <w:t xml:space="preserve">5.2.   </w:t>
      </w:r>
      <w:r>
        <w:rPr>
          <w:sz w:val="20"/>
          <w:b/>
        </w:rPr>
        <w:t>验收标准</w:t>
      </w:r>
    </w:p>
    <w:p>
      <w:pPr>
        <w:pStyle w:val="null3"/>
        <w:ind w:firstLine="400"/>
        <w:jc w:val="both"/>
      </w:pPr>
      <w:r>
        <w:rPr>
          <w:sz w:val="20"/>
        </w:rPr>
        <w:t>本项目的验收应符合广东省信息化项目相关验收管理办法的要求，同时应遵循下列标准：</w:t>
      </w:r>
    </w:p>
    <w:p>
      <w:pPr>
        <w:pStyle w:val="null3"/>
        <w:ind w:firstLine="400"/>
        <w:jc w:val="both"/>
      </w:pPr>
      <w:r>
        <w:rPr>
          <w:sz w:val="20"/>
        </w:rPr>
        <w:t>（</w:t>
      </w:r>
      <w:r>
        <w:rPr>
          <w:sz w:val="20"/>
        </w:rPr>
        <w:t>1</w:t>
      </w:r>
      <w:r>
        <w:rPr>
          <w:sz w:val="20"/>
        </w:rPr>
        <w:t>）实现合同和根据招标文件所编写的投标文件中列举的全部工作内容。</w:t>
      </w:r>
    </w:p>
    <w:p>
      <w:pPr>
        <w:pStyle w:val="null3"/>
        <w:ind w:firstLine="400"/>
        <w:jc w:val="both"/>
      </w:pPr>
      <w:r>
        <w:rPr>
          <w:sz w:val="20"/>
        </w:rPr>
        <w:t>（</w:t>
      </w:r>
      <w:r>
        <w:rPr>
          <w:sz w:val="20"/>
        </w:rPr>
        <w:t>2</w:t>
      </w:r>
      <w:r>
        <w:rPr>
          <w:sz w:val="20"/>
        </w:rPr>
        <w:t>）验收项目包括按照合同和根据招标文件所编写的投标文件中所标明的相关文档。</w:t>
      </w:r>
    </w:p>
    <w:p>
      <w:pPr>
        <w:pStyle w:val="null3"/>
        <w:ind w:firstLine="400"/>
        <w:jc w:val="both"/>
      </w:pPr>
      <w:r>
        <w:rPr>
          <w:sz w:val="20"/>
        </w:rPr>
        <w:t>（</w:t>
      </w:r>
      <w:r>
        <w:rPr>
          <w:sz w:val="20"/>
        </w:rPr>
        <w:t>3</w:t>
      </w:r>
      <w:r>
        <w:rPr>
          <w:sz w:val="20"/>
        </w:rPr>
        <w:t>）服务期间，中标人应按照合同、招标文件的要求和投标文件的服务承诺提供稳定、可靠、优质的服务，按时提交服务交付物。服务期满后，提交《服务总结报告》。</w:t>
      </w:r>
    </w:p>
    <w:p>
      <w:pPr>
        <w:pStyle w:val="null3"/>
        <w:ind w:firstLine="400"/>
        <w:jc w:val="both"/>
      </w:pPr>
      <w:r>
        <w:rPr>
          <w:sz w:val="20"/>
        </w:rPr>
        <w:t xml:space="preserve">5.3.   </w:t>
      </w:r>
      <w:r>
        <w:rPr>
          <w:sz w:val="20"/>
        </w:rPr>
        <w:t>其他要求</w:t>
      </w:r>
    </w:p>
    <w:p>
      <w:pPr>
        <w:pStyle w:val="null3"/>
        <w:ind w:firstLine="400"/>
        <w:jc w:val="both"/>
      </w:pPr>
      <w:r>
        <w:rPr>
          <w:sz w:val="20"/>
        </w:rPr>
        <w:t xml:space="preserve">5.3.1.         </w:t>
      </w:r>
      <w:r>
        <w:rPr>
          <w:sz w:val="20"/>
          <w:b/>
        </w:rPr>
        <w:t>服务响应要求</w:t>
      </w:r>
    </w:p>
    <w:p>
      <w:pPr>
        <w:pStyle w:val="null3"/>
        <w:ind w:firstLine="400"/>
        <w:jc w:val="both"/>
      </w:pPr>
      <w:r>
        <w:rPr>
          <w:sz w:val="20"/>
        </w:rPr>
        <w:t>本项目服务响应可通过现场、远程等方式提供，由此产生的一切费用均由中标人承担。</w:t>
      </w:r>
    </w:p>
    <w:p>
      <w:pPr>
        <w:pStyle w:val="null3"/>
        <w:ind w:firstLine="400"/>
        <w:jc w:val="both"/>
      </w:pPr>
      <w:r>
        <w:rPr>
          <w:sz w:val="20"/>
        </w:rPr>
        <w:t>1.</w:t>
      </w:r>
      <w:r>
        <w:rPr>
          <w:sz w:val="20"/>
        </w:rPr>
        <w:t>服务响应可通过现场、远程服务、热线电话服务等方式提供。</w:t>
      </w:r>
    </w:p>
    <w:p>
      <w:pPr>
        <w:pStyle w:val="null3"/>
        <w:ind w:firstLine="400"/>
        <w:jc w:val="both"/>
      </w:pPr>
      <w:r>
        <w:rPr>
          <w:sz w:val="20"/>
        </w:rPr>
        <w:t>2.</w:t>
      </w:r>
      <w:r>
        <w:rPr>
          <w:sz w:val="20"/>
        </w:rPr>
        <w:t>提供</w:t>
      </w:r>
      <w:r>
        <w:rPr>
          <w:sz w:val="20"/>
        </w:rPr>
        <w:t>7*24</w:t>
      </w:r>
      <w:r>
        <w:rPr>
          <w:sz w:val="20"/>
        </w:rPr>
        <w:t>小时响应服务（包括但不限于现场服务、紧急事件响应、系统升级等），出现故障时，快速受理服务请求，根据不同的故障等级在不同时间内进行响应，对于远程或电话无法解决的问题，安排技术人员现场处理，重大故障提供故障分析报告，保证市内</w:t>
      </w:r>
      <w:r>
        <w:rPr>
          <w:sz w:val="20"/>
        </w:rPr>
        <w:t>2</w:t>
      </w:r>
      <w:r>
        <w:rPr>
          <w:sz w:val="20"/>
        </w:rPr>
        <w:t>小时内（地市</w:t>
      </w:r>
      <w:r>
        <w:rPr>
          <w:sz w:val="20"/>
        </w:rPr>
        <w:t>6</w:t>
      </w:r>
      <w:r>
        <w:rPr>
          <w:sz w:val="20"/>
        </w:rPr>
        <w:t>小时内）到达现场解决重大系统故障。</w:t>
      </w:r>
    </w:p>
    <w:p>
      <w:pPr>
        <w:pStyle w:val="null3"/>
        <w:ind w:firstLine="400"/>
        <w:jc w:val="both"/>
      </w:pPr>
      <w:r>
        <w:rPr>
          <w:sz w:val="20"/>
        </w:rPr>
        <w:t xml:space="preserve">5.3.2.         </w:t>
      </w:r>
      <w:r>
        <w:rPr>
          <w:sz w:val="20"/>
          <w:b/>
        </w:rPr>
        <w:t>资产权属</w:t>
      </w:r>
    </w:p>
    <w:p>
      <w:pPr>
        <w:pStyle w:val="null3"/>
        <w:ind w:firstLine="400"/>
        <w:jc w:val="both"/>
      </w:pPr>
      <w:r>
        <w:rPr>
          <w:sz w:val="20"/>
        </w:rPr>
        <w:t>1.</w:t>
      </w:r>
      <w:r>
        <w:rPr>
          <w:sz w:val="20"/>
        </w:rPr>
        <w:t>中标人为履行本合同义务所形成的服务成果的知识产权归采购人所有。</w:t>
      </w:r>
    </w:p>
    <w:p>
      <w:pPr>
        <w:pStyle w:val="null3"/>
        <w:ind w:firstLine="400"/>
        <w:jc w:val="both"/>
      </w:pPr>
      <w:r>
        <w:rPr>
          <w:sz w:val="20"/>
        </w:rPr>
        <w:t>2.</w:t>
      </w:r>
      <w:r>
        <w:rPr>
          <w:sz w:val="20"/>
        </w:rPr>
        <w:t>本项目所涉及的数据所有权归采购人所有。中标人只能用于履行本项目之义务。</w:t>
      </w:r>
    </w:p>
    <w:p>
      <w:pPr>
        <w:pStyle w:val="null3"/>
        <w:ind w:firstLine="400"/>
        <w:jc w:val="both"/>
      </w:pPr>
      <w:r>
        <w:rPr>
          <w:sz w:val="20"/>
        </w:rPr>
        <w:t>3.</w:t>
      </w:r>
      <w:r>
        <w:rPr>
          <w:sz w:val="20"/>
        </w:rPr>
        <w:t>中标人提供的相关软件应是自行开发的产品或具备合法、合规授权，满足知识产权、安全等级保护等方面的有关规定和要求。</w:t>
      </w:r>
    </w:p>
    <w:p>
      <w:pPr>
        <w:pStyle w:val="null3"/>
        <w:ind w:firstLine="400"/>
        <w:jc w:val="both"/>
      </w:pPr>
      <w:r>
        <w:rPr>
          <w:sz w:val="20"/>
        </w:rPr>
        <w:t>4.</w:t>
      </w:r>
      <w:r>
        <w:rPr>
          <w:sz w:val="20"/>
        </w:rPr>
        <w:t>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包括但不限于赔偿金、律师费、诉讼费等）。</w:t>
      </w:r>
    </w:p>
    <w:p>
      <w:pPr>
        <w:pStyle w:val="null3"/>
        <w:ind w:firstLine="400"/>
        <w:jc w:val="both"/>
      </w:pPr>
      <w:r>
        <w:rPr>
          <w:sz w:val="20"/>
        </w:rPr>
        <w:t xml:space="preserve">5.3.3.         </w:t>
      </w:r>
      <w:r>
        <w:rPr>
          <w:sz w:val="20"/>
          <w:b/>
        </w:rPr>
        <w:t>保密要求</w:t>
      </w:r>
    </w:p>
    <w:p>
      <w:pPr>
        <w:pStyle w:val="null3"/>
        <w:ind w:firstLine="400"/>
        <w:jc w:val="both"/>
      </w:pPr>
      <w:r>
        <w:rPr>
          <w:sz w:val="20"/>
        </w:rPr>
        <w:t>1.</w:t>
      </w:r>
      <w:r>
        <w:rPr>
          <w:sz w:val="20"/>
        </w:rPr>
        <w:t>中标人应签订保密协议，对其因身份、职务、职业或技术关系而知悉的采购人商业秘密和党政机关保密信息应严格保守，保证不被披露或使用，包括意外或过失。</w:t>
      </w:r>
    </w:p>
    <w:p>
      <w:pPr>
        <w:pStyle w:val="null3"/>
        <w:ind w:firstLine="400"/>
        <w:jc w:val="both"/>
      </w:pPr>
      <w:r>
        <w:rPr>
          <w:sz w:val="20"/>
        </w:rPr>
        <w:t>2.</w:t>
      </w:r>
      <w:r>
        <w:rPr>
          <w:sz w:val="2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00"/>
        <w:jc w:val="both"/>
      </w:pPr>
      <w:r>
        <w:rPr>
          <w:sz w:val="20"/>
        </w:rPr>
        <w:t>3.</w:t>
      </w:r>
      <w:r>
        <w:rPr>
          <w:sz w:val="2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jc w:val="both"/>
      </w:pPr>
      <w:r>
        <w:rPr>
          <w:sz w:val="20"/>
        </w:rPr>
        <w:t>4.</w:t>
      </w:r>
      <w:r>
        <w:rPr>
          <w:sz w:val="20"/>
        </w:rPr>
        <w:t>严禁泄露在工作中接触到的政府机关科技研究、发明、装备器材及其技术资料和政府工作信息。</w:t>
      </w:r>
    </w:p>
    <w:p>
      <w:pPr>
        <w:pStyle w:val="null3"/>
        <w:ind w:firstLine="400"/>
        <w:jc w:val="both"/>
      </w:pPr>
      <w:r>
        <w:rPr>
          <w:sz w:val="20"/>
        </w:rPr>
        <w:t>5.</w:t>
      </w:r>
      <w:r>
        <w:rPr>
          <w:sz w:val="20"/>
        </w:rPr>
        <w:t>中标人所知悉采购人保密信息、保密文件的保密期限直至采购人公开为止。</w:t>
      </w:r>
    </w:p>
    <w:p>
      <w:pPr>
        <w:pStyle w:val="null3"/>
        <w:ind w:firstLine="400"/>
        <w:jc w:val="both"/>
      </w:pPr>
      <w:r>
        <w:rPr>
          <w:sz w:val="20"/>
        </w:rPr>
        <w:t>★</w:t>
      </w:r>
      <w:r>
        <w:rPr>
          <w:sz w:val="20"/>
        </w:rPr>
        <w:t>6.</w:t>
      </w:r>
      <w:r>
        <w:rPr>
          <w:sz w:val="20"/>
        </w:rPr>
        <w:t>在项目服务期到期后，服务工具所生产或者承载的数据内容属于采购人所有，中标人需在采购人完成数据迁移和清理后方可收回工具，并且采购人有权拆卸工具的存储设备。（提供承诺函，可参照“投标文件格式”中《承诺函》格式）</w:t>
      </w:r>
    </w:p>
    <w:p>
      <w:pPr>
        <w:pStyle w:val="null3"/>
        <w:ind w:firstLine="400"/>
        <w:jc w:val="both"/>
      </w:pPr>
      <w:r>
        <w:rPr>
          <w:sz w:val="20"/>
        </w:rPr>
        <w:t xml:space="preserve">5.3.4.         </w:t>
      </w:r>
      <w:r>
        <w:rPr>
          <w:sz w:val="20"/>
          <w:b/>
        </w:rPr>
        <w:t>监理要求</w:t>
      </w:r>
    </w:p>
    <w:p>
      <w:pPr>
        <w:pStyle w:val="null3"/>
        <w:ind w:firstLine="400"/>
        <w:jc w:val="both"/>
      </w:pPr>
      <w:r>
        <w:rPr>
          <w:sz w:val="20"/>
        </w:rPr>
        <w:t>★投标人须承诺，在项目开展过程中接受采购人指定的咨询监理机构的监理。（提供承诺函，可参照“投标文件格式”中《承诺函》格式）</w:t>
      </w:r>
    </w:p>
    <w:p>
      <w:pPr>
        <w:pStyle w:val="null3"/>
        <w:ind w:firstLine="400"/>
        <w:jc w:val="both"/>
      </w:pPr>
      <w:r>
        <w:rPr>
          <w:sz w:val="20"/>
        </w:rPr>
        <w:t xml:space="preserve">5.3.5.         </w:t>
      </w:r>
      <w:r>
        <w:rPr>
          <w:sz w:val="20"/>
          <w:b/>
        </w:rPr>
        <w:t>考核要求</w:t>
      </w:r>
    </w:p>
    <w:p>
      <w:pPr>
        <w:pStyle w:val="null3"/>
        <w:ind w:firstLine="400"/>
        <w:jc w:val="both"/>
      </w:pPr>
      <w:r>
        <w:rPr>
          <w:sz w:val="20"/>
        </w:rPr>
        <w:t>1.</w:t>
      </w:r>
      <w:r>
        <w:rPr>
          <w:sz w:val="20"/>
        </w:rPr>
        <w:t>被信息安全主管部门通报的，</w:t>
      </w:r>
      <w:r>
        <w:rPr>
          <w:sz w:val="20"/>
        </w:rPr>
        <w:t>1</w:t>
      </w:r>
      <w:r>
        <w:rPr>
          <w:sz w:val="20"/>
        </w:rPr>
        <w:t>次扣</w:t>
      </w:r>
      <w:r>
        <w:rPr>
          <w:sz w:val="20"/>
        </w:rPr>
        <w:t>3</w:t>
      </w:r>
      <w:r>
        <w:rPr>
          <w:sz w:val="20"/>
        </w:rPr>
        <w:t>分；</w:t>
      </w:r>
    </w:p>
    <w:p>
      <w:pPr>
        <w:pStyle w:val="null3"/>
        <w:ind w:firstLine="400"/>
        <w:jc w:val="both"/>
      </w:pPr>
      <w:r>
        <w:rPr>
          <w:sz w:val="20"/>
        </w:rPr>
        <w:t>2.</w:t>
      </w:r>
      <w:r>
        <w:rPr>
          <w:sz w:val="20"/>
        </w:rPr>
        <w:t>采购人信息系统出现安全故障，中标人未能及时协助处理的，</w:t>
      </w:r>
      <w:r>
        <w:rPr>
          <w:sz w:val="20"/>
        </w:rPr>
        <w:t>1</w:t>
      </w:r>
      <w:r>
        <w:rPr>
          <w:sz w:val="20"/>
        </w:rPr>
        <w:t>次扣</w:t>
      </w:r>
      <w:r>
        <w:rPr>
          <w:sz w:val="20"/>
        </w:rPr>
        <w:t>2</w:t>
      </w:r>
      <w:r>
        <w:rPr>
          <w:sz w:val="20"/>
        </w:rPr>
        <w:t>分；</w:t>
      </w:r>
    </w:p>
    <w:p>
      <w:pPr>
        <w:pStyle w:val="null3"/>
        <w:ind w:firstLine="400"/>
        <w:jc w:val="both"/>
      </w:pPr>
      <w:r>
        <w:rPr>
          <w:sz w:val="20"/>
        </w:rPr>
        <w:t>3.</w:t>
      </w:r>
      <w:r>
        <w:rPr>
          <w:sz w:val="20"/>
        </w:rPr>
        <w:t>未按要求进行安全通告与咨询服务的，</w:t>
      </w:r>
      <w:r>
        <w:rPr>
          <w:sz w:val="20"/>
        </w:rPr>
        <w:t>1</w:t>
      </w:r>
      <w:r>
        <w:rPr>
          <w:sz w:val="20"/>
        </w:rPr>
        <w:t>次扣</w:t>
      </w:r>
      <w:r>
        <w:rPr>
          <w:sz w:val="20"/>
        </w:rPr>
        <w:t>1</w:t>
      </w:r>
      <w:r>
        <w:rPr>
          <w:sz w:val="20"/>
        </w:rPr>
        <w:t>分；</w:t>
      </w:r>
    </w:p>
    <w:p>
      <w:pPr>
        <w:pStyle w:val="null3"/>
        <w:ind w:firstLine="400"/>
        <w:jc w:val="both"/>
      </w:pPr>
      <w:r>
        <w:rPr>
          <w:sz w:val="20"/>
        </w:rPr>
        <w:t>4.</w:t>
      </w:r>
      <w:r>
        <w:rPr>
          <w:sz w:val="20"/>
        </w:rPr>
        <w:t>其他造成采购人重大损失的，包括不限于触犯法律，</w:t>
      </w:r>
      <w:r>
        <w:rPr>
          <w:sz w:val="20"/>
        </w:rPr>
        <w:t>1</w:t>
      </w:r>
      <w:r>
        <w:rPr>
          <w:sz w:val="20"/>
        </w:rPr>
        <w:t>次扣</w:t>
      </w:r>
      <w:r>
        <w:rPr>
          <w:sz w:val="20"/>
        </w:rPr>
        <w:t>3</w:t>
      </w:r>
      <w:r>
        <w:rPr>
          <w:sz w:val="20"/>
        </w:rPr>
        <w:t>分；</w:t>
      </w:r>
    </w:p>
    <w:p>
      <w:pPr>
        <w:pStyle w:val="null3"/>
        <w:ind w:firstLine="400"/>
        <w:jc w:val="both"/>
      </w:pPr>
      <w:r>
        <w:rPr>
          <w:sz w:val="20"/>
        </w:rPr>
        <w:t>5.</w:t>
      </w:r>
      <w:r>
        <w:rPr>
          <w:sz w:val="20"/>
        </w:rPr>
        <w:t>考核满分为</w:t>
      </w:r>
      <w:r>
        <w:rPr>
          <w:sz w:val="20"/>
        </w:rPr>
        <w:t>100</w:t>
      </w:r>
      <w:r>
        <w:rPr>
          <w:sz w:val="20"/>
        </w:rPr>
        <w:t>分。考核得分在</w:t>
      </w:r>
      <w:r>
        <w:rPr>
          <w:sz w:val="20"/>
        </w:rPr>
        <w:t>98</w:t>
      </w:r>
      <w:r>
        <w:rPr>
          <w:sz w:val="20"/>
        </w:rPr>
        <w:t>分或以上时，视为合格，低于</w:t>
      </w:r>
      <w:r>
        <w:rPr>
          <w:sz w:val="20"/>
        </w:rPr>
        <w:t>98</w:t>
      </w:r>
      <w:r>
        <w:rPr>
          <w:sz w:val="20"/>
        </w:rPr>
        <w:t>分时视为不合格。考核得分低于</w:t>
      </w:r>
      <w:r>
        <w:rPr>
          <w:sz w:val="20"/>
        </w:rPr>
        <w:t>98</w:t>
      </w:r>
      <w:r>
        <w:rPr>
          <w:sz w:val="20"/>
        </w:rPr>
        <w:t>分时，每少</w:t>
      </w:r>
      <w:r>
        <w:rPr>
          <w:sz w:val="20"/>
        </w:rPr>
        <w:t>1</w:t>
      </w:r>
      <w:r>
        <w:rPr>
          <w:sz w:val="20"/>
        </w:rPr>
        <w:t>分扣除合同总额的</w:t>
      </w:r>
      <w:r>
        <w:rPr>
          <w:sz w:val="20"/>
        </w:rPr>
        <w:t>1%</w:t>
      </w:r>
      <w:r>
        <w:rPr>
          <w:sz w:val="20"/>
        </w:rPr>
        <w:t>的违约金，违约金总额不超过合同总金额的</w:t>
      </w:r>
      <w:r>
        <w:rPr>
          <w:sz w:val="20"/>
        </w:rPr>
        <w:t>10</w:t>
      </w:r>
      <w:r>
        <w:rPr>
          <w:sz w:val="20"/>
        </w:rPr>
        <w:t>％，违约金在甲方本合同应付款中扣除。</w:t>
      </w:r>
    </w:p>
    <w:p>
      <w:pPr>
        <w:pStyle w:val="null3"/>
        <w:ind w:firstLine="402"/>
        <w:jc w:val="both"/>
      </w:pPr>
      <w:r>
        <w:rPr>
          <w:sz w:val="20"/>
          <w:b/>
        </w:rPr>
        <w:t xml:space="preserve">6.      </w:t>
      </w:r>
      <w:r>
        <w:rPr>
          <w:sz w:val="20"/>
          <w:b/>
        </w:rPr>
        <w:t>付款方式</w:t>
      </w:r>
    </w:p>
    <w:p>
      <w:pPr>
        <w:pStyle w:val="null3"/>
        <w:ind w:firstLine="400"/>
        <w:jc w:val="both"/>
      </w:pPr>
      <w:r>
        <w:rPr>
          <w:sz w:val="20"/>
        </w:rPr>
        <w:t>本项目计划分</w:t>
      </w:r>
      <w:r>
        <w:rPr>
          <w:sz w:val="20"/>
          <w:u w:val="single"/>
        </w:rPr>
        <w:t>3</w:t>
      </w:r>
      <w:r>
        <w:rPr>
          <w:sz w:val="20"/>
        </w:rPr>
        <w:t>期支付，具体支付方式和时间如下：</w:t>
      </w:r>
    </w:p>
    <w:p>
      <w:pPr>
        <w:pStyle w:val="null3"/>
        <w:ind w:firstLine="400"/>
        <w:jc w:val="both"/>
      </w:pPr>
      <w:r>
        <w:rPr>
          <w:sz w:val="20"/>
        </w:rPr>
        <w:t>1.</w:t>
      </w:r>
      <w:r>
        <w:rPr>
          <w:sz w:val="20"/>
        </w:rPr>
        <w:t>首期款：签订合同后，中标人书面提出支付申请函及拟支付金额等额的符合采购人财务管理要求的相应发票，采购人确认后启动首期款支付流程，支付合同总金额的</w:t>
      </w:r>
      <w:r>
        <w:rPr>
          <w:sz w:val="20"/>
        </w:rPr>
        <w:t>30%</w:t>
      </w:r>
      <w:r>
        <w:rPr>
          <w:sz w:val="20"/>
        </w:rPr>
        <w:t>，具体金额以双方合同约定为准。</w:t>
      </w:r>
    </w:p>
    <w:p>
      <w:pPr>
        <w:pStyle w:val="null3"/>
        <w:ind w:firstLine="400"/>
        <w:jc w:val="both"/>
      </w:pPr>
      <w:r>
        <w:rPr>
          <w:sz w:val="20"/>
        </w:rPr>
        <w:t>2.</w:t>
      </w:r>
      <w:r>
        <w:rPr>
          <w:sz w:val="20"/>
        </w:rPr>
        <w:t>进度款：项目运营期满</w:t>
      </w:r>
      <w:r>
        <w:rPr>
          <w:sz w:val="20"/>
        </w:rPr>
        <w:t>1</w:t>
      </w:r>
      <w:r>
        <w:rPr>
          <w:sz w:val="20"/>
        </w:rPr>
        <w:t>年后，中标人书面提出支付申请函及拟支付金额等额的符合采购人财务管理要求的相应发票，采购人确认后启动进度款支付流程，支付合同总金额的</w:t>
      </w:r>
      <w:r>
        <w:rPr>
          <w:sz w:val="20"/>
        </w:rPr>
        <w:t>40%</w:t>
      </w:r>
      <w:r>
        <w:rPr>
          <w:sz w:val="20"/>
        </w:rPr>
        <w:t>，具体金额以双方合同约定为准。</w:t>
      </w:r>
    </w:p>
    <w:p>
      <w:pPr>
        <w:pStyle w:val="null3"/>
        <w:ind w:firstLine="400"/>
        <w:jc w:val="both"/>
      </w:pPr>
      <w:r>
        <w:rPr>
          <w:sz w:val="20"/>
        </w:rPr>
        <w:t>3.</w:t>
      </w:r>
      <w:r>
        <w:rPr>
          <w:sz w:val="20"/>
        </w:rPr>
        <w:t>尾款：项目通过最终验收后，中标人书面提出支付申请函及拟支付金额等额的符合采购人财务管理要求的相应发票，采购人确认后启动尾款支付流程，支付合同总金额的</w:t>
      </w:r>
      <w:r>
        <w:rPr>
          <w:sz w:val="20"/>
        </w:rPr>
        <w:t>30%</w:t>
      </w:r>
      <w:r>
        <w:rPr>
          <w:sz w:val="20"/>
        </w:rPr>
        <w:t>，具体金额以双方合同约定为准。</w:t>
      </w:r>
    </w:p>
    <w:p>
      <w:pPr>
        <w:pStyle w:val="null3"/>
        <w:ind w:firstLine="400"/>
        <w:jc w:val="both"/>
      </w:pPr>
      <w:r>
        <w:rPr>
          <w:sz w:val="20"/>
        </w:rPr>
        <w:t>项目实际支付总金额按采购成交总金额计算，项目支付计划按合同约定执行，对于满足合同约定支付条件的，采购人应当自收到发票后</w:t>
      </w:r>
      <w:r>
        <w:rPr>
          <w:sz w:val="20"/>
        </w:rPr>
        <w:t>10</w:t>
      </w:r>
      <w:r>
        <w:rPr>
          <w:sz w:val="20"/>
        </w:rPr>
        <w:t>个工作日内将资金支付到合同约定的中标人账户，不得以机构变动、人员更替、政策调整等为由延迟付款，不得将采购文件和合同中未规定的义务作为向中标人付款的条件。支付程序按法定财政流程处理。</w:t>
      </w:r>
    </w:p>
    <w:p>
      <w:pPr>
        <w:pStyle w:val="null3"/>
        <w:ind w:firstLine="402"/>
        <w:jc w:val="both"/>
      </w:pPr>
      <w:r>
        <w:rPr>
          <w:sz w:val="20"/>
          <w:b/>
        </w:rPr>
        <w:t>7.</w:t>
      </w:r>
      <w:r>
        <w:rPr>
          <w:sz w:val="20"/>
          <w:b/>
        </w:rPr>
        <w:t>其他承诺</w:t>
      </w:r>
    </w:p>
    <w:p>
      <w:pPr>
        <w:pStyle w:val="null3"/>
        <w:ind w:firstLine="402"/>
        <w:jc w:val="both"/>
      </w:pPr>
      <w:r>
        <w:rPr>
          <w:sz w:val="20"/>
          <w:b/>
        </w:rPr>
        <w:t>★本项目不允许分包，如供应商在投标</w:t>
      </w:r>
      <w:r>
        <w:rPr>
          <w:sz w:val="20"/>
          <w:b/>
        </w:rPr>
        <w:t>/</w:t>
      </w:r>
      <w:r>
        <w:rPr>
          <w:sz w:val="20"/>
          <w:b/>
        </w:rPr>
        <w:t>响应文件中未出现《分包协议意向书》，则视为未采取分包。</w:t>
      </w:r>
    </w:p>
    <w:p>
      <w:pPr>
        <w:pStyle w:val="null3"/>
        <w:ind w:firstLine="402"/>
        <w:jc w:val="both"/>
      </w:pPr>
      <w:r>
        <w:rPr>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0"/>
          <w:b/>
        </w:rPr>
        <w:t>“</w:t>
      </w:r>
      <w:r>
        <w:rPr>
          <w:sz w:val="20"/>
          <w:b/>
        </w:rPr>
        <w:t>投标文件格式</w:t>
      </w:r>
      <w:r>
        <w:rPr>
          <w:sz w:val="20"/>
          <w:b/>
        </w:rPr>
        <w:t>”</w:t>
      </w:r>
      <w:r>
        <w:rPr>
          <w:sz w:val="20"/>
          <w:b/>
        </w:rPr>
        <w:t>中《承诺函》格式）</w:t>
      </w:r>
    </w:p>
    <w:p>
      <w:pPr>
        <w:pStyle w:val="null3"/>
        <w:ind w:firstLine="480"/>
        <w:jc w:val="both"/>
      </w:pPr>
      <w:r>
        <w:rPr>
          <w:sz w:val="21"/>
          <w:b/>
        </w:rPr>
        <w:t>★</w:t>
      </w:r>
      <w:r>
        <w:rPr>
          <w:sz w:val="21"/>
          <w:b/>
        </w:rPr>
        <w:t>投标人须承诺，若中标，不得将本项目转包，不得将中标项目肢解后分别向其他企业或个人转让。（投标时提供承诺，可参照</w:t>
      </w:r>
      <w:r>
        <w:rPr>
          <w:sz w:val="21"/>
          <w:b/>
        </w:rPr>
        <w:t>“</w:t>
      </w:r>
      <w:r>
        <w:rPr>
          <w:sz w:val="21"/>
          <w:b/>
        </w:rPr>
        <w:t>投标文件格式</w:t>
      </w:r>
      <w:r>
        <w:rPr>
          <w:sz w:val="21"/>
          <w:b/>
        </w:rPr>
        <w:t>”</w:t>
      </w:r>
      <w:r>
        <w:rPr>
          <w:sz w:val="21"/>
          <w:b/>
        </w:rPr>
        <w:t>中《承诺函》格式）。</w:t>
      </w:r>
    </w:p>
    <w:p>
      <w:pPr>
        <w:pStyle w:val="null3"/>
        <w:ind w:firstLine="402"/>
        <w:jc w:val="both"/>
      </w:pPr>
      <w:r>
        <w:rPr/>
        <w:t>采购包1（广东省碳排放监测智慧云平台网络安全运营服务）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本项目服务以采购人确定的服务启动审核表所确认的时间为服务开始时间，服务期为24个月。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首期款：签订合同后，中标人书面提出支付申请函及拟支付金额等额的符合采购人财务管理要求的相应发票，采购人确认后启动首期款支付流程，支付合同总金额的30%，具体金额以双方合同约定为准。</w:t>
            </w:r>
          </w:p>
          <w:p>
            <w:pPr>
              <w:pStyle w:val="null3"/>
            </w:pPr>
            <w:r>
              <w:rPr/>
              <w:t>2期：支付比例40%,进度款：项目运营期满1年后，中标人书面提出支付申请函及拟支付金额等额的符合采购人财务管理要求的相应发票，采购人确认后启动进度款支付流程，支付合同总金额的40%，具体金额以双方合同约定为准。</w:t>
            </w:r>
          </w:p>
          <w:p>
            <w:pPr>
              <w:pStyle w:val="null3"/>
            </w:pPr>
            <w:r>
              <w:rPr/>
              <w:t>3期：支付比例30%,尾款：项目通过最终验收后，中标人书面提出支付申请函及拟支付金额等额的符合采购人财务管理要求的相应发票，采购人确认后启动尾款支付流程，支付合同总金额的30%，具体金额以双方合同约定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1期：本项目的验收应符合广东省信息化项目相关验收管理办法的要求，同时应遵循下列标准： （1）实现合同和根据招标文件所编写的投标文件中列举的全部工作内容。 （2）验收项目包括按照合同和根据招标文件所编写的投标文件中所标明的相关文档。 （3）服务期间，中标人应按照合同、招标文件的要求和投标文件的服务承诺提供稳定、可靠、优质的服务，按时提交服务交付物。服务期满后，提交《服务总结报告》。</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其他承诺</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其他承诺</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其他承诺</w:t>
            </w:r>
          </w:p>
        </w:tc>
        <w:tc>
          <w:tcPr>
            <w:tcW w:type="dxa" w:w="2076"/>
          </w:tcPr>
          <w:p>
            <w:pPr>
              <w:pStyle w:val="null3"/>
              <w:jc w:val="left"/>
            </w:pPr>
            <w:r>
              <w:rPr/>
              <w:t>投标人须承诺，若中标，不得将本项目转包，不得将中标项目肢解后分别向其他企业或个人转让。（投标时提供承诺，可参照“投标文件格式”中《承诺函》格式）。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其他运营服务</w:t>
            </w:r>
          </w:p>
        </w:tc>
        <w:tc>
          <w:tcPr>
            <w:tcW w:type="dxa" w:w="933"/>
          </w:tcPr>
          <w:p>
            <w:pPr>
              <w:pStyle w:val="null3"/>
              <w:jc w:val="left"/>
            </w:pPr>
            <w:r>
              <w:rPr/>
              <w:t>广东省碳排放监测智慧云平台网络安全运营服务项目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1,237,700.00</w:t>
            </w:r>
          </w:p>
        </w:tc>
        <w:tc>
          <w:tcPr>
            <w:tcW w:type="dxa" w:w="933"/>
          </w:tcPr>
          <w:p>
            <w:pPr>
              <w:pStyle w:val="null3"/>
              <w:jc w:val="right"/>
            </w:pPr>
            <w:r>
              <w:rPr/>
              <w:t>1,237,700.00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广东省碳排放监测智慧云平台网络安全运营服务项目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0"/>
              </w:rPr>
              <w:t>投标人需承诺投标文件中所列项目经理和技术支持人员为本项目专用人员，其中技术支持人员在项目服务期内需在采购人现场驻场服务，驻场期间考勤参考采购人有关规定执行。中标人须书面承诺，未经采购人同意，不得在合同签订后更换其他人员进行项目交付。</w:t>
            </w:r>
            <w:r>
              <w:rPr>
                <w:sz w:val="20"/>
              </w:rPr>
              <w:t>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w:t>
            </w:r>
            <w:r>
              <w:rPr>
                <w:sz w:val="20"/>
              </w:rPr>
              <w:t>如中标人未经采购人同意更换人员，采购人有权终止合同，并按中标人违约向同级财政部门投诉并追究相关法律责任；如项目经理或技术支持人员不符合采购人要求（是否符合采购人要求由本项目监理认定），采购人有权要求更换项目经理或技术支持人员，中标人需承担并负责消除由此产生的所有负面影响（包括但不限于项目进度延误、成本超支、质量不达标等），同时在两周内调整为符合采购人要求的项目经理或技术支持人员，否则采购人有权终止合同；不符合要求的相关人员所在服务时间不计入项目总服务期，更换合格人员后，中标人需以月的整数倍为单位，延长服务期限。（提供承诺函，可参照“投标文件格式”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0"/>
              </w:rPr>
              <w:t>在项目服务期到期后，服务工具所生产或者承载的数据内容属于采购人所有，中标人需在采购人完成数据迁移和清理后方可收回工具，并且采购人有权拆卸工具的存储设备。（提供承诺函，可参照“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投标人须承诺，在项目开展过程中接受采购人指定的咨询监理机构的监理。（提供承诺函，可参照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0"/>
                <w:b/>
              </w:rPr>
              <w:t>安全检测工具-</w:t>
            </w:r>
            <w:r>
              <w:rPr>
                <w:sz w:val="20"/>
                <w:color w:val="000000"/>
              </w:rPr>
              <w:t>支持监测网站安全事件，最大扫描深度可达</w:t>
            </w:r>
            <w:r>
              <w:rPr>
                <w:sz w:val="20"/>
                <w:color w:val="000000"/>
              </w:rPr>
              <w:t>100</w:t>
            </w:r>
            <w:r>
              <w:rPr>
                <w:sz w:val="20"/>
                <w:color w:val="000000"/>
              </w:rPr>
              <w:t>层，可监测事件类型包括暗链、外链、坏链、</w:t>
            </w:r>
            <w:r>
              <w:rPr>
                <w:sz w:val="20"/>
                <w:color w:val="000000"/>
              </w:rPr>
              <w:t>JS</w:t>
            </w:r>
            <w:r>
              <w:rPr>
                <w:sz w:val="20"/>
                <w:color w:val="000000"/>
              </w:rPr>
              <w:t>挖矿脚本、网页挂马。（提供功能界面截图，在相应指标作出标记并注明针对的参数（例如用红色方框标记）。未做标记出现漏评风险由投标人承担，评标委员会可视为不满足。）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0"/>
                <w:b/>
              </w:rPr>
              <w:t>安全检测工具-</w:t>
            </w:r>
            <w:r>
              <w:rPr>
                <w:sz w:val="20"/>
                <w:color w:val="000000"/>
              </w:rPr>
              <w:t>支持提供网站</w:t>
            </w:r>
            <w:r>
              <w:rPr>
                <w:sz w:val="20"/>
                <w:color w:val="000000"/>
              </w:rPr>
              <w:t>IPv4</w:t>
            </w:r>
            <w:r>
              <w:rPr>
                <w:sz w:val="20"/>
                <w:color w:val="000000"/>
              </w:rPr>
              <w:t>和</w:t>
            </w:r>
            <w:r>
              <w:rPr>
                <w:sz w:val="20"/>
                <w:color w:val="000000"/>
              </w:rPr>
              <w:t>IPv6</w:t>
            </w:r>
            <w:r>
              <w:rPr>
                <w:sz w:val="20"/>
                <w:color w:val="000000"/>
              </w:rPr>
              <w:t>可用性监测，监测节点覆盖三大运营商且不少于</w:t>
            </w:r>
            <w:r>
              <w:rPr>
                <w:sz w:val="20"/>
                <w:color w:val="000000"/>
              </w:rPr>
              <w:t>60</w:t>
            </w:r>
            <w:r>
              <w:rPr>
                <w:sz w:val="20"/>
                <w:color w:val="000000"/>
              </w:rPr>
              <w:t>个，监测频率</w:t>
            </w:r>
            <w:r>
              <w:rPr>
                <w:sz w:val="20"/>
                <w:color w:val="000000"/>
              </w:rPr>
              <w:t>≤5</w:t>
            </w:r>
            <w:r>
              <w:rPr>
                <w:sz w:val="20"/>
                <w:color w:val="000000"/>
              </w:rPr>
              <w:t>分钟</w:t>
            </w:r>
            <w:r>
              <w:rPr>
                <w:sz w:val="20"/>
                <w:color w:val="000000"/>
              </w:rPr>
              <w:t>/</w:t>
            </w:r>
            <w:r>
              <w:rPr>
                <w:sz w:val="20"/>
                <w:color w:val="000000"/>
              </w:rPr>
              <w:t>次。（提供功能界面截图，在相应指标作出标记并注明针对的参数（例如用红色方框标记）。未做标记出现漏评风险由投标人承担，评标委员会可视为不满足。）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0"/>
                <w:b/>
                <w:color w:val="000000"/>
              </w:rPr>
              <w:t>安全检测工具-</w:t>
            </w:r>
            <w:r>
              <w:rPr>
                <w:sz w:val="20"/>
                <w:color w:val="000000"/>
              </w:rPr>
              <w:t>支持提供站点断网短信告警服务，通过短信内嵌的</w:t>
            </w:r>
            <w:r>
              <w:rPr>
                <w:sz w:val="20"/>
                <w:color w:val="000000"/>
              </w:rPr>
              <w:t>URL</w:t>
            </w:r>
            <w:r>
              <w:rPr>
                <w:sz w:val="20"/>
                <w:color w:val="000000"/>
              </w:rPr>
              <w:t>链接可查看网站断网详情及原始断网日志信息。（提供功能界面截图，在相应指标作出标记并注明针对的参数（例如用红色方框标记）。未做标记出现漏评风险由投标人承担，评标委员会可视为不满足。）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0"/>
                <w:b/>
              </w:rPr>
              <w:t>安全检测工具-</w:t>
            </w:r>
            <w:r>
              <w:rPr>
                <w:sz w:val="20"/>
                <w:color w:val="000000"/>
              </w:rPr>
              <w:t>支持记录站点断网信息，基于站点、地址、时间维度进行检索，展示站点名称、站点地址、断网时间、持续时长、站点当前状态、恢复时间，支持查看断网事件深层数据，包括使用的探测节点信息、请求状态码、请求连接时间、</w:t>
            </w:r>
            <w:r>
              <w:rPr>
                <w:sz w:val="20"/>
                <w:color w:val="000000"/>
              </w:rPr>
              <w:t>DNS</w:t>
            </w:r>
            <w:r>
              <w:rPr>
                <w:sz w:val="20"/>
                <w:color w:val="000000"/>
              </w:rPr>
              <w:t>解析时间、页面下载时间。（提供功能界面截图，在相应指标作出标记并注明针对的参数（例如用红色方框标记）。未做标记出现漏评风险由投标人承担，评标委员会可视为不满足。）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8</w:t>
            </w:r>
          </w:p>
        </w:tc>
        <w:tc>
          <w:tcPr>
            <w:tcW w:type="dxa" w:w="5814"/>
          </w:tcPr>
          <w:p>
            <w:pPr>
              <w:pStyle w:val="null3"/>
            </w:pPr>
            <w:r>
              <w:rPr>
                <w:sz w:val="20"/>
                <w:b/>
              </w:rPr>
              <w:t>数据库审计工具-</w:t>
            </w:r>
            <w:r>
              <w:rPr>
                <w:sz w:val="20"/>
                <w:color w:val="000000"/>
              </w:rPr>
              <w:t>可同时支持包括数据库审计、风险扫描、状态监控、运维审计等功能，可按需扩展、每</w:t>
            </w:r>
            <w:r>
              <w:rPr>
                <w:sz w:val="20"/>
                <w:color w:val="000000"/>
              </w:rPr>
              <w:t>1T</w:t>
            </w:r>
            <w:r>
              <w:rPr>
                <w:sz w:val="20"/>
                <w:color w:val="000000"/>
              </w:rPr>
              <w:t>磁盘空间存储日志量不少于</w:t>
            </w:r>
            <w:r>
              <w:rPr>
                <w:sz w:val="20"/>
                <w:color w:val="000000"/>
              </w:rPr>
              <w:t>50</w:t>
            </w:r>
            <w:r>
              <w:rPr>
                <w:sz w:val="20"/>
                <w:color w:val="000000"/>
              </w:rPr>
              <w:t>亿，且全部日志全部为在线日志，无需等待解压过程即可查询。支持审计日志存储空间动态扩展、主备模式下，主备机审计日志能够进行同步。（提供系统</w:t>
            </w:r>
            <w:r>
              <w:rPr>
                <w:sz w:val="20"/>
                <w:color w:val="000000"/>
              </w:rPr>
              <w:t>1TB</w:t>
            </w:r>
            <w:r>
              <w:rPr>
                <w:sz w:val="20"/>
                <w:color w:val="000000"/>
              </w:rPr>
              <w:t>磁盘存储日志量不少于</w:t>
            </w:r>
            <w:r>
              <w:rPr>
                <w:sz w:val="20"/>
                <w:color w:val="000000"/>
              </w:rPr>
              <w:t>50</w:t>
            </w:r>
            <w:r>
              <w:rPr>
                <w:sz w:val="20"/>
                <w:color w:val="000000"/>
              </w:rPr>
              <w:t>亿的</w:t>
            </w:r>
            <w:r>
              <w:rPr>
                <w:sz w:val="20"/>
                <w:color w:val="000000"/>
              </w:rPr>
              <w:t>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0"/>
                <w:b/>
                <w:color w:val="000000"/>
              </w:rPr>
              <w:t>数据库审计工具-</w:t>
            </w:r>
            <w:r>
              <w:rPr>
                <w:sz w:val="20"/>
                <w:color w:val="000000"/>
              </w:rPr>
              <w:t>支持对数据库服务器提供漏洞扫描，实现对数据库进行高风险、中风险、低风险漏洞进行识别。同时，可根据扫描结果提供漏洞修复建议；漏洞库管理，提供漏洞库管理服务，通过可视化界面展示数据库漏洞种类统计、风险漏洞种类统计，以及当前漏洞库（展示漏洞库总记录、漏洞名称、发现时间、风险等级、数据库类型、摘要）、漏洞详情（包括：漏洞名称、</w:t>
            </w:r>
            <w:r>
              <w:rPr>
                <w:sz w:val="20"/>
                <w:color w:val="000000"/>
              </w:rPr>
              <w:t>CVE</w:t>
            </w:r>
            <w:r>
              <w:rPr>
                <w:sz w:val="20"/>
                <w:color w:val="000000"/>
              </w:rPr>
              <w:t>编号、漏洞描述、修复建议、受影响版本等信息）。</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b/>
              </w:rPr>
              <w:t>数据库审计工具-</w:t>
            </w:r>
            <w:r>
              <w:rPr>
                <w:sz w:val="20"/>
                <w:color w:val="000000"/>
              </w:rPr>
              <w:t>支持磁盘动态挂载扩展。</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b/>
              </w:rPr>
              <w:t>数据库审计工具-</w:t>
            </w:r>
            <w:r>
              <w:rPr>
                <w:sz w:val="20"/>
                <w:color w:val="000000"/>
              </w:rPr>
              <w:t>支持对数据库会话进行实时监控，可以监控到的元素包括但不限于：</w:t>
            </w:r>
            <w:r>
              <w:rPr>
                <w:sz w:val="20"/>
                <w:color w:val="000000"/>
              </w:rPr>
              <w:t>SID</w:t>
            </w:r>
            <w:r>
              <w:rPr>
                <w:sz w:val="20"/>
                <w:color w:val="000000"/>
              </w:rPr>
              <w:t>、状态、机器、用户名、耗时、</w:t>
            </w:r>
            <w:r>
              <w:rPr>
                <w:sz w:val="20"/>
                <w:color w:val="000000"/>
              </w:rPr>
              <w:t>CPU</w:t>
            </w:r>
            <w:r>
              <w:rPr>
                <w:sz w:val="20"/>
                <w:color w:val="000000"/>
              </w:rPr>
              <w:t>使用量、内存排序、表扫描、物理读、逻辑读、提交、光标、缓冲区击中率。</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b/>
              </w:rPr>
              <w:t>数据库审计工具-</w:t>
            </w:r>
            <w:r>
              <w:rPr>
                <w:sz w:val="20"/>
              </w:rPr>
              <w:t>支持将审计记录中</w:t>
            </w:r>
            <w:r>
              <w:rPr>
                <w:sz w:val="20"/>
              </w:rPr>
              <w:t>SQL</w:t>
            </w:r>
            <w:r>
              <w:rPr>
                <w:sz w:val="20"/>
              </w:rPr>
              <w:t>语句关键字翻译成中文，便于非专业人员阅读，支持将审计日志的敏感字段进行模糊化处理，防止敏感数据泄露。</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b/>
              </w:rPr>
              <w:t>数据库审计工具-</w:t>
            </w:r>
            <w:r>
              <w:rPr>
                <w:sz w:val="20"/>
              </w:rPr>
              <w:t>支持字典翻译功能；通过对</w:t>
            </w:r>
            <w:r>
              <w:rPr>
                <w:sz w:val="20"/>
              </w:rPr>
              <w:t>SQL</w:t>
            </w:r>
            <w:r>
              <w:rPr>
                <w:sz w:val="20"/>
              </w:rPr>
              <w:t>关键字字典进行设置，将</w:t>
            </w:r>
            <w:r>
              <w:rPr>
                <w:sz w:val="20"/>
              </w:rPr>
              <w:t>SQL</w:t>
            </w:r>
            <w:r>
              <w:rPr>
                <w:sz w:val="20"/>
              </w:rPr>
              <w:t>关键字翻译成通俗说明。同时支持对业务字典设置，将业务数据字段翻译成业务信息说明。</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sz w:val="20"/>
                <w:b/>
              </w:rPr>
              <w:t>漏洞扫工具-</w:t>
            </w:r>
            <w:r>
              <w:rPr>
                <w:sz w:val="20"/>
                <w:color w:val="000000"/>
              </w:rPr>
              <w:t>支持扫描容器镜像存在的漏洞，支持扫描互联网上公开仓库中的镜像以及私有仓库中的镜像</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b/>
              </w:rPr>
              <w:t>漏洞扫工具-</w:t>
            </w:r>
            <w:r>
              <w:rPr>
                <w:sz w:val="20"/>
                <w:color w:val="000000"/>
              </w:rPr>
              <w:t>具备单独口令猜测扫描任务，支持多种口令猜测方式，包括利用</w:t>
            </w:r>
            <w:r>
              <w:rPr>
                <w:sz w:val="20"/>
                <w:color w:val="000000"/>
              </w:rPr>
              <w:t>SMB</w:t>
            </w:r>
            <w:r>
              <w:rPr>
                <w:sz w:val="20"/>
                <w:color w:val="000000"/>
              </w:rPr>
              <w:t>、</w:t>
            </w:r>
            <w:r>
              <w:rPr>
                <w:sz w:val="20"/>
                <w:color w:val="000000"/>
              </w:rPr>
              <w:t>RDP</w:t>
            </w:r>
            <w:r>
              <w:rPr>
                <w:sz w:val="20"/>
                <w:color w:val="000000"/>
              </w:rPr>
              <w:t>、</w:t>
            </w:r>
            <w:r>
              <w:rPr>
                <w:sz w:val="20"/>
                <w:color w:val="000000"/>
              </w:rPr>
              <w:t>SSH</w:t>
            </w:r>
            <w:r>
              <w:rPr>
                <w:sz w:val="20"/>
                <w:color w:val="000000"/>
              </w:rPr>
              <w:t>、</w:t>
            </w:r>
            <w:r>
              <w:rPr>
                <w:sz w:val="20"/>
                <w:color w:val="000000"/>
              </w:rPr>
              <w:t>Telnet</w:t>
            </w:r>
            <w:r>
              <w:rPr>
                <w:sz w:val="20"/>
                <w:color w:val="000000"/>
              </w:rPr>
              <w:t>、</w:t>
            </w:r>
            <w:r>
              <w:rPr>
                <w:sz w:val="20"/>
                <w:color w:val="000000"/>
              </w:rPr>
              <w:t>SQL SERVER</w:t>
            </w:r>
            <w:r>
              <w:rPr>
                <w:sz w:val="20"/>
                <w:color w:val="000000"/>
              </w:rPr>
              <w:t>、</w:t>
            </w:r>
            <w:r>
              <w:rPr>
                <w:sz w:val="20"/>
                <w:color w:val="000000"/>
              </w:rPr>
              <w:t xml:space="preserve">MySQL </w:t>
            </w:r>
            <w:r>
              <w:rPr>
                <w:sz w:val="20"/>
                <w:color w:val="000000"/>
              </w:rPr>
              <w:t>、</w:t>
            </w:r>
            <w:r>
              <w:rPr>
                <w:sz w:val="20"/>
                <w:color w:val="000000"/>
              </w:rPr>
              <w:t>Oracle</w:t>
            </w:r>
            <w:r>
              <w:rPr>
                <w:sz w:val="20"/>
                <w:color w:val="000000"/>
              </w:rPr>
              <w:t>、</w:t>
            </w:r>
            <w:r>
              <w:rPr>
                <w:sz w:val="20"/>
                <w:color w:val="000000"/>
              </w:rPr>
              <w:t>Sybase</w:t>
            </w:r>
            <w:r>
              <w:rPr>
                <w:sz w:val="20"/>
                <w:color w:val="000000"/>
              </w:rPr>
              <w:t>、</w:t>
            </w:r>
            <w:r>
              <w:rPr>
                <w:sz w:val="20"/>
                <w:color w:val="000000"/>
              </w:rPr>
              <w:t>DB2</w:t>
            </w:r>
            <w:r>
              <w:rPr>
                <w:sz w:val="20"/>
                <w:color w:val="000000"/>
              </w:rPr>
              <w:t>、</w:t>
            </w:r>
            <w:r>
              <w:rPr>
                <w:sz w:val="20"/>
                <w:color w:val="000000"/>
              </w:rPr>
              <w:t>MongoDB</w:t>
            </w:r>
            <w:r>
              <w:rPr>
                <w:sz w:val="20"/>
                <w:color w:val="000000"/>
              </w:rPr>
              <w:t>、</w:t>
            </w:r>
            <w:r>
              <w:rPr>
                <w:sz w:val="20"/>
                <w:color w:val="000000"/>
              </w:rPr>
              <w:t>Memcached</w:t>
            </w:r>
            <w:r>
              <w:rPr>
                <w:sz w:val="20"/>
                <w:color w:val="000000"/>
              </w:rPr>
              <w:t>、</w:t>
            </w:r>
            <w:r>
              <w:rPr>
                <w:sz w:val="20"/>
                <w:color w:val="000000"/>
              </w:rPr>
              <w:t xml:space="preserve">Redis </w:t>
            </w:r>
            <w:r>
              <w:rPr>
                <w:sz w:val="20"/>
                <w:color w:val="000000"/>
              </w:rPr>
              <w:t>、</w:t>
            </w:r>
            <w:r>
              <w:rPr>
                <w:sz w:val="20"/>
                <w:color w:val="000000"/>
              </w:rPr>
              <w:t xml:space="preserve">PostgreSQL </w:t>
            </w:r>
            <w:r>
              <w:rPr>
                <w:sz w:val="20"/>
                <w:color w:val="000000"/>
              </w:rPr>
              <w:t>、</w:t>
            </w:r>
            <w:r>
              <w:rPr>
                <w:sz w:val="20"/>
                <w:color w:val="000000"/>
              </w:rPr>
              <w:t xml:space="preserve">HighGo </w:t>
            </w:r>
            <w:r>
              <w:rPr>
                <w:sz w:val="20"/>
                <w:color w:val="000000"/>
              </w:rPr>
              <w:t>、</w:t>
            </w:r>
            <w:r>
              <w:rPr>
                <w:sz w:val="20"/>
                <w:color w:val="000000"/>
              </w:rPr>
              <w:t xml:space="preserve">UXDB </w:t>
            </w:r>
            <w:r>
              <w:rPr>
                <w:sz w:val="20"/>
                <w:color w:val="000000"/>
              </w:rPr>
              <w:t>、</w:t>
            </w:r>
            <w:r>
              <w:rPr>
                <w:sz w:val="20"/>
                <w:color w:val="000000"/>
              </w:rPr>
              <w:t xml:space="preserve">Kingbase </w:t>
            </w:r>
            <w:r>
              <w:rPr>
                <w:sz w:val="20"/>
                <w:color w:val="000000"/>
              </w:rPr>
              <w:t>、</w:t>
            </w:r>
            <w:r>
              <w:rPr>
                <w:sz w:val="20"/>
                <w:color w:val="000000"/>
              </w:rPr>
              <w:t xml:space="preserve">STDB </w:t>
            </w:r>
            <w:r>
              <w:rPr>
                <w:sz w:val="20"/>
                <w:color w:val="000000"/>
              </w:rPr>
              <w:t>、</w:t>
            </w:r>
            <w:r>
              <w:rPr>
                <w:sz w:val="20"/>
                <w:color w:val="000000"/>
              </w:rPr>
              <w:t>FTP</w:t>
            </w:r>
            <w:r>
              <w:rPr>
                <w:sz w:val="20"/>
                <w:color w:val="000000"/>
              </w:rPr>
              <w:t>、</w:t>
            </w:r>
            <w:r>
              <w:rPr>
                <w:sz w:val="20"/>
                <w:color w:val="000000"/>
              </w:rPr>
              <w:t>SFTP</w:t>
            </w:r>
            <w:r>
              <w:rPr>
                <w:sz w:val="20"/>
                <w:color w:val="000000"/>
              </w:rPr>
              <w:t>、</w:t>
            </w:r>
            <w:r>
              <w:rPr>
                <w:sz w:val="20"/>
                <w:color w:val="000000"/>
              </w:rPr>
              <w:t>ActiveMQ</w:t>
            </w:r>
            <w:r>
              <w:rPr>
                <w:sz w:val="20"/>
                <w:color w:val="000000"/>
              </w:rPr>
              <w:t>、</w:t>
            </w:r>
            <w:r>
              <w:rPr>
                <w:sz w:val="20"/>
                <w:color w:val="000000"/>
              </w:rPr>
              <w:t>POP3</w:t>
            </w:r>
            <w:r>
              <w:rPr>
                <w:sz w:val="20"/>
                <w:color w:val="000000"/>
              </w:rPr>
              <w:t>、</w:t>
            </w:r>
            <w:r>
              <w:rPr>
                <w:sz w:val="20"/>
                <w:color w:val="000000"/>
              </w:rPr>
              <w:t>Tomcat</w:t>
            </w:r>
            <w:r>
              <w:rPr>
                <w:sz w:val="20"/>
                <w:color w:val="000000"/>
              </w:rPr>
              <w:t>、</w:t>
            </w:r>
            <w:r>
              <w:rPr>
                <w:sz w:val="20"/>
                <w:color w:val="000000"/>
              </w:rPr>
              <w:t>SMTP</w:t>
            </w:r>
            <w:r>
              <w:rPr>
                <w:sz w:val="20"/>
                <w:color w:val="000000"/>
              </w:rPr>
              <w:t>、</w:t>
            </w:r>
            <w:r>
              <w:rPr>
                <w:sz w:val="20"/>
                <w:color w:val="000000"/>
              </w:rPr>
              <w:t>IMAP</w:t>
            </w:r>
            <w:r>
              <w:rPr>
                <w:sz w:val="20"/>
                <w:color w:val="000000"/>
              </w:rPr>
              <w:t>、</w:t>
            </w:r>
            <w:r>
              <w:rPr>
                <w:sz w:val="20"/>
                <w:color w:val="000000"/>
              </w:rPr>
              <w:t>Onvif</w:t>
            </w:r>
            <w:r>
              <w:rPr>
                <w:sz w:val="20"/>
                <w:color w:val="000000"/>
              </w:rPr>
              <w:t>、</w:t>
            </w:r>
            <w:r>
              <w:rPr>
                <w:sz w:val="20"/>
                <w:color w:val="000000"/>
              </w:rPr>
              <w:t>RTSP</w:t>
            </w:r>
            <w:r>
              <w:rPr>
                <w:sz w:val="20"/>
                <w:color w:val="000000"/>
              </w:rPr>
              <w:t>、</w:t>
            </w:r>
            <w:r>
              <w:rPr>
                <w:sz w:val="20"/>
                <w:color w:val="000000"/>
              </w:rPr>
              <w:t xml:space="preserve"> SNMP</w:t>
            </w:r>
            <w:r>
              <w:rPr>
                <w:sz w:val="20"/>
                <w:color w:val="000000"/>
              </w:rPr>
              <w:t>、</w:t>
            </w:r>
            <w:r>
              <w:rPr>
                <w:sz w:val="20"/>
                <w:color w:val="000000"/>
              </w:rPr>
              <w:t>SIP</w:t>
            </w:r>
            <w:r>
              <w:rPr>
                <w:sz w:val="20"/>
                <w:color w:val="000000"/>
              </w:rPr>
              <w:t>、</w:t>
            </w:r>
            <w:r>
              <w:rPr>
                <w:sz w:val="20"/>
                <w:color w:val="000000"/>
              </w:rPr>
              <w:t>Vmware ESXi</w:t>
            </w:r>
            <w:r>
              <w:rPr>
                <w:sz w:val="20"/>
                <w:color w:val="000000"/>
              </w:rPr>
              <w:t>、</w:t>
            </w:r>
            <w:r>
              <w:rPr>
                <w:sz w:val="20"/>
                <w:color w:val="000000"/>
              </w:rPr>
              <w:t>HTTP Digest</w:t>
            </w:r>
            <w:r>
              <w:rPr>
                <w:sz w:val="20"/>
                <w:color w:val="000000"/>
              </w:rPr>
              <w:t>、</w:t>
            </w:r>
            <w:r>
              <w:rPr>
                <w:sz w:val="20"/>
                <w:color w:val="000000"/>
              </w:rPr>
              <w:t>Weblogic</w:t>
            </w:r>
            <w:r>
              <w:rPr>
                <w:sz w:val="20"/>
                <w:color w:val="000000"/>
              </w:rPr>
              <w:t>、</w:t>
            </w:r>
            <w:r>
              <w:rPr>
                <w:sz w:val="20"/>
                <w:color w:val="000000"/>
              </w:rPr>
              <w:t>Elasticsearch</w:t>
            </w:r>
            <w:r>
              <w:rPr>
                <w:sz w:val="20"/>
                <w:color w:val="000000"/>
              </w:rPr>
              <w:t>、</w:t>
            </w:r>
            <w:r>
              <w:rPr>
                <w:sz w:val="20"/>
                <w:color w:val="000000"/>
              </w:rPr>
              <w:t>Websphere</w:t>
            </w:r>
            <w:r>
              <w:rPr>
                <w:sz w:val="20"/>
                <w:color w:val="000000"/>
              </w:rPr>
              <w:t>等协议进行口令猜测，允许外挂用户提供的用户名字典、密码字典和用户名密码组合字典</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b/>
              </w:rPr>
              <w:t>漏洞扫工具-</w:t>
            </w:r>
            <w:r>
              <w:rPr>
                <w:sz w:val="20"/>
                <w:color w:val="000000"/>
              </w:rPr>
              <w:t>支持自定义风险值计算标准配置，可对主机风险等级评定标准和网络风险等级评定标准进行自定义</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b/>
              </w:rPr>
              <w:t>漏洞扫工具-</w:t>
            </w:r>
            <w:r>
              <w:rPr>
                <w:sz w:val="20"/>
                <w:color w:val="000000"/>
              </w:rPr>
              <w:t>支持高级数据分析，可对同一</w:t>
            </w:r>
            <w:r>
              <w:rPr>
                <w:sz w:val="20"/>
                <w:color w:val="000000"/>
              </w:rPr>
              <w:t>IP</w:t>
            </w:r>
            <w:r>
              <w:rPr>
                <w:sz w:val="20"/>
                <w:color w:val="000000"/>
              </w:rPr>
              <w:t>的两次扫描结果进行风险对比分析，并可在线查看同一</w:t>
            </w:r>
            <w:r>
              <w:rPr>
                <w:sz w:val="20"/>
                <w:color w:val="000000"/>
              </w:rPr>
              <w:t>IP</w:t>
            </w:r>
            <w:r>
              <w:rPr>
                <w:sz w:val="20"/>
                <w:color w:val="000000"/>
              </w:rPr>
              <w:t>的多次历史扫描结果</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pPr>
              <w:pStyle w:val="null3"/>
            </w:pPr>
            <w:r>
              <w:rPr/>
              <w:t>▲</w:t>
            </w:r>
          </w:p>
        </w:tc>
        <w:tc>
          <w:tcPr>
            <w:tcW w:type="dxa" w:w="415"/>
          </w:tcPr>
          <w:p>
            <w:pPr>
              <w:pStyle w:val="null3"/>
            </w:pPr>
            <w:r>
              <w:rPr/>
              <w:t>18</w:t>
            </w:r>
          </w:p>
        </w:tc>
        <w:tc>
          <w:tcPr>
            <w:tcW w:type="dxa" w:w="5814"/>
          </w:tcPr>
          <w:p>
            <w:pPr>
              <w:pStyle w:val="null3"/>
            </w:pPr>
            <w:r>
              <w:rPr>
                <w:b/>
              </w:rPr>
              <w:t>漏洞扫工具-</w:t>
            </w:r>
            <w:r>
              <w:rPr>
                <w:sz w:val="20"/>
                <w:color w:val="000000"/>
              </w:rPr>
              <w:t>支持容器镜像配置核查，发现镜像不合规项</w:t>
            </w:r>
            <w:r>
              <w:rPr>
                <w:sz w:val="20"/>
              </w:rPr>
              <w:t>。</w:t>
            </w:r>
            <w:r>
              <w:rPr>
                <w:sz w:val="20"/>
                <w:color w:val="000000"/>
              </w:rPr>
              <w:t>（提供功能界面截图，在相应指标作出标记并注明针对的参数（例如用红色方框标记）。未做标记出现漏评风险由投标人承担，评标委员会可视为不满足。）</w:t>
            </w:r>
          </w:p>
        </w:tc>
      </w:tr>
      <w:tr>
        <w:tc>
          <w:tcPr>
            <w:tcW w:type="dxa" w:w="2076"/>
          </w:tcPr>
          <w:p/>
        </w:tc>
        <w:tc>
          <w:tcPr>
            <w:tcW w:type="dxa" w:w="415"/>
          </w:tcPr>
          <w:p>
            <w:pPr>
              <w:pStyle w:val="null3"/>
            </w:pPr>
            <w:r>
              <w:rPr/>
              <w:t>19</w:t>
            </w:r>
          </w:p>
        </w:tc>
        <w:tc>
          <w:tcPr>
            <w:tcW w:type="dxa" w:w="5814"/>
          </w:tcPr>
          <w:p>
            <w:pPr>
              <w:pStyle w:val="null3"/>
            </w:pPr>
            <w:r>
              <w:rPr/>
              <w:t>其他要求详见采购需求。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碳排放监测智慧云平台网络安全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采购包1（广东省碳排放监测智慧云平台网络安全运营服务）：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采购包1（广东省碳排放监测智慧云平台网络安全运营服务）：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本项目属于专门面向中小企业采购的项目。供应商须为符合本项目采购标的对应行业（软件和信息技术服务业）划分标准的中小企业（监狱企业、残疾人福利性单位视同小型、微型企业）。 注：中小企业以供应商填写的《中小企业声明函》（服务）为判定标准，残疾人福利性单位以供应商填写的《残疾人福利性单位声明函》（见投标格式）为判定标准，监狱企业供应商须提供由省级以上监狱管理局、戒毒管理局（含新疆生产建设兵团）出具的属于监狱企业的证明文件，否则不予认定。《中小企业声明函》的填写要求见《广东省财政厅关于进一步规范政府采购活动中落实促进中小企业发展政策的通知》（粤财采购〔2024〕11号）的规定，供应商可登录https://gdgpo.czt.gd.gov.cn/freecms/site/guangdong/tz/info/2024/15000058.html查阅。</w:t>
            </w:r>
          </w:p>
        </w:tc>
      </w:tr>
    </w:tbl>
    <w:p>
      <w:pPr>
        <w:pStyle w:val="null3"/>
        <w:ind w:firstLine="480"/>
      </w:pPr>
      <w:r>
        <w:rPr/>
        <w:t>表二符合性审查表：</w:t>
      </w:r>
    </w:p>
    <w:p>
      <w:pPr>
        <w:pStyle w:val="null3"/>
      </w:pPr>
      <w:r>
        <w:rPr/>
        <w:t>采购包1（广东省碳排放监测智慧云平台网络安全运营服务）：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采购包1(广东省碳排放监测智慧云平台网络安全运营服务):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(5.0分)</w:t>
            </w:r>
            <w:r>
              <w:rPr/>
              <w:t>，（等次分值选择：</w:t>
            </w:r>
            <w:r>
              <w:rPr/>
              <w:t>0.0;</w:t>
            </w:r>
            <w:r>
              <w:rPr/>
              <w:t>1.0;</w:t>
            </w:r>
            <w:r>
              <w:rPr/>
              <w:t>3.0;</w:t>
            </w:r>
            <w:r>
              <w:rPr/>
              <w:t>5.0;</w:t>
            </w:r>
            <w:r>
              <w:rPr/>
              <w:t>）</w:t>
            </w:r>
          </w:p>
        </w:tc>
        <w:tc>
          <w:tcPr>
            <w:tcW w:type="dxa" w:w="5076"/>
          </w:tcPr>
          <w:p>
            <w:pPr>
              <w:pStyle w:val="null3"/>
              <w:jc w:val="left"/>
            </w:pPr>
            <w:r>
              <w:rPr/>
              <w:t>根据用户需求书 “5.服务要求”要求，对投标人提供的总体服务方案进行评价： （1）方案完全满足且优于项目要求的，得5分； （2）方案完全满足项目要求的，得3分； （3）方案不完全项目要求的，得1分； （4）未提供或其他不得分。</w:t>
            </w:r>
          </w:p>
        </w:tc>
      </w:tr>
      <w:tr>
        <w:tc>
          <w:tcPr>
            <w:tcW w:type="dxa" w:w="922"/>
            <w:gridSpan w:val="2"/>
            <w:vMerge/>
          </w:tcPr>
          <w:p/>
        </w:tc>
        <w:tc>
          <w:tcPr>
            <w:tcW w:type="dxa" w:w="2307"/>
          </w:tcPr>
          <w:p>
            <w:pPr>
              <w:pStyle w:val="null3"/>
              <w:jc w:val="left"/>
            </w:pPr>
            <w:r>
              <w:rPr/>
              <w:t>项目实施方案 (15.0分)</w:t>
            </w:r>
            <w:r>
              <w:rPr/>
              <w:t>，（等次分值选择：</w:t>
            </w:r>
            <w:r>
              <w:rPr/>
              <w:t>0.0;</w:t>
            </w:r>
            <w:r>
              <w:rPr/>
              <w:t>5.0;</w:t>
            </w:r>
            <w:r>
              <w:rPr/>
              <w:t>10.0;</w:t>
            </w:r>
            <w:r>
              <w:rPr/>
              <w:t>15.0;</w:t>
            </w:r>
            <w:r>
              <w:rPr/>
              <w:t>）</w:t>
            </w:r>
          </w:p>
        </w:tc>
        <w:tc>
          <w:tcPr>
            <w:tcW w:type="dxa" w:w="5076"/>
          </w:tcPr>
          <w:p>
            <w:pPr>
              <w:pStyle w:val="null3"/>
              <w:jc w:val="left"/>
            </w:pPr>
            <w:r>
              <w:rPr/>
              <w:t>根据用户需求书“4.服务内容”（▲号条款除外）相关要求，对投标人提供的服务方案（包含安全管理服务、安全监测服务、渗透测试服务、漏洞扫描服务）进行评价： （1）方案完全满足且优于项目要求的，得15分； （2）方案完全满足项目要求的，得10分； （3）方案不完全项目要求的，得5分； （4）未提供或其他不得分。</w:t>
            </w:r>
          </w:p>
        </w:tc>
      </w:tr>
      <w:tr>
        <w:tc>
          <w:tcPr>
            <w:tcW w:type="dxa" w:w="922"/>
            <w:gridSpan w:val="2"/>
            <w:vMerge/>
          </w:tcPr>
          <w:p/>
        </w:tc>
        <w:tc>
          <w:tcPr>
            <w:tcW w:type="dxa" w:w="2307"/>
          </w:tcPr>
          <w:p>
            <w:pPr>
              <w:pStyle w:val="null3"/>
              <w:jc w:val="left"/>
            </w:pPr>
            <w:r>
              <w:rPr/>
              <w:t>漏洞挖掘能力 (5.0分)</w:t>
            </w:r>
            <w:r>
              <w:rPr/>
              <w:t>，（等次分值选择：</w:t>
            </w:r>
            <w:r>
              <w:rPr/>
              <w:t>0.0;</w:t>
            </w:r>
            <w:r>
              <w:rPr/>
              <w:t>1.0;</w:t>
            </w:r>
            <w:r>
              <w:rPr/>
              <w:t>3.0;</w:t>
            </w:r>
            <w:r>
              <w:rPr/>
              <w:t>5.0;</w:t>
            </w:r>
            <w:r>
              <w:rPr/>
              <w:t>）</w:t>
            </w:r>
          </w:p>
        </w:tc>
        <w:tc>
          <w:tcPr>
            <w:tcW w:type="dxa" w:w="5076"/>
          </w:tcPr>
          <w:p>
            <w:pPr>
              <w:pStyle w:val="null3"/>
              <w:jc w:val="left"/>
            </w:pPr>
            <w:r>
              <w:rPr/>
              <w:t>考察投标人具备漏洞挖掘能力情况，根据投标人向国家信息安全漏洞共享平台（CNVD）报送漏洞证明数量进行评审： （1）10个或以上的得5分； （2）5-9个的得3分； （3）1-4个的得1分； （4）0个或未提供不得分。 注：需提供中国信息安全测评中心颁发的漏洞报送证明。</w:t>
            </w:r>
          </w:p>
        </w:tc>
      </w:tr>
      <w:tr>
        <w:tc>
          <w:tcPr>
            <w:tcW w:type="dxa" w:w="922"/>
            <w:gridSpan w:val="2"/>
            <w:vMerge/>
          </w:tcPr>
          <w:p/>
        </w:tc>
        <w:tc>
          <w:tcPr>
            <w:tcW w:type="dxa" w:w="2307"/>
          </w:tcPr>
          <w:p>
            <w:pPr>
              <w:pStyle w:val="null3"/>
              <w:jc w:val="left"/>
            </w:pPr>
            <w:r>
              <w:rPr/>
              <w:t>应急服务工具能力 (20.0分)</w:t>
            </w:r>
          </w:p>
        </w:tc>
        <w:tc>
          <w:tcPr>
            <w:tcW w:type="dxa" w:w="5076"/>
          </w:tcPr>
          <w:p>
            <w:pPr>
              <w:pStyle w:val="null3"/>
              <w:jc w:val="left"/>
            </w:pPr>
            <w:r>
              <w:rPr/>
              <w:t>考察投标人具备应急服务工具能力情况，根据投标人提供的应急服务工具进行评审： （1）具备远程运维安全接入工具； （2）具备持续数据保护工具； （3）具备Web应用防护系统软件工具； （4）具备日志审计分析管理系统工具； （5）具备运维安全管理系统工具。 每满足一项得4分；本项最高得20分。 注：投标人应保证工具的来源合法合规，并提供以下两种证明材料之一： ①自行开发的工具需提供软件著作权和对应安全检测证书（安全检测证书为网络关键设备网络安全专用产品安全认证证书、信息技术产品安全测试证书、网络安全专用产品安全检测证书三者具备其一即可）； ②购买（或租用）第三方安全厂商工具的需提供加盖供应商公章的（A.购买或租赁合同，合同中需明确工具授权给投标人使用）和B.发票扫描件。</w:t>
            </w:r>
          </w:p>
        </w:tc>
      </w:tr>
      <w:tr>
        <w:tc>
          <w:tcPr>
            <w:tcW w:type="dxa" w:w="922"/>
            <w:gridSpan w:val="2"/>
            <w:vMerge/>
          </w:tcPr>
          <w:p/>
        </w:tc>
        <w:tc>
          <w:tcPr>
            <w:tcW w:type="dxa" w:w="2307"/>
          </w:tcPr>
          <w:p>
            <w:pPr>
              <w:pStyle w:val="null3"/>
              <w:jc w:val="left"/>
            </w:pPr>
            <w:r>
              <w:rPr/>
              <w:t>带▲号的技术参数响应 (15.0分)</w:t>
            </w:r>
          </w:p>
        </w:tc>
        <w:tc>
          <w:tcPr>
            <w:tcW w:type="dxa" w:w="5076"/>
          </w:tcPr>
          <w:p>
            <w:pPr>
              <w:pStyle w:val="null3"/>
              <w:jc w:val="left"/>
            </w:pPr>
            <w:r>
              <w:rPr/>
              <w:t>带▲号技术参数项共15项，每满足一项▲参数得1分；本项最高得15分。 注：如用户需求书▲条款中有明确要求提供证明资料的，投标人无提供或未按要求提供证明材料的不得分；如▲条款中未要求提供证明材料的，以投标人自行响应为准，未响应的视为负偏离。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投标人提供在有效期内的ISO9001质量管理体系认证证书（认证范围与网络安全运营相关），得3分。 注：提供证书复印件，并须同时提供在“全国认证认可信息公共服务平台”对体系证书的信息查询截图作为评审依据，已暂停、失效或撤销或不提供的不得分。新设立企业成立时间不足3个月导致无法获得上述证书的，对应项得分。</w:t>
            </w:r>
          </w:p>
        </w:tc>
      </w:tr>
      <w:tr>
        <w:tc>
          <w:tcPr>
            <w:tcW w:type="dxa" w:w="922"/>
            <w:gridSpan w:val="2"/>
            <w:vMerge/>
          </w:tcPr>
          <w:p/>
        </w:tc>
        <w:tc>
          <w:tcPr>
            <w:tcW w:type="dxa" w:w="2307"/>
          </w:tcPr>
          <w:p>
            <w:pPr>
              <w:pStyle w:val="null3"/>
              <w:jc w:val="left"/>
            </w:pPr>
            <w:r>
              <w:rPr/>
              <w:t>项目经理 (7.0分)</w:t>
            </w:r>
          </w:p>
        </w:tc>
        <w:tc>
          <w:tcPr>
            <w:tcW w:type="dxa" w:w="5076"/>
          </w:tcPr>
          <w:p>
            <w:pPr>
              <w:pStyle w:val="null3"/>
              <w:jc w:val="left"/>
            </w:pPr>
            <w:r>
              <w:rPr/>
              <w:t>项目经理（限1名）： 1.具备信息系统项目管理师证书（计算机技术与软件专业技术资格），得1分；具备网络工程师证书（计算机技术与软件专业技术资格）得1分；具备信息安全工程师证书（计算机技术与软件专业技术资格），得1分，本项最高得3分，须提供证书复印件； 2.信息技术或计算机相关专业本科以上学历，得2分，须提供证书复印件，供应商如提供国（境）外学历证书的，须同时提供中文翻译及教育部留学服务中心出具的“国外学历学位认证书”，否则对应项不得分； 3.具有5年或以上信息化项目管理经验，得2分。提供工作履历表以及履历表对应时间和与工作经验时间匹配的社保证明材料(社保缴纳单位及缴纳年限须与工作履历表中工作单位、工作时间对应一致)，不同单位的工作经验可累加。 注：提供投标人自2024年4月以来任意1个月为其缴纳社保（须至少体现养老保险）的证明材料的复印件为证明材料，未按要求提供相关材料或复印件不清晰导致无法识别的不计得分。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服务团队人员（除项目经理外） (12.0分)</w:t>
            </w:r>
          </w:p>
        </w:tc>
        <w:tc>
          <w:tcPr>
            <w:tcW w:type="dxa" w:w="5076"/>
          </w:tcPr>
          <w:p>
            <w:pPr>
              <w:pStyle w:val="null3"/>
              <w:jc w:val="left"/>
            </w:pPr>
            <w:r>
              <w:rPr/>
              <w:t>考察投标人拟派的项目服务团队资质情况，根据投标人提供的其他项目团队成员相关资质进行评审： 1.每有1人具备网络工程师证书（计算机技术与软件专业技术资格）得2分，本项最高得4分，须提供证书复印件； 2.每有1人具备信息安全工程师证书（计算机技术与软件专业技术资格）得2分，本项最高得4分，须提供证书复印件； 3.每有1人具备信息技术或计算机相关专业本科以上学历得0.5分，本项最高得2分，须提供证书复印件，供应商如提供国（境）外学历证书的，须同时提供中文翻译及教育部留学服务中心出具的“国外学历学位认证书”，否则对应项不得分。 4.每有1人具有2年或以上信息化项目运营经验得0.5分，本项最高得2分。须提供工作履历表以及履历表对应时间和与工作经验时间匹配的社保证明材料(社保缴纳单位及缴纳年限须与工作履历表中工作单位、工作时间对应一致)，不同单位的工作经验可累加。 1-4项备注：须提供投标人自2024年4月以来任意1个月为其缴纳社保（须至少体现养老保险）的证明材料的复印件为证明材料，未按要求提供相关材料或复印件不清晰导致无法识别的不计得分。</w:t>
            </w:r>
          </w:p>
        </w:tc>
      </w:tr>
      <w:tr>
        <w:tc>
          <w:tcPr>
            <w:tcW w:type="dxa" w:w="922"/>
            <w:gridSpan w:val="2"/>
            <w:vMerge/>
          </w:tcPr>
          <w:p/>
        </w:tc>
        <w:tc>
          <w:tcPr>
            <w:tcW w:type="dxa" w:w="2307"/>
          </w:tcPr>
          <w:p>
            <w:pPr>
              <w:pStyle w:val="null3"/>
              <w:jc w:val="left"/>
            </w:pPr>
            <w:r>
              <w:rPr/>
              <w:t>同类业绩经验 (8.0分)</w:t>
            </w:r>
          </w:p>
        </w:tc>
        <w:tc>
          <w:tcPr>
            <w:tcW w:type="dxa" w:w="5076"/>
          </w:tcPr>
          <w:p>
            <w:pPr>
              <w:pStyle w:val="null3"/>
              <w:jc w:val="left"/>
            </w:pPr>
            <w:r>
              <w:rPr/>
              <w:t>考察投标人同类业绩经验情况，根据投标人2021年1月1日以来（以合同签订时间为准）承担的同类项目业绩经验进行评审：合同内容包含网络安全突发事故处置、网络安全应急演练、渗透测试经验任一项的，视为有效同类业绩证明，每提供一个有效合同证明材料得1分，最高得8分。 注：需提供合同关键页扫描件【关键页内容包括但不限于合同首页、合同金额、服务内容、合同盖章】、中标通知书或转账记录或发票作为证明材料，证明材料不全（或者未提供）的业绩不予认可。</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30"/>
          <w:b/>
        </w:rPr>
        <w:t>广东省政府采购</w:t>
      </w:r>
    </w:p>
    <w:p>
      <w:pPr>
        <w:pStyle w:val="null3"/>
        <w:jc w:val="center"/>
      </w:pPr>
      <w:r>
        <w:rPr>
          <w:sz w:val="48"/>
          <w:b/>
        </w:rPr>
        <w:t>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w:t>
      </w:r>
      <w:r>
        <w:rPr>
          <w:sz w:val="21"/>
          <w:b/>
        </w:rPr>
        <w:t xml:space="preserve">       </w:t>
      </w:r>
      <w:r>
        <w:rPr>
          <w:sz w:val="21"/>
          <w:b/>
        </w:rPr>
        <w:t>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w:t>
      </w:r>
      <w:r>
        <w:rPr>
          <w:sz w:val="21"/>
          <w:b/>
        </w:rPr>
        <w:t xml:space="preserve">       </w:t>
      </w:r>
      <w:r>
        <w:rPr>
          <w:sz w:val="21"/>
          <w:b/>
        </w:rPr>
        <w:t>服务范围</w:t>
      </w:r>
    </w:p>
    <w:p>
      <w:pPr>
        <w:pStyle w:val="null3"/>
        <w:ind w:firstLine="420"/>
        <w:jc w:val="both"/>
      </w:pPr>
      <w:r>
        <w:rPr>
          <w:sz w:val="21"/>
        </w:rPr>
        <w:t>　　甲方聘请乙方提供以下服务：</w:t>
      </w:r>
    </w:p>
    <w:p>
      <w:pPr>
        <w:pStyle w:val="null3"/>
        <w:ind w:firstLine="420"/>
        <w:jc w:val="both"/>
      </w:pPr>
      <w:r>
        <w:rPr>
          <w:sz w:val="21"/>
        </w:rPr>
        <w:t>　　</w:t>
      </w:r>
      <w:r>
        <w:rPr>
          <w:sz w:val="21"/>
        </w:rPr>
        <w:t>1</w:t>
      </w:r>
      <w:r>
        <w:rPr>
          <w:sz w:val="21"/>
        </w:rPr>
        <w:t>．</w:t>
      </w:r>
      <w:r>
        <w:rPr>
          <w:sz w:val="21"/>
          <w:u w:val="single"/>
        </w:rPr>
        <w:t>　　　　　　　　　　　</w:t>
      </w:r>
      <w:r>
        <w:rPr>
          <w:sz w:val="21"/>
        </w:rPr>
        <w:t>。</w:t>
      </w:r>
    </w:p>
    <w:p>
      <w:pPr>
        <w:pStyle w:val="null3"/>
        <w:ind w:firstLine="420"/>
        <w:jc w:val="both"/>
      </w:pPr>
      <w:r>
        <w:rPr>
          <w:sz w:val="21"/>
        </w:rPr>
        <w:t>　　</w:t>
      </w:r>
      <w:r>
        <w:rPr>
          <w:sz w:val="21"/>
        </w:rPr>
        <w:t>2</w:t>
      </w:r>
      <w:r>
        <w:rPr>
          <w:sz w:val="21"/>
        </w:rPr>
        <w:t>．</w:t>
      </w:r>
      <w:r>
        <w:rPr>
          <w:sz w:val="21"/>
          <w:u w:val="single"/>
        </w:rPr>
        <w:t>　　　　　　　　　　　</w:t>
      </w:r>
    </w:p>
    <w:p>
      <w:pPr>
        <w:pStyle w:val="null3"/>
        <w:ind w:firstLine="420"/>
        <w:jc w:val="both"/>
      </w:pPr>
      <w:r>
        <w:rPr>
          <w:sz w:val="21"/>
        </w:rPr>
        <w:t>……</w:t>
      </w:r>
    </w:p>
    <w:p>
      <w:pPr>
        <w:pStyle w:val="null3"/>
        <w:ind w:left="855"/>
        <w:jc w:val="both"/>
      </w:pPr>
      <w:r>
        <w:rPr>
          <w:sz w:val="21"/>
          <w:b/>
        </w:rPr>
        <w:t>三、</w:t>
      </w:r>
      <w:r>
        <w:rPr>
          <w:sz w:val="21"/>
          <w:b/>
        </w:rPr>
        <w:t xml:space="preserve">       </w:t>
      </w:r>
      <w:r>
        <w:rPr>
          <w:sz w:val="21"/>
          <w:b/>
        </w:rPr>
        <w:t>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w:t>
      </w:r>
      <w:r>
        <w:rPr>
          <w:sz w:val="21"/>
          <w:b/>
        </w:rPr>
        <w:t xml:space="preserve">       </w:t>
      </w:r>
      <w:r>
        <w:rPr>
          <w:sz w:val="21"/>
          <w:b/>
        </w:rPr>
        <w:t>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ind w:left="855"/>
        <w:jc w:val="both"/>
      </w:pPr>
      <w:r>
        <w:rPr>
          <w:sz w:val="21"/>
          <w:b/>
        </w:rPr>
        <w:t>五、</w:t>
      </w:r>
      <w:r>
        <w:rPr>
          <w:sz w:val="21"/>
          <w:b/>
        </w:rPr>
        <w:t xml:space="preserve">       </w:t>
      </w:r>
      <w:r>
        <w:rPr>
          <w:sz w:val="21"/>
          <w:b/>
        </w:rPr>
        <w:t>付款方式</w:t>
      </w:r>
    </w:p>
    <w:p>
      <w:pPr>
        <w:pStyle w:val="null3"/>
        <w:ind w:left="855"/>
        <w:jc w:val="both"/>
      </w:pPr>
      <w:r>
        <w:rPr>
          <w:sz w:val="21"/>
        </w:rPr>
        <w:t xml:space="preserve">              </w:t>
      </w:r>
      <w:r>
        <w:rPr>
          <w:sz w:val="21"/>
        </w:rPr>
        <w:t>由甲方按用户需求所列程序付款：</w:t>
      </w:r>
    </w:p>
    <w:p>
      <w:pPr>
        <w:pStyle w:val="null3"/>
        <w:jc w:val="left"/>
      </w:pPr>
      <w:r>
        <w:rPr>
          <w:sz w:val="21"/>
        </w:rPr>
        <w:t xml:space="preserve">1.      </w:t>
      </w:r>
      <w:r>
        <w:rPr>
          <w:sz w:val="21"/>
        </w:rPr>
        <w:t>本合同签署生效后</w:t>
      </w:r>
      <w:r>
        <w:rPr>
          <w:sz w:val="21"/>
        </w:rPr>
        <w:t>15</w:t>
      </w:r>
      <w:r>
        <w:rPr>
          <w:sz w:val="21"/>
        </w:rPr>
        <w:t>个工作日内，乙方书面提出支付申请函及与拟支付金额等额的符合甲方财务管理要求的相应发票，甲方确认后启动首期款支付流程，占合同总金额的</w:t>
      </w:r>
      <w:r>
        <w:rPr>
          <w:sz w:val="21"/>
        </w:rPr>
        <w:t>30%</w:t>
      </w:r>
      <w:r>
        <w:rPr>
          <w:sz w:val="21"/>
        </w:rPr>
        <w:t>。</w:t>
      </w:r>
      <w:r>
        <w:rPr>
          <w:sz w:val="21"/>
        </w:rPr>
        <w:t>（以最后成交价计算，但不超过本项目当年预算）</w:t>
      </w:r>
    </w:p>
    <w:p>
      <w:pPr>
        <w:pStyle w:val="null3"/>
        <w:jc w:val="left"/>
      </w:pPr>
      <w:r>
        <w:rPr>
          <w:sz w:val="21"/>
        </w:rPr>
        <w:t xml:space="preserve">2.      </w:t>
      </w:r>
      <w:r>
        <w:rPr>
          <w:sz w:val="21"/>
        </w:rPr>
        <w:t>项目通过阶段性验收后</w:t>
      </w:r>
      <w:r>
        <w:rPr>
          <w:sz w:val="21"/>
        </w:rPr>
        <w:t>15</w:t>
      </w:r>
      <w:r>
        <w:rPr>
          <w:sz w:val="21"/>
        </w:rPr>
        <w:t>个工作日内，乙方书面提出支付申请函及与拟支付金额等额的符合甲方财务管理要求的相应发票，甲方确认后启动进度款支付流程，占合同总金额的</w:t>
      </w:r>
      <w:r>
        <w:rPr>
          <w:sz w:val="21"/>
        </w:rPr>
        <w:t>40%</w:t>
      </w:r>
      <w:r>
        <w:rPr>
          <w:sz w:val="21"/>
        </w:rPr>
        <w:t>。</w:t>
      </w:r>
      <w:r>
        <w:rPr>
          <w:sz w:val="21"/>
        </w:rPr>
        <w:t>（以最后成交价计算，但不超过本项目当年预算）</w:t>
      </w:r>
    </w:p>
    <w:p>
      <w:pPr>
        <w:pStyle w:val="null3"/>
        <w:jc w:val="left"/>
      </w:pPr>
      <w:r>
        <w:rPr>
          <w:sz w:val="21"/>
        </w:rPr>
        <w:t xml:space="preserve">3.      </w:t>
      </w:r>
      <w:r>
        <w:rPr>
          <w:sz w:val="21"/>
        </w:rPr>
        <w:t>项目通过终验后</w:t>
      </w:r>
      <w:r>
        <w:rPr>
          <w:sz w:val="21"/>
        </w:rPr>
        <w:t>15</w:t>
      </w:r>
      <w:r>
        <w:rPr>
          <w:sz w:val="21"/>
        </w:rPr>
        <w:t>个工作日内，乙方书面提出支付申请函及与拟支付金额等额的符合甲方财务管理要求的相应发票，甲方确认后启动尾款支付流程，占合同总金额的</w:t>
      </w:r>
      <w:r>
        <w:rPr>
          <w:sz w:val="21"/>
        </w:rPr>
        <w:t>30%</w:t>
      </w:r>
      <w:r>
        <w:rPr>
          <w:sz w:val="21"/>
        </w:rPr>
        <w:t>。</w:t>
      </w:r>
      <w:r>
        <w:rPr>
          <w:sz w:val="21"/>
        </w:rPr>
        <w:t>（以最后成交价计算，但不超过本项目当年预算）</w:t>
      </w:r>
    </w:p>
    <w:p>
      <w:pPr>
        <w:pStyle w:val="null3"/>
        <w:ind w:left="855"/>
        <w:jc w:val="both"/>
      </w:pPr>
      <w:r>
        <w:rPr>
          <w:sz w:val="21"/>
        </w:rPr>
        <w:t xml:space="preserve">4.      </w:t>
      </w:r>
      <w:r>
        <w:rPr>
          <w:sz w:val="21"/>
        </w:rPr>
        <w:t>对于满足合同约定支付条件的，甲方应当自收到发票后在十个工作日内将资金支付到合同约定的乙方账户，不得以机构变动、人员更替、政策调整等为由延迟付款，不得将采购文件和合同中未规定的义务作为向乙方付款的条件。</w:t>
      </w:r>
    </w:p>
    <w:p>
      <w:pPr>
        <w:pStyle w:val="null3"/>
        <w:ind w:left="855"/>
        <w:jc w:val="both"/>
      </w:pPr>
      <w:r>
        <w:rPr>
          <w:sz w:val="21"/>
          <w:b/>
        </w:rPr>
        <w:t>六、</w:t>
      </w:r>
      <w:r>
        <w:rPr>
          <w:sz w:val="21"/>
          <w:b/>
        </w:rPr>
        <w:t xml:space="preserve">       </w:t>
      </w:r>
      <w:r>
        <w:rPr>
          <w:sz w:val="21"/>
          <w:b/>
        </w:rPr>
        <w:t>知识产权归属</w:t>
      </w:r>
    </w:p>
    <w:p>
      <w:pPr>
        <w:pStyle w:val="null3"/>
        <w:ind w:left="855"/>
        <w:jc w:val="both"/>
      </w:pPr>
      <w:r>
        <w:rPr>
          <w:sz w:val="21"/>
          <w:b/>
        </w:rPr>
        <w:t>七、</w:t>
      </w:r>
      <w:r>
        <w:rPr>
          <w:sz w:val="21"/>
          <w:b/>
        </w:rPr>
        <w:t xml:space="preserve">       </w:t>
      </w:r>
      <w:r>
        <w:rPr>
          <w:sz w:val="21"/>
          <w:b/>
        </w:rPr>
        <w:t>保密</w:t>
      </w:r>
    </w:p>
    <w:p>
      <w:pPr>
        <w:pStyle w:val="null3"/>
        <w:ind w:left="855"/>
        <w:jc w:val="both"/>
      </w:pPr>
      <w:r>
        <w:rPr>
          <w:sz w:val="21"/>
        </w:rPr>
        <w:t xml:space="preserve">1.            </w:t>
      </w:r>
      <w:r>
        <w:rPr>
          <w:sz w:val="21"/>
        </w:rPr>
        <w:t>乙方对其因身份、职务、职业或技术关系而知悉的甲方商业秘密和党政机关保密信息应严格保守，保证不被披露或使用，包括意外或过失。</w:t>
      </w:r>
    </w:p>
    <w:p>
      <w:pPr>
        <w:pStyle w:val="null3"/>
        <w:ind w:left="855"/>
        <w:jc w:val="both"/>
      </w:pPr>
      <w:r>
        <w:rPr>
          <w:sz w:val="21"/>
        </w:rPr>
        <w:t xml:space="preserve">2.            </w:t>
      </w:r>
      <w:r>
        <w:rPr>
          <w:sz w:val="21"/>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855"/>
        <w:jc w:val="both"/>
      </w:pPr>
      <w:r>
        <w:rPr>
          <w:sz w:val="21"/>
        </w:rPr>
        <w:t xml:space="preserve">3.            </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855"/>
        <w:jc w:val="both"/>
      </w:pPr>
      <w:r>
        <w:rPr>
          <w:sz w:val="21"/>
        </w:rPr>
        <w:t xml:space="preserve">4.            </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855"/>
        <w:jc w:val="both"/>
      </w:pPr>
      <w:r>
        <w:rPr>
          <w:sz w:val="21"/>
        </w:rPr>
        <w:t xml:space="preserve">5.            </w:t>
      </w:r>
      <w:r>
        <w:rPr>
          <w:sz w:val="21"/>
        </w:rPr>
        <w:t>严禁泄露在工作中接触到的政府机关科技研究、发明、装备器材及其技术资料和政府工作信息。</w:t>
      </w:r>
    </w:p>
    <w:p>
      <w:pPr>
        <w:pStyle w:val="null3"/>
        <w:ind w:left="855"/>
        <w:jc w:val="both"/>
      </w:pPr>
      <w:r>
        <w:rPr>
          <w:sz w:val="21"/>
        </w:rPr>
        <w:t xml:space="preserve">6.            </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855"/>
        <w:jc w:val="both"/>
      </w:pPr>
      <w:r>
        <w:rPr>
          <w:sz w:val="21"/>
        </w:rPr>
        <w:t xml:space="preserve">7.            </w:t>
      </w:r>
      <w:r>
        <w:rPr>
          <w:sz w:val="21"/>
        </w:rPr>
        <w:t>乙方的保密义务延及乙方聘用的员工、工作人员，如因其员工、工作人员导致本合同保密义务的违反或商业秘密的泄露，由乙方承担全部违约责任。</w:t>
      </w:r>
    </w:p>
    <w:p>
      <w:pPr>
        <w:pStyle w:val="null3"/>
        <w:ind w:left="855"/>
        <w:jc w:val="both"/>
      </w:pPr>
      <w:r>
        <w:rPr>
          <w:sz w:val="21"/>
        </w:rPr>
        <w:t xml:space="preserve">8.            </w:t>
      </w:r>
      <w:r>
        <w:rPr>
          <w:sz w:val="21"/>
        </w:rPr>
        <w:t>涉及政府机关项目的保密内容可根据政府机关意见，相应增加修改。</w:t>
      </w:r>
    </w:p>
    <w:p>
      <w:pPr>
        <w:pStyle w:val="null3"/>
        <w:ind w:left="855"/>
        <w:jc w:val="both"/>
      </w:pPr>
      <w:r>
        <w:rPr>
          <w:sz w:val="21"/>
          <w:b/>
        </w:rPr>
        <w:t>八、</w:t>
      </w:r>
      <w:r>
        <w:rPr>
          <w:sz w:val="21"/>
          <w:b/>
        </w:rPr>
        <w:t xml:space="preserve">       </w:t>
      </w:r>
      <w:r>
        <w:rPr>
          <w:sz w:val="21"/>
          <w:b/>
        </w:rPr>
        <w:t>违约责任与赔偿损失</w:t>
      </w:r>
    </w:p>
    <w:p>
      <w:pPr>
        <w:pStyle w:val="null3"/>
        <w:ind w:left="855"/>
        <w:jc w:val="both"/>
      </w:pPr>
      <w:r>
        <w:rPr>
          <w:sz w:val="21"/>
        </w:rPr>
        <w:t xml:space="preserve">1.            </w:t>
      </w:r>
      <w:r>
        <w:rPr>
          <w:sz w:val="21"/>
        </w:rPr>
        <w:t>乙方提供的服务不符合本合同规定和甲方要求的，甲方有权拒收，并且乙方须退还已收取的款项并向甲方支付本合同总价</w:t>
      </w:r>
      <w:r>
        <w:rPr>
          <w:sz w:val="21"/>
        </w:rPr>
        <w:t>5%</w:t>
      </w:r>
      <w:r>
        <w:rPr>
          <w:sz w:val="21"/>
        </w:rPr>
        <w:t>的违约金，赔偿甲方损失（包括但不限于律师费、案件受理费、财产保全费、维权交通食宿费、鉴定费、评估费、公证费、财产保全担保费、执行费等费用）。</w:t>
      </w:r>
    </w:p>
    <w:p>
      <w:pPr>
        <w:pStyle w:val="null3"/>
        <w:ind w:left="855"/>
        <w:jc w:val="both"/>
      </w:pPr>
      <w:r>
        <w:rPr>
          <w:sz w:val="21"/>
        </w:rPr>
        <w:t xml:space="preserve">2.            </w:t>
      </w:r>
      <w:r>
        <w:rPr>
          <w:sz w:val="21"/>
        </w:rPr>
        <w:t>乙方未能按本合同规定的交货时间提供服务，从逾期之日起每日按本合同总价</w:t>
      </w:r>
      <w:r>
        <w:rPr>
          <w:sz w:val="21"/>
        </w:rPr>
        <w:t>0.3‰</w:t>
      </w:r>
      <w:r>
        <w:rPr>
          <w:sz w:val="21"/>
        </w:rPr>
        <w:t>的数额向甲方支付违约金；逾期达到</w:t>
      </w:r>
      <w:r>
        <w:rPr>
          <w:sz w:val="21"/>
        </w:rPr>
        <w:t>15</w:t>
      </w:r>
      <w:r>
        <w:rPr>
          <w:sz w:val="21"/>
        </w:rPr>
        <w:t>日以上（含</w:t>
      </w:r>
      <w:r>
        <w:rPr>
          <w:sz w:val="21"/>
        </w:rPr>
        <w:t>15</w:t>
      </w:r>
      <w:r>
        <w:rPr>
          <w:sz w:val="21"/>
        </w:rPr>
        <w:t>日）的，视为乙方根本违约，甲方有权终止合同，乙方须向甲方支付本合同总价【</w:t>
      </w:r>
      <w:r>
        <w:rPr>
          <w:sz w:val="21"/>
        </w:rPr>
        <w:t xml:space="preserve">   </w:t>
      </w:r>
      <w:r>
        <w:rPr>
          <w:sz w:val="21"/>
        </w:rPr>
        <w:t>】</w:t>
      </w:r>
      <w:r>
        <w:rPr>
          <w:sz w:val="21"/>
        </w:rPr>
        <w:t>%</w:t>
      </w:r>
      <w:r>
        <w:rPr>
          <w:sz w:val="21"/>
        </w:rPr>
        <w:t>的违约金，由此造成的甲方经济损失全部由乙方承担（包括但不限于律师费、案件受理费、财产保全费、维权交通食宿费、鉴定费、评估费、公证费、财产保全担保费、执行费等费用）。</w:t>
      </w:r>
    </w:p>
    <w:p>
      <w:pPr>
        <w:pStyle w:val="null3"/>
        <w:ind w:left="855"/>
        <w:jc w:val="both"/>
      </w:pPr>
      <w:r>
        <w:rPr>
          <w:sz w:val="21"/>
        </w:rPr>
        <w:t>3.</w:t>
      </w:r>
      <w:r>
        <w:rPr>
          <w:sz w:val="21"/>
        </w:rPr>
        <w:t xml:space="preserve">               </w:t>
      </w:r>
      <w:r>
        <w:rPr>
          <w:sz w:val="21"/>
        </w:rPr>
        <w:t>若乙方将本项目转包，或将中标项目肢解后分别向其他企业或个人转让，视为乙方违约，</w:t>
      </w:r>
      <w:r>
        <w:rPr>
          <w:sz w:val="21"/>
        </w:rPr>
        <w:t>乙方须向甲方支付本合同总额的</w:t>
      </w:r>
      <w:r>
        <w:rPr>
          <w:sz w:val="21"/>
        </w:rPr>
        <w:t>5%</w:t>
      </w:r>
      <w:r>
        <w:rPr>
          <w:sz w:val="21"/>
        </w:rPr>
        <w:t>的违约金。甲方有权单方面解除合同且不须承担任何违约责任。</w:t>
      </w:r>
    </w:p>
    <w:p>
      <w:pPr>
        <w:pStyle w:val="null3"/>
        <w:ind w:left="855"/>
        <w:jc w:val="both"/>
      </w:pPr>
      <w:r>
        <w:rPr>
          <w:sz w:val="21"/>
        </w:rPr>
        <w:t xml:space="preserve">4.            </w:t>
      </w:r>
      <w:r>
        <w:rPr>
          <w:sz w:val="21"/>
        </w:rPr>
        <w:t>甲方无正当理由拒绝接受服务，经乙方书面通知仍拒绝接受的，到期拒付服务款项的，甲方向乙方偿付本合同总额的</w:t>
      </w:r>
      <w:r>
        <w:rPr>
          <w:sz w:val="21"/>
        </w:rPr>
        <w:t>5%</w:t>
      </w:r>
      <w:r>
        <w:rPr>
          <w:sz w:val="21"/>
        </w:rPr>
        <w:t>的违约金。甲方无正当理由且乙方不存在违约的前提下逾期付款，经乙方书面通知仍逾期支付的，则在收到乙方通知之日起每日按本合同总价的</w:t>
      </w:r>
      <w:r>
        <w:rPr>
          <w:sz w:val="21"/>
        </w:rPr>
        <w:t>0.3‰</w:t>
      </w:r>
      <w:r>
        <w:rPr>
          <w:sz w:val="21"/>
        </w:rPr>
        <w:t>向乙方偿付违约金。</w:t>
      </w:r>
    </w:p>
    <w:p>
      <w:pPr>
        <w:pStyle w:val="null3"/>
        <w:ind w:left="855"/>
        <w:jc w:val="both"/>
      </w:pPr>
      <w:r>
        <w:rPr>
          <w:sz w:val="21"/>
        </w:rPr>
        <w:t xml:space="preserve">5.            </w:t>
      </w:r>
      <w:r>
        <w:rPr>
          <w:sz w:val="21"/>
        </w:rPr>
        <w:t>其它违约责任按《中华人民共和国民法典》处理。</w:t>
      </w:r>
    </w:p>
    <w:p>
      <w:pPr>
        <w:pStyle w:val="null3"/>
        <w:jc w:val="both"/>
      </w:pPr>
      <w:r>
        <w:rPr>
          <w:sz w:val="21"/>
          <w:b/>
        </w:rPr>
        <w:t>九、</w:t>
      </w:r>
      <w:r>
        <w:rPr>
          <w:sz w:val="21"/>
          <w:b/>
        </w:rPr>
        <w:t xml:space="preserve">       </w:t>
      </w:r>
      <w:r>
        <w:rPr>
          <w:sz w:val="21"/>
          <w:b/>
        </w:rPr>
        <w:t>争议的解决</w:t>
      </w:r>
    </w:p>
    <w:p>
      <w:pPr>
        <w:pStyle w:val="null3"/>
        <w:ind w:left="855"/>
        <w:jc w:val="both"/>
      </w:pPr>
      <w:r>
        <w:rPr>
          <w:sz w:val="21"/>
        </w:rPr>
        <w:t xml:space="preserve">1.            </w:t>
      </w:r>
      <w:r>
        <w:rPr>
          <w:sz w:val="21"/>
        </w:rPr>
        <w:t>合同执行过程中发生的任何争议，如双方不能通过友好协商解决，双方均同意向甲方所在地人民法院提起诉讼。</w:t>
      </w:r>
    </w:p>
    <w:p>
      <w:pPr>
        <w:pStyle w:val="null3"/>
        <w:ind w:left="855"/>
        <w:jc w:val="both"/>
      </w:pPr>
      <w:r>
        <w:rPr>
          <w:sz w:val="21"/>
          <w:b/>
        </w:rPr>
        <w:t>十、</w:t>
      </w:r>
      <w:r>
        <w:rPr>
          <w:sz w:val="21"/>
          <w:b/>
        </w:rPr>
        <w:t xml:space="preserve">       </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w:t>
      </w:r>
      <w:r>
        <w:rPr>
          <w:sz w:val="21"/>
          <w:b/>
        </w:rPr>
        <w:t xml:space="preserve">   </w:t>
      </w:r>
      <w:r>
        <w:rPr>
          <w:sz w:val="21"/>
          <w:b/>
        </w:rPr>
        <w:t>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w:t>
      </w:r>
      <w:r>
        <w:rPr>
          <w:sz w:val="21"/>
        </w:rPr>
        <w:t>__</w:t>
      </w:r>
      <w:r>
        <w:rPr>
          <w:sz w:val="21"/>
        </w:rPr>
        <w:t>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440001-2024-45393</w:t>
      </w:r>
    </w:p>
    <w:p>
      <w:pPr>
        <w:pStyle w:val="null3"/>
        <w:jc w:val="center"/>
        <w:outlineLvl w:val="3"/>
      </w:pPr>
      <w:r>
        <w:rPr>
          <w:sz w:val="24"/>
          <w:b/>
        </w:rPr>
        <w:t>采购项目编号：</w:t>
      </w:r>
      <w:r>
        <w:rPr>
          <w:sz w:val="24"/>
          <w:b/>
        </w:rPr>
        <w:t>GPCGD243104FG205F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广东省碳排放监测智慧云平台网络安全运营服务项目</w:t>
      </w:r>
      <w:r>
        <w:rPr>
          <w:u w:val="single"/>
        </w:rPr>
        <w:t>”</w:t>
      </w:r>
      <w:r>
        <w:rPr/>
        <w:t>项目的招标[采购项目编号为：</w:t>
      </w:r>
      <w:r>
        <w:rPr>
          <w:u w:val="single"/>
        </w:rPr>
        <w:t>GPCGD243104FG205F</w:t>
      </w:r>
      <w:r>
        <w:rPr/>
        <w:t>]，我方愿参与投标。</w:t>
      </w:r>
    </w:p>
    <w:p>
      <w:pPr>
        <w:pStyle w:val="null3"/>
        <w:ind w:firstLine="480"/>
      </w:pPr>
      <w:r>
        <w:rPr/>
        <w:t>我方确认收到贵方提供的</w:t>
      </w:r>
      <w:r>
        <w:rPr>
          <w:u w:val="single"/>
        </w:rPr>
        <w:t>“</w:t>
      </w:r>
      <w:r>
        <w:rPr>
          <w:u w:val="single"/>
        </w:rPr>
        <w:t>广东省碳排放监测智慧云平台网络安全运营服务项目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广东省碳排放监测智慧云平台网络安全运营服务项目</w:t>
      </w:r>
      <w:r>
        <w:rPr/>
        <w:t>”项目采购[采购项目编号为</w:t>
      </w:r>
      <w:r>
        <w:rPr/>
        <w:t>GPCGD243104FG205F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广东省碳排放监测智慧云平台网络安全运营服务项目</w:t>
      </w:r>
      <w:r>
        <w:rPr/>
        <w:t>招标中获中标（采购项目编号：</w:t>
      </w:r>
      <w:r>
        <w:rPr/>
        <w:t>GPCGD243104FG205F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广东省碳排放监测智慧云平台网络安全运营服务项目</w:t>
      </w:r>
      <w:r>
        <w:rPr/>
        <w:t>”项目（采购项目编号：</w:t>
      </w:r>
      <w:r>
        <w:rPr/>
        <w:t>GPCGD243104FG205F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