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440001-2024-45399</w:t>
      </w:r>
    </w:p>
    <w:p>
      <w:pPr>
        <w:pStyle w:val="null3"/>
        <w:jc w:val="center"/>
        <w:outlineLvl w:val="3"/>
      </w:pPr>
      <w:r>
        <w:rPr>
          <w:sz w:val="24"/>
          <w:b/>
        </w:rPr>
        <w:t>采购项目编号：</w:t>
      </w:r>
      <w:r>
        <w:rPr>
          <w:sz w:val="24"/>
          <w:b/>
        </w:rPr>
        <w:t>GPCGD243174FG158F</w:t>
      </w:r>
    </w:p>
    <w:p>
      <w:pPr>
        <w:pStyle w:val="null3"/>
        <w:jc w:val="center"/>
        <w:outlineLvl w:val="3"/>
      </w:pPr>
      <w:r>
        <w:rPr>
          <w:sz w:val="24"/>
          <w:b/>
        </w:rPr>
        <w:t>项目名称：</w:t>
      </w:r>
      <w:r>
        <w:rPr>
          <w:sz w:val="24"/>
          <w:b/>
        </w:rPr>
        <w:t>广东医科大学附属医院2024年集成平台及数据中心运维服务项目</w:t>
      </w:r>
    </w:p>
    <w:p>
      <w:pPr>
        <w:pStyle w:val="null3"/>
        <w:jc w:val="center"/>
        <w:outlineLvl w:val="3"/>
      </w:pPr>
      <w:r>
        <w:rPr>
          <w:sz w:val="24"/>
          <w:b/>
        </w:rPr>
        <w:t>采购人：</w:t>
      </w:r>
      <w:r>
        <w:rPr>
          <w:sz w:val="24"/>
          <w:b/>
        </w:rPr>
        <w:t>广东医科大学附属医院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广东医科大学附属医院</w:t>
      </w:r>
      <w:r>
        <w:rPr/>
        <w:t>的委托，采用</w:t>
      </w:r>
      <w:r>
        <w:rPr/>
        <w:t>公开招标</w:t>
      </w:r>
      <w:r>
        <w:rPr/>
        <w:t>方式组织采购</w:t>
      </w:r>
      <w:r>
        <w:rPr/>
        <w:t>广东医科大学附属医院2024年集成平台及数据中心运维服务项目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广东医科大学附属医院2024年集成平台及数据中心运维服务项目</w:t>
      </w:r>
    </w:p>
    <w:p>
      <w:pPr>
        <w:pStyle w:val="null3"/>
        <w:ind w:firstLine="480"/>
      </w:pPr>
      <w:r>
        <w:rPr/>
        <w:t>采购计划编号：</w:t>
      </w:r>
      <w:r>
        <w:rPr/>
        <w:t>440001-2024-45399</w:t>
      </w:r>
    </w:p>
    <w:p>
      <w:pPr>
        <w:pStyle w:val="null3"/>
        <w:ind w:firstLine="480"/>
      </w:pPr>
      <w:r>
        <w:rPr/>
        <w:t>采购项目编号：</w:t>
      </w:r>
      <w:r>
        <w:rPr/>
        <w:t>GPCGD243174FG158F</w:t>
      </w:r>
    </w:p>
    <w:p>
      <w:pPr>
        <w:pStyle w:val="null3"/>
        <w:ind w:firstLine="480"/>
      </w:pPr>
      <w:r>
        <w:rPr/>
        <w:t>采购方式：</w:t>
      </w:r>
      <w:r>
        <w:rPr/>
        <w:t>公开招标</w:t>
      </w:r>
    </w:p>
    <w:p>
      <w:pPr>
        <w:pStyle w:val="null3"/>
        <w:ind w:firstLine="480"/>
      </w:pPr>
      <w:r>
        <w:rPr/>
        <w:t>预算金额：</w:t>
      </w:r>
      <w:r>
        <w:rPr/>
        <w:t>700,000.00</w:t>
      </w:r>
      <w:r>
        <w:rPr/>
        <w:t>元</w:t>
      </w:r>
    </w:p>
    <w:p>
      <w:pPr>
        <w:pStyle w:val="null3"/>
        <w:outlineLvl w:val="3"/>
      </w:pPr>
      <w:r>
        <w:rPr>
          <w:sz w:val="24"/>
          <w:b/>
        </w:rPr>
        <w:t>2.项目内容及需求情况（采购项目技术规格、参数及要求）</w:t>
      </w:r>
    </w:p>
    <w:p>
      <w:pPr>
        <w:pStyle w:val="null3"/>
      </w:pPr>
      <w:r>
        <w:rPr/>
        <w:t>采购包1(2024年集成平台及数据中心运维服务):</w:t>
      </w:r>
    </w:p>
    <w:p>
      <w:pPr>
        <w:pStyle w:val="null3"/>
      </w:pPr>
      <w:r>
        <w:rPr/>
        <w:t>采购包预算金额：700,000.00元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软件运维服务</w:t>
            </w:r>
          </w:p>
        </w:tc>
        <w:tc>
          <w:tcPr>
            <w:tcW w:type="dxa" w:w="2136"/>
          </w:tcPr>
          <w:p>
            <w:pPr>
              <w:pStyle w:val="null3"/>
            </w:pPr>
            <w:r>
              <w:rPr/>
              <w:t>集成平台及数据中心运维服务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合同履行期限：服务有效期为1年,自合同签订起生效。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3）具有良好的商业信誉和健全的财务会计制度：具有良好的商业信誉和健全的财务会计制度：（提供以下2种证明材料之一：：1. 2023年度经会计师事务所审计的财务状况报告；2. 同时提供①基本开户行出具的资信证明，②《基本存款账号信息》或《开户许可证》）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采购包1（2024年集成平台及数据中心运维服务）：</w:t>
      </w:r>
    </w:p>
    <w:p>
      <w:pPr>
        <w:pStyle w:val="null3"/>
        <w:outlineLvl w:val="3"/>
      </w:pPr>
      <w:r>
        <w:rPr>
          <w:sz w:val="24"/>
          <w:b/>
        </w:rPr>
        <w:t>3.本项目特定的资格要求：</w:t>
      </w:r>
    </w:p>
    <w:p>
      <w:pPr>
        <w:pStyle w:val="null3"/>
      </w:pPr>
      <w:r>
        <w:rPr/>
        <w:t>采购包1（2024年集成平台及数据中心运维服务）：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广东医科大学附属医院</w:t>
      </w:r>
    </w:p>
    <w:p>
      <w:pPr>
        <w:pStyle w:val="null3"/>
        <w:ind w:firstLine="480"/>
      </w:pPr>
      <w:r>
        <w:rPr/>
        <w:t xml:space="preserve"> 地址：</w:t>
      </w:r>
      <w:r>
        <w:rPr/>
        <w:t>人民大道南57号</w:t>
      </w:r>
    </w:p>
    <w:p>
      <w:pPr>
        <w:pStyle w:val="null3"/>
        <w:ind w:firstLine="480"/>
      </w:pPr>
      <w:r>
        <w:rPr/>
        <w:t xml:space="preserve"> 联系方式：</w:t>
      </w:r>
      <w:r>
        <w:rPr/>
        <w:t>0759-2369618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一、采购</w:t>
      </w:r>
      <w:r>
        <w:rPr>
          <w:sz w:val="21"/>
        </w:rPr>
        <w:t>项目</w:t>
      </w:r>
      <w:r>
        <w:rPr>
          <w:sz w:val="21"/>
        </w:rPr>
        <w:t>编号：GPCGD243174FG158F</w:t>
      </w:r>
    </w:p>
    <w:p>
      <w:pPr>
        <w:pStyle w:val="null3"/>
        <w:ind w:firstLine="420"/>
        <w:jc w:val="both"/>
      </w:pPr>
      <w:r>
        <w:rPr>
          <w:sz w:val="21"/>
        </w:rPr>
        <w:t>二、采购项目名称：</w:t>
      </w:r>
      <w:r>
        <w:rPr>
          <w:sz w:val="21"/>
        </w:rPr>
        <w:t xml:space="preserve">广东医科大学附属医院2024年集成平台及数据中心运维服务项目  </w:t>
      </w:r>
    </w:p>
    <w:p>
      <w:pPr>
        <w:pStyle w:val="null3"/>
        <w:ind w:firstLine="420"/>
        <w:jc w:val="both"/>
      </w:pPr>
      <w:r>
        <w:rPr>
          <w:sz w:val="21"/>
        </w:rPr>
        <w:t>三、采购预算：70万元；</w:t>
      </w:r>
    </w:p>
    <w:p>
      <w:pPr>
        <w:pStyle w:val="null3"/>
        <w:ind w:firstLine="420"/>
        <w:jc w:val="both"/>
      </w:pPr>
      <w:r>
        <w:rPr>
          <w:sz w:val="21"/>
        </w:rPr>
        <w:t>四、</w:t>
      </w:r>
      <w:r>
        <w:rPr>
          <w:sz w:val="21"/>
        </w:rPr>
        <w:t>项目内容及需求：</w:t>
      </w:r>
    </w:p>
    <w:tbl>
      <w:tblPr>
        <w:tblW w:w="0" w:type="auto"/>
        <w:tblBorders>
          <w:top w:val="single"/>
          <w:left w:val="single"/>
          <w:bottom w:val="single"/>
          <w:right w:val="single"/>
          <w:insideH w:val="single"/>
          <w:insideV w:val="single"/>
        </w:tblBorders>
      </w:tblPr>
      <w:tblGrid>
        <w:gridCol w:w="848"/>
        <w:gridCol w:w="5933"/>
        <w:gridCol w:w="848"/>
        <w:gridCol w:w="678"/>
      </w:tblGrid>
      <w:tr>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序号</w:t>
            </w:r>
          </w:p>
        </w:tc>
        <w:tc>
          <w:tcPr>
            <w:tcW w:type="dxa" w:w="59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系统名称</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备注</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集成平台及数据中心运维服务</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集成平台及数据中心等保测评安全整改</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bl>
    <w:p>
      <w:pPr>
        <w:pStyle w:val="null3"/>
        <w:ind w:firstLine="525"/>
        <w:jc w:val="both"/>
      </w:pPr>
      <w:r>
        <w:rPr>
          <w:sz w:val="21"/>
        </w:rPr>
        <w:t>合</w:t>
      </w:r>
      <w:r>
        <w:rPr>
          <w:sz w:val="21"/>
        </w:rPr>
        <w:t>同履行期限：服务期为1年,自合同签订起生效。</w:t>
      </w:r>
    </w:p>
    <w:p>
      <w:pPr>
        <w:pStyle w:val="null3"/>
        <w:ind w:firstLine="441"/>
        <w:jc w:val="both"/>
      </w:pPr>
      <w:r>
        <w:rPr>
          <w:sz w:val="21"/>
        </w:rPr>
        <w:t>本项目不专门面向中小企业采购。不接受联合体投标。</w:t>
      </w:r>
    </w:p>
    <w:p>
      <w:pPr>
        <w:pStyle w:val="null3"/>
        <w:ind w:firstLine="441"/>
        <w:jc w:val="both"/>
      </w:pPr>
      <w:r>
        <w:rPr>
          <w:sz w:val="21"/>
        </w:rPr>
        <w:t>需要落实的政府采购政策：《政府采购促进中小企业发展管理办法》（财库〔2020〕46号）、《关于政府采购支持监狱企业发展有关问题的通知》(财库〔2014〕68号)、《关于促进残疾人就业政府采购政策的通知》（财库〔2017〕141号)</w:t>
      </w:r>
      <w:r>
        <w:rPr>
          <w:sz w:val="21"/>
          <w:color w:val="333333"/>
          <w:shd w:fill="FFFFFF" w:val="clear"/>
        </w:rPr>
        <w:t>。《中小企业声明函》的填写要求见《广东省财政厅关于进一步规范政府采购活动中落实促进中小企业发展政策的通知》（粤财采购〔</w:t>
      </w:r>
      <w:r>
        <w:rPr>
          <w:sz w:val="21"/>
          <w:color w:val="333333"/>
          <w:shd w:fill="FFFFFF" w:val="clear"/>
        </w:rPr>
        <w:t>2024</w:t>
      </w:r>
      <w:r>
        <w:rPr>
          <w:sz w:val="21"/>
          <w:color w:val="333333"/>
          <w:shd w:fill="FFFFFF" w:val="clear"/>
        </w:rPr>
        <w:t>〕</w:t>
      </w:r>
      <w:r>
        <w:rPr>
          <w:sz w:val="21"/>
          <w:color w:val="333333"/>
          <w:shd w:fill="FFFFFF" w:val="clear"/>
        </w:rPr>
        <w:t>11</w:t>
      </w:r>
      <w:r>
        <w:rPr>
          <w:sz w:val="21"/>
          <w:color w:val="333333"/>
          <w:shd w:fill="FFFFFF" w:val="clear"/>
        </w:rPr>
        <w:t>号）的规定，供应商可登录</w:t>
      </w:r>
      <w:r>
        <w:rPr>
          <w:sz w:val="21"/>
          <w:color w:val="333333"/>
          <w:shd w:fill="FFFFFF" w:val="clear"/>
        </w:rPr>
        <w:t>https://gdgpo.czt.gd.gov.cn/freecms/site/guangdong/tz/info/2024/15000058.html</w:t>
      </w:r>
      <w:r>
        <w:rPr>
          <w:sz w:val="21"/>
          <w:color w:val="333333"/>
          <w:shd w:fill="FFFFFF" w:val="clear"/>
        </w:rPr>
        <w:t>查阅。</w:t>
      </w:r>
    </w:p>
    <w:p>
      <w:pPr>
        <w:pStyle w:val="null3"/>
        <w:ind w:firstLine="441"/>
        <w:jc w:val="both"/>
      </w:pPr>
      <w:r>
        <w:rPr>
          <w:sz w:val="21"/>
        </w:rPr>
        <w:t>本项目属于服务类项目，中小企业划分标准所属行业为：软件和信息技术服务业。</w:t>
      </w:r>
    </w:p>
    <w:p>
      <w:pPr>
        <w:pStyle w:val="null3"/>
        <w:jc w:val="center"/>
      </w:pPr>
      <w:r>
        <w:rPr>
          <w:sz w:val="28"/>
          <w:b/>
        </w:rPr>
        <w:t>　用户需求书</w:t>
      </w:r>
    </w:p>
    <w:p>
      <w:pPr>
        <w:pStyle w:val="null3"/>
        <w:jc w:val="both"/>
      </w:pPr>
      <w:r>
        <w:rPr>
          <w:sz w:val="21"/>
          <w:b/>
        </w:rPr>
        <w:t>项目内容及需求</w:t>
      </w:r>
    </w:p>
    <w:p>
      <w:pPr>
        <w:pStyle w:val="null3"/>
        <w:ind w:firstLine="420"/>
        <w:jc w:val="both"/>
      </w:pPr>
      <w:r>
        <w:rPr>
          <w:sz w:val="21"/>
        </w:rPr>
        <w:t>供应商须对本项目为单位的货物及服务进行整体响应，任何只对本项目其中一部分内容进行的响应都被视为无效响应。</w:t>
      </w:r>
    </w:p>
    <w:p>
      <w:pPr>
        <w:pStyle w:val="null3"/>
        <w:ind w:firstLine="420"/>
        <w:jc w:val="both"/>
      </w:pPr>
      <w:r>
        <w:rPr>
          <w:sz w:val="21"/>
        </w:rPr>
        <w:t>《用户需求书》中标注有“★”号的条款必须实质性响应，负偏离任一“★”号条款（不满足要求）将导致报价无效。</w:t>
      </w:r>
    </w:p>
    <w:p>
      <w:pPr>
        <w:pStyle w:val="null3"/>
        <w:ind w:firstLine="420"/>
        <w:jc w:val="both"/>
      </w:pPr>
      <w:r>
        <w:rPr>
          <w:sz w:val="21"/>
        </w:rPr>
        <w:t>《用户需求书》中标注有“▲”的为重要参数指标，投标人若有部分“▲”条款未响应或不满足，将导致其响应性评审扣分。</w:t>
      </w:r>
    </w:p>
    <w:p>
      <w:pPr>
        <w:pStyle w:val="null3"/>
        <w:jc w:val="both"/>
        <w:outlineLvl w:val="0"/>
      </w:pPr>
      <w:r>
        <w:rPr>
          <w:sz w:val="21"/>
          <w:b/>
        </w:rPr>
        <w:t>★本项目不允许分包，如供应商在投标/响应文件中未出现《分包协议意向书》，则视为未采取分包。</w:t>
      </w:r>
    </w:p>
    <w:p>
      <w:pPr>
        <w:pStyle w:val="null3"/>
        <w:jc w:val="left"/>
        <w:outlineLvl w:val="0"/>
      </w:pPr>
      <w:r>
        <w:rPr>
          <w:sz w:val="21"/>
          <w:b/>
        </w:rPr>
        <w:t>一. 采购内容及技术参数</w:t>
      </w:r>
    </w:p>
    <w:p>
      <w:pPr>
        <w:pStyle w:val="null3"/>
        <w:ind w:firstLine="420"/>
        <w:jc w:val="left"/>
      </w:pPr>
      <w:r>
        <w:rPr>
          <w:sz w:val="21"/>
        </w:rPr>
        <w:t>广东医科大学附属医院拟采购</w:t>
      </w:r>
      <w:r>
        <w:rPr>
          <w:sz w:val="24"/>
          <w:color w:val="000000"/>
        </w:rPr>
        <w:t>集成平台及数据中心运维服务及等保测评安全整改服务</w:t>
      </w:r>
      <w:r>
        <w:rPr>
          <w:sz w:val="21"/>
        </w:rPr>
        <w:t>，预算</w:t>
      </w:r>
      <w:r>
        <w:rPr>
          <w:sz w:val="21"/>
        </w:rPr>
        <w:t>70</w:t>
      </w:r>
      <w:r>
        <w:rPr>
          <w:sz w:val="21"/>
        </w:rPr>
        <w:t>万。具体采购内容如下：</w:t>
      </w:r>
    </w:p>
    <w:tbl>
      <w:tblPr>
        <w:tblW w:w="0" w:type="auto"/>
        <w:tblInd w:type="dxa" w:w="135"/>
        <w:tblBorders>
          <w:top w:val="single"/>
          <w:left w:val="single"/>
          <w:bottom w:val="single"/>
          <w:right w:val="single"/>
          <w:insideH w:val="single"/>
          <w:insideV w:val="single"/>
        </w:tblBorders>
      </w:tblPr>
      <w:tblGrid>
        <w:gridCol w:w="848"/>
        <w:gridCol w:w="5933"/>
        <w:gridCol w:w="848"/>
        <w:gridCol w:w="678"/>
      </w:tblGrid>
      <w:tr>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color w:val="000000"/>
              </w:rPr>
              <w:t>序号</w:t>
            </w:r>
          </w:p>
        </w:tc>
        <w:tc>
          <w:tcPr>
            <w:tcW w:type="dxa" w:w="59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系统名称</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数量</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b/>
                <w:color w:val="000000"/>
              </w:rPr>
              <w:t>备注</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集成平台及数据中心运维服务</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集成平台及数据中心等保测评安全整改</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bl>
    <w:p>
      <w:pPr>
        <w:pStyle w:val="null3"/>
        <w:ind w:firstLine="420"/>
        <w:jc w:val="left"/>
        <w:outlineLvl w:val="0"/>
      </w:pPr>
      <w:r>
        <w:rPr>
          <w:sz w:val="21"/>
          <w:b/>
        </w:rPr>
        <w:t>（一</w:t>
      </w:r>
      <w:r>
        <w:rPr>
          <w:sz w:val="21"/>
          <w:b/>
        </w:rPr>
        <w:t>）集成平台及数据中心运维服务内容</w:t>
      </w:r>
    </w:p>
    <w:p>
      <w:pPr>
        <w:pStyle w:val="null3"/>
        <w:ind w:firstLine="420"/>
        <w:jc w:val="left"/>
      </w:pPr>
      <w:r>
        <w:rPr>
          <w:sz w:val="21"/>
        </w:rPr>
        <w:t>1.</w:t>
      </w:r>
      <w:r>
        <w:rPr>
          <w:sz w:val="21"/>
        </w:rPr>
        <w:t>对集成平台及数据中心系统现有模块及接口的维护、优化、升级，故障处理及应急预案；对与集成平台与数据中心系统相关的政策需求及时响应。项目经理与业务部门充分沟通，对医院内部的业务流程进行优化和梳理。针对医院提出的问题，研发部门要快速响应并优先解决。</w:t>
      </w:r>
    </w:p>
    <w:p>
      <w:pPr>
        <w:pStyle w:val="null3"/>
        <w:ind w:left="420"/>
        <w:jc w:val="left"/>
      </w:pPr>
      <w:r>
        <w:rPr>
          <w:sz w:val="21"/>
        </w:rPr>
        <w:t>2.</w:t>
      </w:r>
      <w:r>
        <w:rPr>
          <w:sz w:val="21"/>
        </w:rPr>
        <w:t>接口服务</w:t>
      </w:r>
    </w:p>
    <w:p>
      <w:pPr>
        <w:pStyle w:val="null3"/>
        <w:ind w:firstLine="420"/>
        <w:jc w:val="left"/>
      </w:pPr>
      <w:r>
        <w:rPr>
          <w:sz w:val="21"/>
        </w:rPr>
        <w:t>医院各应用系统调用平台已建接口服务、所有政策性接口服务、经医院及监理方评估工作量不超过15个工作日的新建接口均不能另外收费。</w:t>
      </w:r>
    </w:p>
    <w:p>
      <w:pPr>
        <w:pStyle w:val="null3"/>
        <w:ind w:left="420"/>
        <w:jc w:val="left"/>
      </w:pPr>
      <w:r>
        <w:rPr>
          <w:sz w:val="21"/>
        </w:rPr>
        <w:t>3.</w:t>
      </w:r>
      <w:r>
        <w:rPr>
          <w:sz w:val="21"/>
        </w:rPr>
        <w:t>技术升级</w:t>
      </w:r>
    </w:p>
    <w:p>
      <w:pPr>
        <w:pStyle w:val="null3"/>
        <w:ind w:firstLine="420"/>
        <w:jc w:val="left"/>
      </w:pPr>
      <w:r>
        <w:rPr>
          <w:sz w:val="21"/>
        </w:rPr>
        <w:t>针对医院需求定期进行技术升级服务，包括系统软件的补丁升级、支撑平台软件的版本升级、应用系统的改造升级等。驻场工程师协助相应系统厂商的工程师，协助系统升级工作，并对升级后系统进行集成测试，确保系统运行稳定。</w:t>
      </w:r>
    </w:p>
    <w:p>
      <w:pPr>
        <w:pStyle w:val="null3"/>
        <w:ind w:left="420"/>
        <w:jc w:val="left"/>
      </w:pPr>
      <w:r>
        <w:rPr>
          <w:sz w:val="21"/>
        </w:rPr>
        <w:t>4.</w:t>
      </w:r>
      <w:r>
        <w:rPr>
          <w:sz w:val="21"/>
        </w:rPr>
        <w:t>定期巡检</w:t>
      </w:r>
    </w:p>
    <w:p>
      <w:pPr>
        <w:pStyle w:val="null3"/>
        <w:ind w:firstLine="420"/>
        <w:jc w:val="left"/>
      </w:pPr>
      <w:r>
        <w:rPr>
          <w:sz w:val="21"/>
        </w:rPr>
        <w:t>定期对集成平台及数据中心系统每月进行例行检查，将产生故障的可能性将至最低。同时，针对每次例行巡检的结果和平时的累积故障报告，向医院运维部门提供《系统故障统计分析报告》和《系统运维建议》，帮助医院运维部门提高系统的运维水平。</w:t>
      </w:r>
    </w:p>
    <w:p>
      <w:pPr>
        <w:pStyle w:val="null3"/>
        <w:ind w:firstLine="420"/>
        <w:jc w:val="left"/>
      </w:pPr>
      <w:r>
        <w:rPr>
          <w:sz w:val="21"/>
        </w:rPr>
        <w:t>医院已经在线运行的集成平台及数据中心系统模块及接口如下：</w:t>
      </w:r>
    </w:p>
    <w:tbl>
      <w:tblPr>
        <w:tblW w:w="0" w:type="auto"/>
        <w:tblBorders>
          <w:top w:val="none" w:color="000000" w:sz="4"/>
          <w:left w:val="none" w:color="000000" w:sz="4"/>
          <w:bottom w:val="none" w:color="000000" w:sz="4"/>
          <w:right w:val="none" w:color="000000" w:sz="4"/>
          <w:insideH w:val="none"/>
          <w:insideV w:val="none"/>
        </w:tblBorders>
        <w:shd w:fill="FFFFFF"/>
      </w:tblPr>
      <w:tblGrid>
        <w:gridCol w:w="509"/>
        <w:gridCol w:w="1187"/>
        <w:gridCol w:w="1271"/>
        <w:gridCol w:w="5340"/>
      </w:tblGrid>
      <w:tr>
        <w:tc>
          <w:tcPr>
            <w:tcW w:type="dxa" w:w="50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b/>
              </w:rPr>
              <w:t>序号</w:t>
            </w:r>
          </w:p>
        </w:tc>
        <w:tc>
          <w:tcPr>
            <w:tcW w:type="dxa" w:w="118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b/>
              </w:rPr>
              <w:t>模块</w:t>
            </w:r>
          </w:p>
        </w:tc>
        <w:tc>
          <w:tcPr>
            <w:tcW w:type="dxa" w:w="127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b/>
              </w:rPr>
              <w:t>子模块</w:t>
            </w:r>
          </w:p>
        </w:tc>
        <w:tc>
          <w:tcPr>
            <w:tcW w:type="dxa" w:w="534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b/>
              </w:rPr>
              <w:t>功能说明</w:t>
            </w:r>
          </w:p>
        </w:tc>
      </w:tr>
      <w:tr>
        <w:tc>
          <w:tcPr>
            <w:tcW w:type="dxa" w:w="50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p>
        </w:tc>
        <w:tc>
          <w:tcPr>
            <w:tcW w:type="dxa" w:w="118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Ensemble</w:t>
            </w:r>
            <w:r>
              <w:rPr>
                <w:sz w:val="24"/>
              </w:rPr>
              <w:t>集成引擎（Health Connect）</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适配器</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、平台具备连接各个应用系统的能力，支持通用技术网关；</w:t>
            </w:r>
          </w:p>
          <w:p>
            <w:pPr>
              <w:pStyle w:val="null3"/>
              <w:jc w:val="both"/>
            </w:pPr>
            <w:r>
              <w:rPr>
                <w:sz w:val="24"/>
              </w:rPr>
              <w:t>2</w:t>
            </w:r>
            <w:r>
              <w:rPr>
                <w:sz w:val="24"/>
              </w:rPr>
              <w:t>、内置医疗信息化行业相关组件及工具；</w:t>
            </w:r>
          </w:p>
          <w:p>
            <w:pPr>
              <w:pStyle w:val="null3"/>
              <w:jc w:val="both"/>
            </w:pPr>
            <w:r>
              <w:rPr>
                <w:sz w:val="24"/>
              </w:rPr>
              <w:t>3</w:t>
            </w:r>
            <w:r>
              <w:rPr>
                <w:sz w:val="24"/>
              </w:rPr>
              <w:t>、接口程序可通过集成工具界面进行图形化配置和管理；</w:t>
            </w:r>
          </w:p>
          <w:p>
            <w:pPr>
              <w:pStyle w:val="null3"/>
              <w:jc w:val="both"/>
            </w:pPr>
            <w:r>
              <w:rPr>
                <w:sz w:val="24"/>
              </w:rPr>
              <w:t>4</w:t>
            </w:r>
            <w:r>
              <w:rPr>
                <w:sz w:val="24"/>
              </w:rPr>
              <w:t>、支持关系型数据库、面向对象数据库、主流NoSQL数据库的适配；</w:t>
            </w:r>
          </w:p>
          <w:p>
            <w:pPr>
              <w:pStyle w:val="null3"/>
              <w:jc w:val="both"/>
            </w:pPr>
            <w:r>
              <w:rPr>
                <w:sz w:val="24"/>
              </w:rPr>
              <w:t>5</w:t>
            </w:r>
            <w:r>
              <w:rPr>
                <w:sz w:val="24"/>
              </w:rPr>
              <w:t>、支持主流交互协议及标准，包括DICOM、HL7、FHIR、SOAP、XDS、ASTM、ASC X12、UN/EDIFACT、CDA等协议；</w:t>
            </w:r>
          </w:p>
          <w:p>
            <w:pPr>
              <w:pStyle w:val="null3"/>
              <w:jc w:val="both"/>
            </w:pPr>
            <w:r>
              <w:rPr>
                <w:sz w:val="24"/>
              </w:rPr>
              <w:t>6</w:t>
            </w:r>
            <w:r>
              <w:rPr>
                <w:sz w:val="24"/>
              </w:rPr>
              <w:t>、支持通用数据交互格式，包括XML、JSON</w:t>
            </w:r>
          </w:p>
          <w:p>
            <w:pPr>
              <w:pStyle w:val="null3"/>
              <w:jc w:val="both"/>
            </w:pPr>
            <w:r>
              <w:rPr>
                <w:sz w:val="24"/>
              </w:rPr>
              <w:t>7</w:t>
            </w:r>
            <w:r>
              <w:rPr>
                <w:sz w:val="24"/>
              </w:rPr>
              <w:t>、支持主流技术协议，包括：Web-Service、TCP/IP、FTP、HTTP、MQ、JMS、.NET、J2EE、REST等；</w:t>
            </w:r>
          </w:p>
          <w:p>
            <w:pPr>
              <w:pStyle w:val="null3"/>
              <w:jc w:val="both"/>
            </w:pPr>
            <w:r>
              <w:rPr>
                <w:sz w:val="24"/>
              </w:rPr>
              <w:t>8</w:t>
            </w:r>
            <w:r>
              <w:rPr>
                <w:sz w:val="24"/>
              </w:rPr>
              <w:t>、能够适配最新的大数据技术，能对大数据平台进行查询和写入操作；</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智能路由</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、支持基于内容和“发布/订阅”的消息路由；</w:t>
            </w:r>
          </w:p>
          <w:p>
            <w:pPr>
              <w:pStyle w:val="null3"/>
              <w:jc w:val="both"/>
            </w:pPr>
            <w:r>
              <w:rPr>
                <w:sz w:val="24"/>
              </w:rPr>
              <w:t>2</w:t>
            </w:r>
            <w:r>
              <w:rPr>
                <w:sz w:val="24"/>
              </w:rPr>
              <w:t>、支持同步消息、异步消息、延期消息的应用整合；</w:t>
            </w:r>
          </w:p>
          <w:p>
            <w:pPr>
              <w:pStyle w:val="null3"/>
              <w:jc w:val="both"/>
            </w:pPr>
            <w:r>
              <w:rPr>
                <w:sz w:val="24"/>
              </w:rPr>
              <w:t>3</w:t>
            </w:r>
            <w:r>
              <w:rPr>
                <w:sz w:val="24"/>
              </w:rPr>
              <w:t>、支持异步事件、延期事件驱动整合，医院信息集成平台强大的消息系统通过消息类型、内容和下标将消息路由到特定的业务流程；</w:t>
            </w:r>
          </w:p>
          <w:p>
            <w:pPr>
              <w:pStyle w:val="null3"/>
              <w:jc w:val="both"/>
            </w:pPr>
            <w:r>
              <w:rPr>
                <w:sz w:val="24"/>
              </w:rPr>
              <w:t>4</w:t>
            </w:r>
            <w:r>
              <w:rPr>
                <w:sz w:val="24"/>
              </w:rPr>
              <w:t>、具有消息传递和队列管理功能，能对消息路由进行图形化编排；</w:t>
            </w:r>
          </w:p>
          <w:p>
            <w:pPr>
              <w:pStyle w:val="null3"/>
              <w:jc w:val="both"/>
            </w:pPr>
            <w:r>
              <w:rPr>
                <w:sz w:val="24"/>
              </w:rPr>
              <w:t>5</w:t>
            </w:r>
            <w:r>
              <w:rPr>
                <w:sz w:val="24"/>
              </w:rPr>
              <w:t>、能够按照业务发生顺序，严格保证消息传递顺序；</w:t>
            </w:r>
          </w:p>
          <w:p>
            <w:pPr>
              <w:pStyle w:val="null3"/>
              <w:jc w:val="both"/>
            </w:pPr>
            <w:r>
              <w:rPr>
                <w:sz w:val="24"/>
              </w:rPr>
              <w:t>6</w:t>
            </w:r>
            <w:r>
              <w:rPr>
                <w:sz w:val="24"/>
              </w:rPr>
              <w:t>、可定制和扩展的路由功能和基于规则的流程控制功能；</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信息转换</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、支持通过编写代码实现数据转换；</w:t>
            </w:r>
          </w:p>
          <w:p>
            <w:pPr>
              <w:pStyle w:val="null3"/>
              <w:jc w:val="both"/>
            </w:pPr>
            <w:r>
              <w:rPr>
                <w:sz w:val="24"/>
              </w:rPr>
              <w:t>2</w:t>
            </w:r>
            <w:r>
              <w:rPr>
                <w:sz w:val="24"/>
              </w:rPr>
              <w:t>、支持通过图形化的数据转换引擎直观、快速、简单地创建和管理数据转换逻辑；</w:t>
            </w:r>
          </w:p>
          <w:p>
            <w:pPr>
              <w:pStyle w:val="null3"/>
              <w:jc w:val="both"/>
            </w:pPr>
            <w:r>
              <w:rPr>
                <w:sz w:val="24"/>
              </w:rPr>
              <w:t>3</w:t>
            </w:r>
            <w:r>
              <w:rPr>
                <w:sz w:val="24"/>
              </w:rPr>
              <w:t>、兼容卫计委卫生数据元、数据集和临床档案标准；</w:t>
            </w:r>
          </w:p>
          <w:p>
            <w:pPr>
              <w:pStyle w:val="null3"/>
              <w:jc w:val="both"/>
            </w:pPr>
            <w:r>
              <w:rPr>
                <w:sz w:val="24"/>
              </w:rPr>
              <w:t>4</w:t>
            </w:r>
            <w:r>
              <w:rPr>
                <w:sz w:val="24"/>
              </w:rPr>
              <w:t>、支持各种数据模型，包括复杂的消息对象、临床文档、字符流；</w:t>
            </w:r>
          </w:p>
          <w:p>
            <w:pPr>
              <w:pStyle w:val="null3"/>
              <w:jc w:val="both"/>
            </w:pPr>
            <w:r>
              <w:rPr>
                <w:sz w:val="24"/>
              </w:rPr>
              <w:t>5</w:t>
            </w:r>
            <w:r>
              <w:rPr>
                <w:sz w:val="24"/>
              </w:rPr>
              <w:t>、具有支持XML文档的XSLT处理器；</w:t>
            </w:r>
          </w:p>
          <w:p>
            <w:pPr>
              <w:pStyle w:val="null3"/>
              <w:jc w:val="both"/>
            </w:pPr>
            <w:r>
              <w:rPr>
                <w:sz w:val="24"/>
              </w:rPr>
              <w:t>6</w:t>
            </w:r>
            <w:r>
              <w:rPr>
                <w:sz w:val="24"/>
              </w:rPr>
              <w:t>、支持HL7 V2、V3标准消息的映射和转换，提供图形化配置界面；</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业务协同</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、通过业务流程管理(BPM)实现业务协同；</w:t>
            </w:r>
          </w:p>
          <w:p>
            <w:pPr>
              <w:pStyle w:val="null3"/>
              <w:jc w:val="both"/>
            </w:pPr>
            <w:r>
              <w:rPr>
                <w:sz w:val="24"/>
              </w:rPr>
              <w:t>2</w:t>
            </w:r>
            <w:r>
              <w:rPr>
                <w:sz w:val="24"/>
              </w:rPr>
              <w:t>、支持同步请求和异步请求场景；</w:t>
            </w:r>
          </w:p>
          <w:p>
            <w:pPr>
              <w:pStyle w:val="null3"/>
              <w:jc w:val="both"/>
            </w:pPr>
            <w:r>
              <w:rPr>
                <w:sz w:val="24"/>
              </w:rPr>
              <w:t>3</w:t>
            </w:r>
            <w:r>
              <w:rPr>
                <w:sz w:val="24"/>
              </w:rPr>
              <w:t>、业务流程管理具有丰富的图形编辑功能；</w:t>
            </w:r>
          </w:p>
          <w:p>
            <w:pPr>
              <w:pStyle w:val="null3"/>
              <w:jc w:val="both"/>
            </w:pPr>
            <w:r>
              <w:rPr>
                <w:sz w:val="24"/>
              </w:rPr>
              <w:t>4</w:t>
            </w:r>
            <w:r>
              <w:rPr>
                <w:sz w:val="24"/>
              </w:rPr>
              <w:t>、支持SOAP、REST、Java 类、.Net、dll、SQL 存储过程等技术；</w:t>
            </w:r>
          </w:p>
          <w:p>
            <w:pPr>
              <w:pStyle w:val="null3"/>
              <w:jc w:val="both"/>
            </w:pPr>
            <w:r>
              <w:rPr>
                <w:sz w:val="24"/>
              </w:rPr>
              <w:t>5</w:t>
            </w:r>
            <w:r>
              <w:rPr>
                <w:sz w:val="24"/>
              </w:rPr>
              <w:t>、具备从业务流程图自动生成代码,以及把代码自动生成流程图的能力；</w:t>
            </w:r>
          </w:p>
          <w:p>
            <w:pPr>
              <w:pStyle w:val="null3"/>
              <w:jc w:val="both"/>
            </w:pPr>
            <w:r>
              <w:rPr>
                <w:sz w:val="24"/>
              </w:rPr>
              <w:t>6</w:t>
            </w:r>
            <w:r>
              <w:rPr>
                <w:sz w:val="24"/>
              </w:rPr>
              <w:t>、含有建模组件，允许用户自定义、查看和管理复杂的跨系统应用流程；</w:t>
            </w:r>
          </w:p>
          <w:p>
            <w:pPr>
              <w:pStyle w:val="null3"/>
              <w:jc w:val="both"/>
            </w:pPr>
            <w:r>
              <w:rPr>
                <w:sz w:val="24"/>
              </w:rPr>
              <w:t>7</w:t>
            </w:r>
            <w:r>
              <w:rPr>
                <w:sz w:val="24"/>
              </w:rPr>
              <w:t>、通过图形化的方式查看定义的所有流程信息，包括流程名称，运行状态，发送方，接收方等；</w:t>
            </w:r>
          </w:p>
          <w:p>
            <w:pPr>
              <w:pStyle w:val="null3"/>
              <w:jc w:val="both"/>
            </w:pPr>
            <w:r>
              <w:rPr>
                <w:sz w:val="24"/>
              </w:rPr>
              <w:t>8</w:t>
            </w:r>
            <w:r>
              <w:rPr>
                <w:sz w:val="24"/>
              </w:rPr>
              <w:t>、支持基于事件的发布/订阅机制,降低系统间耦合度；</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消息持久化</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、内嵌面向对象的数据库，消息默认进行持久化保存；</w:t>
            </w:r>
          </w:p>
          <w:p>
            <w:pPr>
              <w:pStyle w:val="null3"/>
              <w:jc w:val="both"/>
            </w:pPr>
            <w:r>
              <w:rPr>
                <w:sz w:val="24"/>
              </w:rPr>
              <w:t>2</w:t>
            </w:r>
            <w:r>
              <w:rPr>
                <w:sz w:val="24"/>
              </w:rPr>
              <w:t>、能够通过消息状态、消息时间范围、消息ID、消息内容、消息源、消息目标等多种方式检索消息。</w:t>
            </w:r>
          </w:p>
          <w:p>
            <w:pPr>
              <w:pStyle w:val="null3"/>
              <w:jc w:val="both"/>
            </w:pPr>
            <w:r>
              <w:rPr>
                <w:sz w:val="24"/>
              </w:rPr>
              <w:t>3</w:t>
            </w:r>
            <w:r>
              <w:rPr>
                <w:sz w:val="24"/>
              </w:rPr>
              <w:t>、提供图形化的消息追踪界面，实现消息全生命周期内的闭环管理。</w:t>
            </w:r>
          </w:p>
          <w:p>
            <w:pPr>
              <w:pStyle w:val="null3"/>
              <w:jc w:val="both"/>
            </w:pPr>
            <w:r>
              <w:rPr>
                <w:sz w:val="24"/>
              </w:rPr>
              <w:t>4</w:t>
            </w:r>
            <w:r>
              <w:rPr>
                <w:sz w:val="24"/>
              </w:rPr>
              <w:t>、所有消息可以在任意流程节点编辑后重发；</w:t>
            </w:r>
          </w:p>
          <w:p>
            <w:pPr>
              <w:pStyle w:val="null3"/>
              <w:jc w:val="both"/>
            </w:pPr>
            <w:r>
              <w:rPr>
                <w:sz w:val="24"/>
              </w:rPr>
              <w:t>5</w:t>
            </w:r>
            <w:r>
              <w:rPr>
                <w:sz w:val="24"/>
              </w:rPr>
              <w:t>、提供消息查询和报表工具，提供消息审计和分析界面；</w:t>
            </w:r>
          </w:p>
          <w:p>
            <w:pPr>
              <w:pStyle w:val="null3"/>
              <w:jc w:val="both"/>
            </w:pPr>
            <w:r>
              <w:rPr>
                <w:sz w:val="24"/>
              </w:rPr>
              <w:t>6</w:t>
            </w:r>
            <w:r>
              <w:rPr>
                <w:sz w:val="24"/>
              </w:rPr>
              <w:t>、支持跨系统的流程 Debug、报告和审计；</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运维监控</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、支持软件级容灾方案，提供软件级容灾机制（Mirror）；</w:t>
            </w:r>
          </w:p>
          <w:p>
            <w:pPr>
              <w:pStyle w:val="null3"/>
              <w:jc w:val="both"/>
            </w:pPr>
            <w:r>
              <w:rPr>
                <w:sz w:val="24"/>
              </w:rPr>
              <w:t>2</w:t>
            </w:r>
            <w:r>
              <w:rPr>
                <w:sz w:val="24"/>
              </w:rPr>
              <w:t>、具有高度的灵活性和扩展性，能够在医院业务高峰期数据库访问量巨大的情况下，确保整个业务系统的性能稳定。</w:t>
            </w:r>
          </w:p>
          <w:p>
            <w:pPr>
              <w:pStyle w:val="null3"/>
              <w:jc w:val="both"/>
            </w:pPr>
            <w:r>
              <w:rPr>
                <w:sz w:val="24"/>
              </w:rPr>
              <w:t>3</w:t>
            </w:r>
            <w:r>
              <w:rPr>
                <w:sz w:val="24"/>
              </w:rPr>
              <w:t>、提供全中文的平台监控界面，包括相关服务器和组件运行情况监控；</w:t>
            </w:r>
          </w:p>
          <w:p>
            <w:pPr>
              <w:pStyle w:val="null3"/>
              <w:jc w:val="both"/>
            </w:pPr>
            <w:r>
              <w:rPr>
                <w:sz w:val="24"/>
              </w:rPr>
              <w:t>4</w:t>
            </w:r>
            <w:r>
              <w:rPr>
                <w:sz w:val="24"/>
              </w:rPr>
              <w:t>、通过可视化图形界面管理系统内各模块，集中化的配置和实时状态显示；</w:t>
            </w:r>
          </w:p>
          <w:p>
            <w:pPr>
              <w:pStyle w:val="null3"/>
              <w:jc w:val="both"/>
            </w:pPr>
            <w:r>
              <w:rPr>
                <w:sz w:val="24"/>
              </w:rPr>
              <w:t>5</w:t>
            </w:r>
            <w:r>
              <w:rPr>
                <w:sz w:val="24"/>
              </w:rPr>
              <w:t>、完全基于浏览器设计并可自由定制；</w:t>
            </w:r>
          </w:p>
          <w:p>
            <w:pPr>
              <w:pStyle w:val="null3"/>
              <w:jc w:val="both"/>
            </w:pPr>
            <w:r>
              <w:rPr>
                <w:sz w:val="24"/>
              </w:rPr>
              <w:t>6</w:t>
            </w:r>
            <w:r>
              <w:rPr>
                <w:sz w:val="24"/>
              </w:rPr>
              <w:t>、提供用户权限认证管理功能，支持LDAP；</w:t>
            </w:r>
          </w:p>
          <w:p>
            <w:pPr>
              <w:pStyle w:val="null3"/>
              <w:jc w:val="both"/>
            </w:pPr>
            <w:r>
              <w:rPr>
                <w:sz w:val="24"/>
              </w:rPr>
              <w:t>7</w:t>
            </w:r>
            <w:r>
              <w:rPr>
                <w:sz w:val="24"/>
              </w:rPr>
              <w:t>、支持通过图形界面展现各节点和交换流程运行情况，并对异常情况进行报警；</w:t>
            </w:r>
          </w:p>
        </w:tc>
      </w:tr>
      <w:tr>
        <w:tc>
          <w:tcPr>
            <w:tcW w:type="dxa" w:w="50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2</w:t>
            </w:r>
          </w:p>
          <w:p>
            <w:pPr>
              <w:pStyle w:val="null3"/>
              <w:jc w:val="both"/>
            </w:pPr>
          </w:p>
        </w:tc>
        <w:tc>
          <w:tcPr>
            <w:tcW w:type="dxa" w:w="118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嘉和医院信息集成平台系统</w:t>
            </w:r>
          </w:p>
          <w:p>
            <w:pPr>
              <w:pStyle w:val="null3"/>
              <w:jc w:val="both"/>
            </w:p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嘉和主数据管理系统（JHMDM）</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、统一管理和发布全院共享的数据字典、术语库，作为医院内所有应用系统都遵循的字典标准，确保全院信息系统数据字典的统一性；</w:t>
            </w:r>
          </w:p>
          <w:p>
            <w:pPr>
              <w:pStyle w:val="null3"/>
              <w:jc w:val="both"/>
            </w:pPr>
            <w:r>
              <w:rPr>
                <w:sz w:val="24"/>
              </w:rPr>
              <w:t>2</w:t>
            </w:r>
            <w:r>
              <w:rPr>
                <w:sz w:val="24"/>
              </w:rPr>
              <w:t>、对医院的基础字典与代码进行统一管理，支持任意添加主数据字典及代码，支持数据间的业务无关性、可复用性和可扩展性；</w:t>
            </w:r>
          </w:p>
          <w:p>
            <w:pPr>
              <w:pStyle w:val="null3"/>
              <w:jc w:val="both"/>
            </w:pPr>
            <w:r>
              <w:rPr>
                <w:sz w:val="24"/>
              </w:rPr>
              <w:t>3</w:t>
            </w:r>
            <w:r>
              <w:rPr>
                <w:sz w:val="24"/>
              </w:rPr>
              <w:t>、提供统一的院内术语库管理工具；</w:t>
            </w:r>
          </w:p>
          <w:p>
            <w:pPr>
              <w:pStyle w:val="null3"/>
              <w:jc w:val="both"/>
            </w:pPr>
            <w:r>
              <w:rPr>
                <w:sz w:val="24"/>
              </w:rPr>
              <w:t>4</w:t>
            </w:r>
            <w:r>
              <w:rPr>
                <w:sz w:val="24"/>
              </w:rPr>
              <w:t>、每条主数据确保系统内唯一的非公布的标识符；</w:t>
            </w:r>
          </w:p>
          <w:p>
            <w:pPr>
              <w:pStyle w:val="null3"/>
              <w:jc w:val="both"/>
            </w:pPr>
            <w:r>
              <w:rPr>
                <w:sz w:val="24"/>
              </w:rPr>
              <w:t>5</w:t>
            </w:r>
            <w:r>
              <w:rPr>
                <w:sz w:val="24"/>
              </w:rPr>
              <w:t>、提供主数据的注册和订阅服务，遵循IHE ITI EUA、PWP等规范；</w:t>
            </w:r>
          </w:p>
          <w:p>
            <w:pPr>
              <w:pStyle w:val="null3"/>
              <w:jc w:val="both"/>
            </w:pPr>
            <w:r>
              <w:rPr>
                <w:sz w:val="24"/>
              </w:rPr>
              <w:t>6</w:t>
            </w:r>
            <w:r>
              <w:rPr>
                <w:sz w:val="24"/>
              </w:rPr>
              <w:t>、提供主数据的总览界面功能；</w:t>
            </w:r>
          </w:p>
          <w:p>
            <w:pPr>
              <w:pStyle w:val="null3"/>
              <w:jc w:val="both"/>
            </w:pPr>
            <w:r>
              <w:rPr>
                <w:sz w:val="24"/>
              </w:rPr>
              <w:t>7</w:t>
            </w:r>
            <w:r>
              <w:rPr>
                <w:sz w:val="24"/>
              </w:rPr>
              <w:t>、提供主数据内容的数据初始化功能；</w:t>
            </w:r>
          </w:p>
          <w:p>
            <w:pPr>
              <w:pStyle w:val="null3"/>
              <w:jc w:val="both"/>
            </w:pPr>
            <w:r>
              <w:rPr>
                <w:sz w:val="24"/>
              </w:rPr>
              <w:t>8</w:t>
            </w:r>
            <w:r>
              <w:rPr>
                <w:sz w:val="24"/>
              </w:rPr>
              <w:t>、提供常用字典管理功能；</w:t>
            </w:r>
          </w:p>
          <w:p>
            <w:pPr>
              <w:pStyle w:val="null3"/>
              <w:jc w:val="both"/>
            </w:pPr>
            <w:r>
              <w:rPr>
                <w:sz w:val="24"/>
              </w:rPr>
              <w:t>9</w:t>
            </w:r>
            <w:r>
              <w:rPr>
                <w:sz w:val="24"/>
              </w:rPr>
              <w:t>、提供主数据字典标准管理功能；</w:t>
            </w:r>
          </w:p>
          <w:p>
            <w:pPr>
              <w:pStyle w:val="null3"/>
              <w:jc w:val="both"/>
            </w:pPr>
            <w:r>
              <w:rPr>
                <w:sz w:val="24"/>
              </w:rPr>
              <w:t>10</w:t>
            </w:r>
            <w:r>
              <w:rPr>
                <w:sz w:val="24"/>
              </w:rPr>
              <w:t>、提供主数据字典的结构管理功能；</w:t>
            </w:r>
          </w:p>
          <w:p>
            <w:pPr>
              <w:pStyle w:val="null3"/>
              <w:jc w:val="both"/>
            </w:pPr>
            <w:r>
              <w:rPr>
                <w:sz w:val="24"/>
              </w:rPr>
              <w:t>11</w:t>
            </w:r>
            <w:r>
              <w:rPr>
                <w:sz w:val="24"/>
              </w:rPr>
              <w:t>、提供主数据内容管理功能；</w:t>
            </w:r>
          </w:p>
          <w:p>
            <w:pPr>
              <w:pStyle w:val="null3"/>
              <w:jc w:val="both"/>
            </w:pPr>
            <w:r>
              <w:rPr>
                <w:sz w:val="24"/>
              </w:rPr>
              <w:t>12</w:t>
            </w:r>
            <w:r>
              <w:rPr>
                <w:sz w:val="24"/>
              </w:rPr>
              <w:t>、提供主数据的维护审批功能；</w:t>
            </w:r>
          </w:p>
          <w:p>
            <w:pPr>
              <w:pStyle w:val="null3"/>
              <w:jc w:val="both"/>
            </w:pPr>
            <w:r>
              <w:rPr>
                <w:sz w:val="24"/>
              </w:rPr>
              <w:t>13</w:t>
            </w:r>
            <w:r>
              <w:rPr>
                <w:sz w:val="24"/>
              </w:rPr>
              <w:t>、提供主数据维护、审批权限管理；</w:t>
            </w:r>
          </w:p>
          <w:p>
            <w:pPr>
              <w:pStyle w:val="null3"/>
              <w:jc w:val="both"/>
            </w:pPr>
            <w:r>
              <w:rPr>
                <w:sz w:val="24"/>
              </w:rPr>
              <w:t>14</w:t>
            </w:r>
            <w:r>
              <w:rPr>
                <w:sz w:val="24"/>
              </w:rPr>
              <w:t>、提供主数据字典版本管理功能；</w:t>
            </w:r>
          </w:p>
          <w:p>
            <w:pPr>
              <w:pStyle w:val="null3"/>
              <w:jc w:val="both"/>
            </w:pPr>
            <w:r>
              <w:rPr>
                <w:sz w:val="24"/>
              </w:rPr>
              <w:t>15</w:t>
            </w:r>
            <w:r>
              <w:rPr>
                <w:sz w:val="24"/>
              </w:rPr>
              <w:t>、提供字典对照方案管理功能；</w:t>
            </w:r>
          </w:p>
          <w:p>
            <w:pPr>
              <w:pStyle w:val="null3"/>
              <w:jc w:val="both"/>
            </w:pPr>
            <w:r>
              <w:rPr>
                <w:sz w:val="24"/>
              </w:rPr>
              <w:t>16</w:t>
            </w:r>
            <w:r>
              <w:rPr>
                <w:sz w:val="24"/>
              </w:rPr>
              <w:t>、提供字典对照内容管理功能，提供推荐匹配算法进行对照，也提供用户整理对照结果后导入的功能；</w:t>
            </w:r>
          </w:p>
          <w:p>
            <w:pPr>
              <w:pStyle w:val="null3"/>
              <w:jc w:val="both"/>
            </w:pPr>
            <w:r>
              <w:rPr>
                <w:sz w:val="24"/>
              </w:rPr>
              <w:t>17</w:t>
            </w:r>
            <w:r>
              <w:rPr>
                <w:sz w:val="24"/>
              </w:rPr>
              <w:t>、提供IHE术语共享功能；</w:t>
            </w:r>
          </w:p>
          <w:p>
            <w:pPr>
              <w:pStyle w:val="null3"/>
              <w:jc w:val="both"/>
            </w:pPr>
            <w:r>
              <w:rPr>
                <w:sz w:val="24"/>
              </w:rPr>
              <w:t>18</w:t>
            </w:r>
            <w:r>
              <w:rPr>
                <w:sz w:val="24"/>
              </w:rPr>
              <w:t>、提供主数据的接口注册，更新，查询功能；</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嘉和患者主索引管理系统（JHEMPI）</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、遵循IHE PIX PDQ规范设计；</w:t>
            </w:r>
          </w:p>
          <w:p>
            <w:pPr>
              <w:pStyle w:val="null3"/>
              <w:jc w:val="both"/>
            </w:pPr>
            <w:r>
              <w:rPr>
                <w:sz w:val="24"/>
              </w:rPr>
              <w:t>2</w:t>
            </w:r>
            <w:r>
              <w:rPr>
                <w:sz w:val="24"/>
              </w:rPr>
              <w:t>、提供主索引创建和维护功能；</w:t>
            </w:r>
          </w:p>
          <w:p>
            <w:pPr>
              <w:pStyle w:val="null3"/>
              <w:jc w:val="both"/>
            </w:pPr>
            <w:r>
              <w:rPr>
                <w:sz w:val="24"/>
              </w:rPr>
              <w:t>3</w:t>
            </w:r>
            <w:r>
              <w:rPr>
                <w:sz w:val="24"/>
              </w:rPr>
              <w:t>、对院内患者注册数据进行集中存储和管理</w:t>
            </w:r>
          </w:p>
          <w:p>
            <w:pPr>
              <w:pStyle w:val="null3"/>
              <w:jc w:val="both"/>
            </w:pPr>
            <w:r>
              <w:rPr>
                <w:sz w:val="24"/>
              </w:rPr>
              <w:t>4</w:t>
            </w:r>
            <w:r>
              <w:rPr>
                <w:sz w:val="24"/>
              </w:rPr>
              <w:t>、对同一患者的重复标识进行逻辑合并，设置新的统一识别标志，并建立相应的映射关系，保证单个患者在一定范围内的唯一性和可靠性，能够识别不同来源系统间患者的关联性；</w:t>
            </w:r>
          </w:p>
          <w:p>
            <w:pPr>
              <w:pStyle w:val="null3"/>
              <w:jc w:val="both"/>
            </w:pPr>
            <w:r>
              <w:rPr>
                <w:sz w:val="24"/>
              </w:rPr>
              <w:t>5</w:t>
            </w:r>
            <w:r>
              <w:rPr>
                <w:sz w:val="24"/>
              </w:rPr>
              <w:t>、提供匹配规则设置功能，通过历史数据分析，系统推荐相关匹配规则，并可人工进行规则调整；</w:t>
            </w:r>
          </w:p>
          <w:p>
            <w:pPr>
              <w:pStyle w:val="null3"/>
              <w:jc w:val="both"/>
            </w:pPr>
            <w:r>
              <w:rPr>
                <w:sz w:val="24"/>
              </w:rPr>
              <w:t>6</w:t>
            </w:r>
            <w:r>
              <w:rPr>
                <w:sz w:val="24"/>
              </w:rPr>
              <w:t>、提供患者基本信息查询功能功能；</w:t>
            </w:r>
          </w:p>
          <w:p>
            <w:pPr>
              <w:pStyle w:val="null3"/>
              <w:jc w:val="both"/>
            </w:pPr>
            <w:r>
              <w:rPr>
                <w:sz w:val="24"/>
              </w:rPr>
              <w:t>7</w:t>
            </w:r>
            <w:r>
              <w:rPr>
                <w:sz w:val="24"/>
              </w:rPr>
              <w:t>、提供数据不规则患者展示功能；</w:t>
            </w:r>
          </w:p>
          <w:p>
            <w:pPr>
              <w:pStyle w:val="null3"/>
              <w:jc w:val="both"/>
            </w:pPr>
            <w:r>
              <w:rPr>
                <w:sz w:val="24"/>
              </w:rPr>
              <w:t>8</w:t>
            </w:r>
            <w:r>
              <w:rPr>
                <w:sz w:val="24"/>
              </w:rPr>
              <w:t>、提供相似患者展示、合并功能；</w:t>
            </w:r>
          </w:p>
          <w:p>
            <w:pPr>
              <w:pStyle w:val="null3"/>
              <w:jc w:val="both"/>
            </w:pPr>
            <w:r>
              <w:rPr>
                <w:sz w:val="24"/>
              </w:rPr>
              <w:t>9</w:t>
            </w:r>
            <w:r>
              <w:rPr>
                <w:sz w:val="24"/>
              </w:rPr>
              <w:t>、提供合并后的患者列表展示功能，可以通过数据对比患者信息异同，支持合并后的患者作废合并；</w:t>
            </w:r>
          </w:p>
          <w:p>
            <w:pPr>
              <w:pStyle w:val="null3"/>
              <w:jc w:val="both"/>
            </w:pPr>
            <w:r>
              <w:rPr>
                <w:sz w:val="24"/>
              </w:rPr>
              <w:t>10</w:t>
            </w:r>
            <w:r>
              <w:rPr>
                <w:sz w:val="24"/>
              </w:rPr>
              <w:t>、提供患者数据初始化功能，可以通过CSV批量导入历史患者基本信息数据；</w:t>
            </w:r>
          </w:p>
          <w:p>
            <w:pPr>
              <w:pStyle w:val="null3"/>
              <w:jc w:val="both"/>
            </w:pPr>
            <w:r>
              <w:rPr>
                <w:sz w:val="24"/>
              </w:rPr>
              <w:t>11</w:t>
            </w:r>
            <w:r>
              <w:rPr>
                <w:sz w:val="24"/>
              </w:rPr>
              <w:t>、提供相关操作日志展示功能；</w:t>
            </w:r>
          </w:p>
          <w:p>
            <w:pPr>
              <w:pStyle w:val="null3"/>
              <w:jc w:val="both"/>
            </w:pPr>
            <w:r>
              <w:rPr>
                <w:sz w:val="24"/>
              </w:rPr>
              <w:t>12</w:t>
            </w:r>
            <w:r>
              <w:rPr>
                <w:sz w:val="24"/>
              </w:rPr>
              <w:t>、提供患者主索引总览功能，能够展示患者信息总量、注册量、匹配情况等信息；</w:t>
            </w:r>
          </w:p>
          <w:p>
            <w:pPr>
              <w:pStyle w:val="null3"/>
              <w:jc w:val="both"/>
            </w:pPr>
            <w:r>
              <w:rPr>
                <w:sz w:val="24"/>
              </w:rPr>
              <w:t>13</w:t>
            </w:r>
            <w:r>
              <w:rPr>
                <w:sz w:val="24"/>
              </w:rPr>
              <w:t>、提供患者信息注册，查询、更新、合并等接口服务；</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嘉和临床工作门户系统（JHSSO）</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、提供用户维护功能，在员工主索引的基础上，统一管理所有应用系统的账号及密码；</w:t>
            </w:r>
          </w:p>
          <w:p>
            <w:pPr>
              <w:pStyle w:val="null3"/>
              <w:jc w:val="both"/>
            </w:pPr>
            <w:r>
              <w:rPr>
                <w:sz w:val="24"/>
              </w:rPr>
              <w:t>2</w:t>
            </w:r>
            <w:r>
              <w:rPr>
                <w:sz w:val="24"/>
              </w:rPr>
              <w:t>、支持应用系统的权限体系注册到JHSSO，并在该权限体系结构下进行整理生成新的角色体系；</w:t>
            </w:r>
          </w:p>
          <w:p>
            <w:pPr>
              <w:pStyle w:val="null3"/>
              <w:jc w:val="both"/>
            </w:pPr>
            <w:r>
              <w:rPr>
                <w:sz w:val="24"/>
              </w:rPr>
              <w:t>3</w:t>
            </w:r>
            <w:r>
              <w:rPr>
                <w:sz w:val="24"/>
              </w:rPr>
              <w:t>、提供角色维护功能，统一管理操作用户登陆各个业务系统的基本角色；</w:t>
            </w:r>
          </w:p>
          <w:p>
            <w:pPr>
              <w:pStyle w:val="null3"/>
              <w:jc w:val="both"/>
            </w:pPr>
            <w:r>
              <w:rPr>
                <w:sz w:val="24"/>
              </w:rPr>
              <w:t>4</w:t>
            </w:r>
            <w:r>
              <w:rPr>
                <w:sz w:val="24"/>
              </w:rPr>
              <w:t>、支持多个业务系统接入注册，进行统一认证；</w:t>
            </w:r>
          </w:p>
          <w:p>
            <w:pPr>
              <w:pStyle w:val="null3"/>
              <w:jc w:val="both"/>
            </w:pPr>
            <w:r>
              <w:rPr>
                <w:sz w:val="24"/>
              </w:rPr>
              <w:t>5</w:t>
            </w:r>
            <w:r>
              <w:rPr>
                <w:sz w:val="24"/>
              </w:rPr>
              <w:t>、支持不同架构（B/S和C/S）的业务系统接入注册;</w:t>
            </w:r>
          </w:p>
          <w:p>
            <w:pPr>
              <w:pStyle w:val="null3"/>
              <w:jc w:val="both"/>
            </w:pPr>
            <w:r>
              <w:rPr>
                <w:sz w:val="24"/>
              </w:rPr>
              <w:t>6</w:t>
            </w:r>
            <w:r>
              <w:rPr>
                <w:sz w:val="24"/>
              </w:rPr>
              <w:t>、提供单点登录功能，用户通过统一的账号及密码登录后，提供各个业务系统的快捷图标，点击后直接进入对应系统；</w:t>
            </w:r>
          </w:p>
          <w:p>
            <w:pPr>
              <w:pStyle w:val="null3"/>
              <w:jc w:val="both"/>
            </w:pPr>
            <w:r>
              <w:rPr>
                <w:sz w:val="24"/>
              </w:rPr>
              <w:t>7</w:t>
            </w:r>
            <w:r>
              <w:rPr>
                <w:sz w:val="24"/>
              </w:rPr>
              <w:t>、提供可视化的单点登录系统配置功能，支持界面背景配置、图标排列配置、会话失效时间配置等功能；</w:t>
            </w:r>
          </w:p>
          <w:p>
            <w:pPr>
              <w:pStyle w:val="null3"/>
              <w:jc w:val="both"/>
            </w:pPr>
            <w:r>
              <w:rPr>
                <w:sz w:val="24"/>
              </w:rPr>
              <w:t>8</w:t>
            </w:r>
            <w:r>
              <w:rPr>
                <w:sz w:val="24"/>
              </w:rPr>
              <w:t>、提供消息公告发送功能，能创建消息标题，消息内容，并可以选择推送给指定人员、科室、角色，所有消息在单点登录客户端进行展示；</w:t>
            </w:r>
          </w:p>
          <w:p>
            <w:pPr>
              <w:pStyle w:val="null3"/>
              <w:jc w:val="both"/>
            </w:pPr>
            <w:r>
              <w:rPr>
                <w:sz w:val="24"/>
              </w:rPr>
              <w:t>9</w:t>
            </w:r>
            <w:r>
              <w:rPr>
                <w:sz w:val="24"/>
              </w:rPr>
              <w:t>、提供单点登录程序在线更新功能；</w:t>
            </w:r>
          </w:p>
          <w:p>
            <w:pPr>
              <w:pStyle w:val="null3"/>
              <w:jc w:val="both"/>
            </w:pPr>
            <w:r>
              <w:rPr>
                <w:sz w:val="24"/>
              </w:rPr>
              <w:t>10</w:t>
            </w:r>
            <w:r>
              <w:rPr>
                <w:sz w:val="24"/>
              </w:rPr>
              <w:t>、提供用户维护日志功能；</w:t>
            </w:r>
          </w:p>
          <w:p>
            <w:pPr>
              <w:pStyle w:val="null3"/>
              <w:jc w:val="both"/>
            </w:pPr>
            <w:r>
              <w:rPr>
                <w:sz w:val="24"/>
              </w:rPr>
              <w:t>11</w:t>
            </w:r>
            <w:r>
              <w:rPr>
                <w:sz w:val="24"/>
              </w:rPr>
              <w:t>、提供用户通过单点登录界面登录的审计日志追踪功能；</w:t>
            </w:r>
          </w:p>
          <w:p>
            <w:pPr>
              <w:pStyle w:val="null3"/>
              <w:jc w:val="both"/>
            </w:pPr>
            <w:r>
              <w:rPr>
                <w:sz w:val="24"/>
              </w:rPr>
              <w:t>12</w:t>
            </w:r>
            <w:r>
              <w:rPr>
                <w:sz w:val="24"/>
              </w:rPr>
              <w:t>、提供临床工作门户的总览功能；</w:t>
            </w:r>
          </w:p>
          <w:p>
            <w:pPr>
              <w:pStyle w:val="null3"/>
              <w:jc w:val="both"/>
            </w:pPr>
            <w:r>
              <w:rPr>
                <w:sz w:val="24"/>
              </w:rPr>
              <w:t>13</w:t>
            </w:r>
            <w:r>
              <w:rPr>
                <w:sz w:val="24"/>
              </w:rPr>
              <w:t>、提供CA绑定功能，单点登录提供CA登录功能；</w:t>
            </w:r>
          </w:p>
        </w:tc>
      </w:tr>
      <w:tr>
        <w:tc>
          <w:tcPr>
            <w:tcW w:type="dxa" w:w="50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3</w:t>
            </w:r>
          </w:p>
        </w:tc>
        <w:tc>
          <w:tcPr>
            <w:tcW w:type="dxa" w:w="118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嘉和医院数据中心集成服务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历史数据采集服务</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、提供医院当前业务系统调研和业务分析服务；</w:t>
            </w:r>
          </w:p>
          <w:p>
            <w:pPr>
              <w:pStyle w:val="null3"/>
              <w:jc w:val="both"/>
            </w:pPr>
            <w:r>
              <w:rPr>
                <w:sz w:val="24"/>
              </w:rPr>
              <w:t>2</w:t>
            </w:r>
            <w:r>
              <w:rPr>
                <w:sz w:val="24"/>
              </w:rPr>
              <w:t>、提供当前业务系统历史数据抽取服务；</w:t>
            </w:r>
          </w:p>
          <w:p>
            <w:pPr>
              <w:pStyle w:val="null3"/>
              <w:jc w:val="both"/>
            </w:pPr>
            <w:r>
              <w:rPr>
                <w:sz w:val="24"/>
              </w:rPr>
              <w:t>3</w:t>
            </w:r>
            <w:r>
              <w:rPr>
                <w:sz w:val="24"/>
              </w:rPr>
              <w:t>、提供历史数据清洗服务，过滤重复数据和无效数据；</w:t>
            </w:r>
          </w:p>
          <w:p>
            <w:pPr>
              <w:pStyle w:val="null3"/>
              <w:jc w:val="both"/>
            </w:pPr>
            <w:r>
              <w:rPr>
                <w:sz w:val="24"/>
              </w:rPr>
              <w:t>4</w:t>
            </w:r>
            <w:r>
              <w:rPr>
                <w:sz w:val="24"/>
              </w:rPr>
              <w:t>、提供历史数据标准化服务，对历史数据进行规范化处理；</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实时数据接入服务</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、提供集成平台业务调研和消息分析服务；</w:t>
            </w:r>
          </w:p>
          <w:p>
            <w:pPr>
              <w:pStyle w:val="null3"/>
              <w:jc w:val="both"/>
            </w:pPr>
            <w:r>
              <w:rPr>
                <w:sz w:val="24"/>
              </w:rPr>
              <w:t>2</w:t>
            </w:r>
            <w:r>
              <w:rPr>
                <w:sz w:val="24"/>
              </w:rPr>
              <w:t>、订阅集成平台消息，并进行标准化转换功能；</w:t>
            </w:r>
          </w:p>
          <w:p>
            <w:pPr>
              <w:pStyle w:val="null3"/>
              <w:jc w:val="both"/>
            </w:pPr>
            <w:r>
              <w:rPr>
                <w:sz w:val="24"/>
              </w:rPr>
              <w:t>3</w:t>
            </w:r>
            <w:r>
              <w:rPr>
                <w:sz w:val="24"/>
              </w:rPr>
              <w:t>、提供集成平台消息数据清洗功能；</w:t>
            </w:r>
          </w:p>
          <w:p>
            <w:pPr>
              <w:pStyle w:val="null3"/>
              <w:jc w:val="both"/>
            </w:pPr>
            <w:r>
              <w:rPr>
                <w:sz w:val="24"/>
              </w:rPr>
              <w:t>4</w:t>
            </w:r>
            <w:r>
              <w:rPr>
                <w:sz w:val="24"/>
              </w:rPr>
              <w:t>、提供集成平台消息实时存入数据中心的功能；</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数据集中存储服务</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、支持结构化数据的统一存储，采用列式数据库HBase技术；</w:t>
            </w:r>
          </w:p>
          <w:p>
            <w:pPr>
              <w:pStyle w:val="null3"/>
              <w:jc w:val="both"/>
            </w:pPr>
            <w:r>
              <w:rPr>
                <w:sz w:val="24"/>
              </w:rPr>
              <w:t>2</w:t>
            </w:r>
            <w:r>
              <w:rPr>
                <w:sz w:val="24"/>
              </w:rPr>
              <w:t>、支持非结构化和半结构化数据存储，采用列式数据库HBase技术或分布式文件系统HDFS技术；</w:t>
            </w:r>
          </w:p>
          <w:p>
            <w:pPr>
              <w:pStyle w:val="null3"/>
              <w:jc w:val="both"/>
            </w:pPr>
            <w:r>
              <w:rPr>
                <w:sz w:val="24"/>
              </w:rPr>
              <w:t>3</w:t>
            </w:r>
            <w:r>
              <w:rPr>
                <w:sz w:val="24"/>
              </w:rPr>
              <w:t>、通过建立Hive外表实现类SQL语句的查询系统；</w:t>
            </w:r>
          </w:p>
          <w:p>
            <w:pPr>
              <w:pStyle w:val="null3"/>
              <w:jc w:val="both"/>
            </w:pPr>
            <w:r>
              <w:rPr>
                <w:sz w:val="24"/>
              </w:rPr>
              <w:t>4</w:t>
            </w:r>
            <w:r>
              <w:rPr>
                <w:sz w:val="24"/>
              </w:rPr>
              <w:t>、通过Impala、Spark SQL等技术，实现实时SQL查询系统；</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实时对外服务</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、提供业务系统实时查询访问数据中心数据的功能；</w:t>
            </w:r>
          </w:p>
          <w:p>
            <w:pPr>
              <w:pStyle w:val="null3"/>
              <w:jc w:val="both"/>
            </w:pPr>
            <w:r>
              <w:rPr>
                <w:sz w:val="24"/>
              </w:rPr>
              <w:t>2</w:t>
            </w:r>
            <w:r>
              <w:rPr>
                <w:sz w:val="24"/>
              </w:rPr>
              <w:t>、提供基于标准的Web-Service访问接口服务；</w:t>
            </w:r>
          </w:p>
          <w:p>
            <w:pPr>
              <w:pStyle w:val="null3"/>
              <w:jc w:val="both"/>
            </w:pPr>
            <w:r>
              <w:rPr>
                <w:sz w:val="24"/>
              </w:rPr>
              <w:t>3</w:t>
            </w:r>
            <w:r>
              <w:rPr>
                <w:sz w:val="24"/>
              </w:rPr>
              <w:t>、提供基于数据中心标准的视图接口访问服务；</w:t>
            </w:r>
          </w:p>
          <w:p>
            <w:pPr>
              <w:pStyle w:val="null3"/>
              <w:jc w:val="both"/>
            </w:pPr>
            <w:r>
              <w:rPr>
                <w:sz w:val="24"/>
              </w:rPr>
              <w:t>4</w:t>
            </w:r>
            <w:r>
              <w:rPr>
                <w:sz w:val="24"/>
              </w:rPr>
              <w:t>、提供数据中心的数据访问的授权、访问日志跟踪记录功能；</w:t>
            </w:r>
          </w:p>
          <w:p>
            <w:pPr>
              <w:pStyle w:val="null3"/>
              <w:jc w:val="both"/>
            </w:pPr>
            <w:r>
              <w:rPr>
                <w:sz w:val="24"/>
              </w:rPr>
              <w:t>5</w:t>
            </w:r>
            <w:r>
              <w:rPr>
                <w:sz w:val="24"/>
              </w:rPr>
              <w:t>、提供数据访问的患者去标识化、隐私保护功能；</w:t>
            </w:r>
          </w:p>
          <w:p>
            <w:pPr>
              <w:pStyle w:val="null3"/>
              <w:jc w:val="both"/>
            </w:pPr>
            <w:r>
              <w:rPr>
                <w:sz w:val="24"/>
              </w:rPr>
              <w:t>6</w:t>
            </w:r>
            <w:r>
              <w:rPr>
                <w:sz w:val="24"/>
              </w:rPr>
              <w:t>、数据中心对外服务范围说明：</w:t>
            </w:r>
          </w:p>
          <w:p>
            <w:pPr>
              <w:pStyle w:val="null3"/>
              <w:jc w:val="both"/>
            </w:pPr>
            <w:r>
              <w:rPr>
                <w:sz w:val="24"/>
              </w:rPr>
              <w:t>  单个患者数据对外服务：对于已经抽取到数据中心的数据，数据中心均可以按单个患者ID提供对外服务（以WebService的方式调用）。</w:t>
            </w:r>
          </w:p>
          <w:p>
            <w:pPr>
              <w:pStyle w:val="null3"/>
              <w:jc w:val="both"/>
            </w:pPr>
            <w:r>
              <w:rPr>
                <w:sz w:val="24"/>
              </w:rPr>
              <w:t>  批量提供数据对外服务：对于抽取到数据中心的数据，如果不需要数据中心额外加工以及计算的数据，可以直接提供对外服务。对于需要额外加工或者计算的数据，数据中心有权对新的批量数据对外服务需求的工作量进行评估，并与医院协商相应的技术方案及成本。</w:t>
            </w:r>
          </w:p>
        </w:tc>
      </w:tr>
      <w:tr>
        <w:tc>
          <w:tcPr>
            <w:tcW w:type="dxa" w:w="50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4</w:t>
            </w:r>
          </w:p>
          <w:p>
            <w:pPr>
              <w:pStyle w:val="null3"/>
              <w:jc w:val="both"/>
            </w:pPr>
          </w:p>
        </w:tc>
        <w:tc>
          <w:tcPr>
            <w:tcW w:type="dxa" w:w="118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嘉和医院数据中心管理配置系统</w:t>
            </w:r>
          </w:p>
          <w:p>
            <w:pPr>
              <w:pStyle w:val="null3"/>
              <w:jc w:val="both"/>
            </w:p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首页概览</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、提供数据中心集群运行状况预警信息；</w:t>
            </w:r>
          </w:p>
          <w:p>
            <w:pPr>
              <w:pStyle w:val="null3"/>
              <w:jc w:val="both"/>
            </w:pPr>
            <w:r>
              <w:rPr>
                <w:sz w:val="24"/>
              </w:rPr>
              <w:t>2</w:t>
            </w:r>
            <w:r>
              <w:rPr>
                <w:sz w:val="24"/>
              </w:rPr>
              <w:t>、提供数据中心应用服务运行状况预警信息；</w:t>
            </w:r>
          </w:p>
          <w:p>
            <w:pPr>
              <w:pStyle w:val="null3"/>
              <w:jc w:val="both"/>
            </w:pPr>
            <w:r>
              <w:rPr>
                <w:sz w:val="24"/>
              </w:rPr>
              <w:t>3</w:t>
            </w:r>
            <w:r>
              <w:rPr>
                <w:sz w:val="24"/>
              </w:rPr>
              <w:t>、提供数据中心硬件使用状况和预警信息；</w:t>
            </w:r>
          </w:p>
          <w:p>
            <w:pPr>
              <w:pStyle w:val="null3"/>
              <w:jc w:val="both"/>
            </w:pPr>
            <w:r>
              <w:rPr>
                <w:sz w:val="24"/>
              </w:rPr>
              <w:t>4</w:t>
            </w:r>
            <w:r>
              <w:rPr>
                <w:sz w:val="24"/>
              </w:rPr>
              <w:t>、提供数据中心分类存储信息汇总及趋势；</w:t>
            </w:r>
          </w:p>
          <w:p>
            <w:pPr>
              <w:pStyle w:val="null3"/>
              <w:jc w:val="both"/>
            </w:pPr>
            <w:r>
              <w:rPr>
                <w:sz w:val="24"/>
              </w:rPr>
              <w:t>5</w:t>
            </w:r>
            <w:r>
              <w:rPr>
                <w:sz w:val="24"/>
              </w:rPr>
              <w:t>、提供当天数据增量信息查看功能；</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平台监控</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、运行服务的监控，包括：服务运行的数量、目前暂停或出现问题的服务数量、30秒内业务服务接收到的消息数量、最新传入的消息、30秒内传出的消息数量、最新的传入消息；</w:t>
            </w:r>
          </w:p>
          <w:p>
            <w:pPr>
              <w:pStyle w:val="null3"/>
              <w:jc w:val="both"/>
            </w:pPr>
            <w:r>
              <w:rPr>
                <w:sz w:val="24"/>
              </w:rPr>
              <w:t>2</w:t>
            </w:r>
            <w:r>
              <w:rPr>
                <w:sz w:val="24"/>
              </w:rPr>
              <w:t>、运行工作的监控，包括：系统进程总数量、活跃的进程数量、外部访问的进程数量、最活跃的流程；</w:t>
            </w:r>
          </w:p>
          <w:p>
            <w:pPr>
              <w:pStyle w:val="null3"/>
              <w:jc w:val="both"/>
            </w:pPr>
            <w:r>
              <w:rPr>
                <w:sz w:val="24"/>
              </w:rPr>
              <w:t>3</w:t>
            </w:r>
            <w:r>
              <w:rPr>
                <w:sz w:val="24"/>
              </w:rPr>
              <w:t>、系统操作时间监控，如系统更新时间、备份时间；</w:t>
            </w:r>
          </w:p>
          <w:p>
            <w:pPr>
              <w:pStyle w:val="null3"/>
              <w:jc w:val="both"/>
            </w:pPr>
            <w:r>
              <w:rPr>
                <w:sz w:val="24"/>
              </w:rPr>
              <w:t>4</w:t>
            </w:r>
            <w:r>
              <w:rPr>
                <w:sz w:val="24"/>
              </w:rPr>
              <w:t>、系统占用资源量监控，如服务器空间的占用量是否正常、锁表情况监控等；</w:t>
            </w:r>
          </w:p>
          <w:p>
            <w:pPr>
              <w:pStyle w:val="null3"/>
              <w:jc w:val="both"/>
            </w:pPr>
            <w:r>
              <w:rPr>
                <w:sz w:val="24"/>
              </w:rPr>
              <w:t>5</w:t>
            </w:r>
            <w:r>
              <w:rPr>
                <w:sz w:val="24"/>
              </w:rPr>
              <w:t>、平台队列监控，监控平台上的消息队列，提供活跃队列数量和为处理信息数量；</w:t>
            </w:r>
          </w:p>
          <w:p>
            <w:pPr>
              <w:pStyle w:val="null3"/>
              <w:jc w:val="both"/>
            </w:pPr>
            <w:r>
              <w:rPr>
                <w:sz w:val="24"/>
              </w:rPr>
              <w:t>6</w:t>
            </w:r>
            <w:r>
              <w:rPr>
                <w:sz w:val="24"/>
              </w:rPr>
              <w:t>、平台错误提示和警告功能，包括：严重的系统警报、平台警报、发生错误的数量；</w:t>
            </w:r>
          </w:p>
          <w:p>
            <w:pPr>
              <w:pStyle w:val="null3"/>
              <w:jc w:val="both"/>
            </w:pPr>
            <w:r>
              <w:rPr>
                <w:sz w:val="24"/>
              </w:rPr>
              <w:t>7</w:t>
            </w:r>
            <w:r>
              <w:rPr>
                <w:sz w:val="24"/>
              </w:rPr>
              <w:t>、平台许可证情况监控，监控许可证是否到期等；</w:t>
            </w:r>
          </w:p>
          <w:p>
            <w:pPr>
              <w:pStyle w:val="null3"/>
              <w:jc w:val="both"/>
            </w:pPr>
            <w:r>
              <w:rPr>
                <w:sz w:val="24"/>
              </w:rPr>
              <w:t>8</w:t>
            </w:r>
            <w:r>
              <w:rPr>
                <w:sz w:val="24"/>
              </w:rPr>
              <w:t>、任务管理器功能，可监控平台运行任务的名称、运行时间和运行状态；</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数据标准</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、提供数据元管理维护功能；</w:t>
            </w:r>
          </w:p>
          <w:p>
            <w:pPr>
              <w:pStyle w:val="null3"/>
              <w:jc w:val="both"/>
            </w:pPr>
            <w:r>
              <w:rPr>
                <w:sz w:val="24"/>
              </w:rPr>
              <w:t>2</w:t>
            </w:r>
            <w:r>
              <w:rPr>
                <w:sz w:val="24"/>
              </w:rPr>
              <w:t>、提供数据集/规范管理维护功能；</w:t>
            </w:r>
          </w:p>
          <w:p>
            <w:pPr>
              <w:pStyle w:val="null3"/>
              <w:jc w:val="both"/>
            </w:pPr>
            <w:r>
              <w:rPr>
                <w:sz w:val="24"/>
              </w:rPr>
              <w:t>3</w:t>
            </w:r>
            <w:r>
              <w:rPr>
                <w:sz w:val="24"/>
              </w:rPr>
              <w:t>、提供数据集/规范和数据元的映射管理功能；</w:t>
            </w:r>
          </w:p>
          <w:p>
            <w:pPr>
              <w:pStyle w:val="null3"/>
              <w:jc w:val="both"/>
            </w:pPr>
            <w:r>
              <w:rPr>
                <w:sz w:val="24"/>
              </w:rPr>
              <w:t>4</w:t>
            </w:r>
            <w:r>
              <w:rPr>
                <w:sz w:val="24"/>
              </w:rPr>
              <w:t>、提供浏览院内业务字典功能；</w:t>
            </w:r>
          </w:p>
          <w:p>
            <w:pPr>
              <w:pStyle w:val="null3"/>
              <w:jc w:val="both"/>
            </w:pPr>
            <w:r>
              <w:rPr>
                <w:sz w:val="24"/>
              </w:rPr>
              <w:t>5</w:t>
            </w:r>
            <w:r>
              <w:rPr>
                <w:sz w:val="24"/>
              </w:rPr>
              <w:t>、提供平台字典和院内字典对照功能；</w:t>
            </w:r>
          </w:p>
          <w:p>
            <w:pPr>
              <w:pStyle w:val="null3"/>
              <w:jc w:val="both"/>
            </w:pPr>
            <w:r>
              <w:rPr>
                <w:sz w:val="24"/>
              </w:rPr>
              <w:t>6</w:t>
            </w:r>
            <w:r>
              <w:rPr>
                <w:sz w:val="24"/>
              </w:rPr>
              <w:t>、提供外部标准字典和院内字典对照功能；</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数据管理</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、提供HBase数据查询和浏览功能；</w:t>
            </w:r>
          </w:p>
          <w:p>
            <w:pPr>
              <w:pStyle w:val="null3"/>
              <w:jc w:val="both"/>
            </w:pPr>
            <w:r>
              <w:rPr>
                <w:sz w:val="24"/>
              </w:rPr>
              <w:t>2</w:t>
            </w:r>
            <w:r>
              <w:rPr>
                <w:sz w:val="24"/>
              </w:rPr>
              <w:t>、提供按照业务分类检索数据功能；</w:t>
            </w:r>
          </w:p>
          <w:p>
            <w:pPr>
              <w:pStyle w:val="null3"/>
              <w:jc w:val="both"/>
            </w:pPr>
            <w:r>
              <w:rPr>
                <w:sz w:val="24"/>
              </w:rPr>
              <w:t>3</w:t>
            </w:r>
            <w:r>
              <w:rPr>
                <w:sz w:val="24"/>
              </w:rPr>
              <w:t>、提供数据质量监测分析功能；</w:t>
            </w:r>
          </w:p>
          <w:p>
            <w:pPr>
              <w:pStyle w:val="null3"/>
              <w:jc w:val="both"/>
            </w:pPr>
            <w:r>
              <w:rPr>
                <w:sz w:val="24"/>
              </w:rPr>
              <w:t>4</w:t>
            </w:r>
            <w:r>
              <w:rPr>
                <w:sz w:val="24"/>
              </w:rPr>
              <w:t>、提供数据质量治理工具，包括日期格式化标准化等工具；</w:t>
            </w:r>
          </w:p>
          <w:p>
            <w:pPr>
              <w:pStyle w:val="null3"/>
              <w:jc w:val="both"/>
            </w:pPr>
            <w:r>
              <w:rPr>
                <w:sz w:val="24"/>
              </w:rPr>
              <w:t>5</w:t>
            </w:r>
            <w:r>
              <w:rPr>
                <w:sz w:val="24"/>
              </w:rPr>
              <w:t>、提供按照病历文书分类检索功能（全文检索）；</w:t>
            </w:r>
          </w:p>
          <w:p>
            <w:pPr>
              <w:pStyle w:val="null3"/>
              <w:jc w:val="both"/>
            </w:pPr>
            <w:r>
              <w:rPr>
                <w:sz w:val="24"/>
              </w:rPr>
              <w:t>6</w:t>
            </w:r>
            <w:r>
              <w:rPr>
                <w:sz w:val="24"/>
              </w:rPr>
              <w:t>、提供</w:t>
            </w:r>
            <w:r>
              <w:rPr>
                <w:sz w:val="24"/>
              </w:rPr>
              <w:t>所有业务系统的数据，查询数据并导出功能（自由查询）；</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系统管理</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、提供医疗机构信息（尤其是多院区、集团化医院）维护管理功能；</w:t>
            </w:r>
          </w:p>
          <w:p>
            <w:pPr>
              <w:pStyle w:val="null3"/>
              <w:jc w:val="both"/>
            </w:pPr>
            <w:r>
              <w:rPr>
                <w:sz w:val="24"/>
              </w:rPr>
              <w:t>2</w:t>
            </w:r>
            <w:r>
              <w:rPr>
                <w:sz w:val="24"/>
              </w:rPr>
              <w:t>、提供医院业务系统域ID维护管理功能；</w:t>
            </w:r>
          </w:p>
          <w:p>
            <w:pPr>
              <w:pStyle w:val="null3"/>
              <w:jc w:val="both"/>
            </w:pPr>
            <w:r>
              <w:rPr>
                <w:sz w:val="24"/>
              </w:rPr>
              <w:t>3</w:t>
            </w:r>
            <w:r>
              <w:rPr>
                <w:sz w:val="24"/>
              </w:rPr>
              <w:t>、提供数据中心全局变量配置维护功能；</w:t>
            </w:r>
          </w:p>
          <w:p>
            <w:pPr>
              <w:pStyle w:val="null3"/>
              <w:jc w:val="both"/>
            </w:pPr>
            <w:r>
              <w:rPr>
                <w:sz w:val="24"/>
              </w:rPr>
              <w:t>4</w:t>
            </w:r>
            <w:r>
              <w:rPr>
                <w:sz w:val="24"/>
              </w:rPr>
              <w:t>、提供基于角色的用户权限管理功能；</w:t>
            </w:r>
          </w:p>
          <w:p>
            <w:pPr>
              <w:pStyle w:val="null3"/>
              <w:jc w:val="both"/>
            </w:pPr>
            <w:r>
              <w:rPr>
                <w:sz w:val="24"/>
              </w:rPr>
              <w:t>5</w:t>
            </w:r>
            <w:r>
              <w:rPr>
                <w:sz w:val="24"/>
              </w:rPr>
              <w:t>、提供系统权限统一管理配置功能；</w:t>
            </w:r>
          </w:p>
        </w:tc>
      </w:tr>
      <w:tr>
        <w:tc>
          <w:tcPr>
            <w:tcW w:type="dxa" w:w="50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5</w:t>
            </w:r>
          </w:p>
        </w:tc>
        <w:tc>
          <w:tcPr>
            <w:tcW w:type="dxa" w:w="118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嘉和患者统一视图系统</w:t>
            </w:r>
          </w:p>
          <w:p>
            <w:pPr>
              <w:pStyle w:val="null3"/>
              <w:jc w:val="both"/>
            </w:p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患者匹配</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、提供基于患者主索引的患者唯一性匹配功能（依赖于患者主索引系统）；</w:t>
            </w:r>
          </w:p>
          <w:p>
            <w:pPr>
              <w:pStyle w:val="null3"/>
              <w:jc w:val="both"/>
            </w:pPr>
            <w:r>
              <w:rPr>
                <w:sz w:val="24"/>
              </w:rPr>
              <w:t>2</w:t>
            </w:r>
            <w:r>
              <w:rPr>
                <w:sz w:val="24"/>
              </w:rPr>
              <w:t>、提供基于患者主索引的就诊信息整合功能；</w:t>
            </w:r>
          </w:p>
          <w:p>
            <w:pPr>
              <w:pStyle w:val="null3"/>
              <w:jc w:val="both"/>
            </w:pPr>
            <w:r>
              <w:rPr>
                <w:sz w:val="24"/>
              </w:rPr>
              <w:t>3</w:t>
            </w:r>
            <w:r>
              <w:rPr>
                <w:sz w:val="24"/>
              </w:rPr>
              <w:t>、提供按照患者就诊类型、时间展示就诊时序的功能；</w:t>
            </w:r>
          </w:p>
          <w:p>
            <w:pPr>
              <w:pStyle w:val="null3"/>
              <w:jc w:val="both"/>
            </w:pPr>
            <w:r>
              <w:rPr>
                <w:sz w:val="24"/>
              </w:rPr>
              <w:t>4</w:t>
            </w:r>
            <w:r>
              <w:rPr>
                <w:sz w:val="24"/>
              </w:rPr>
              <w:t>、提供按照就诊时序进行患者数据归集的功能；</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患者列表</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、提供门诊和住院患者就诊列表；</w:t>
            </w:r>
          </w:p>
          <w:p>
            <w:pPr>
              <w:pStyle w:val="null3"/>
              <w:jc w:val="both"/>
            </w:pPr>
            <w:r>
              <w:rPr>
                <w:sz w:val="24"/>
              </w:rPr>
              <w:t>2</w:t>
            </w:r>
            <w:r>
              <w:rPr>
                <w:sz w:val="24"/>
              </w:rPr>
              <w:t>、提供本科室患者列表的查看功能，列表显示数据为患者最后一次就诊数据；</w:t>
            </w:r>
          </w:p>
          <w:p>
            <w:pPr>
              <w:pStyle w:val="null3"/>
              <w:jc w:val="both"/>
            </w:pPr>
            <w:r>
              <w:rPr>
                <w:sz w:val="24"/>
              </w:rPr>
              <w:t>3</w:t>
            </w:r>
            <w:r>
              <w:rPr>
                <w:sz w:val="24"/>
              </w:rPr>
              <w:t>、提供按患者ID、姓名、身份证号、住院号、就诊科室、就诊日期等条件查询患者的功能；</w:t>
            </w:r>
          </w:p>
          <w:p>
            <w:pPr>
              <w:pStyle w:val="null3"/>
              <w:jc w:val="both"/>
            </w:pPr>
            <w:r>
              <w:rPr>
                <w:sz w:val="24"/>
              </w:rPr>
              <w:t>4</w:t>
            </w:r>
            <w:r>
              <w:rPr>
                <w:sz w:val="24"/>
              </w:rPr>
              <w:t>、从患者列表直接跳转到患者的就诊视图</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就诊视图</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、患者就诊基本信息查看（门诊和住院）；</w:t>
            </w:r>
          </w:p>
          <w:p>
            <w:pPr>
              <w:pStyle w:val="null3"/>
              <w:jc w:val="both"/>
            </w:pPr>
            <w:r>
              <w:rPr>
                <w:sz w:val="24"/>
              </w:rPr>
              <w:t>2</w:t>
            </w:r>
            <w:r>
              <w:rPr>
                <w:sz w:val="24"/>
              </w:rPr>
              <w:t>、患者病案首页信息查看（住院）；</w:t>
            </w:r>
          </w:p>
          <w:p>
            <w:pPr>
              <w:pStyle w:val="null3"/>
              <w:jc w:val="both"/>
            </w:pPr>
            <w:r>
              <w:rPr>
                <w:sz w:val="24"/>
              </w:rPr>
              <w:t>3</w:t>
            </w:r>
            <w:r>
              <w:rPr>
                <w:sz w:val="24"/>
              </w:rPr>
              <w:t>、患者就诊医嘱分类信息查看；</w:t>
            </w:r>
          </w:p>
          <w:p>
            <w:pPr>
              <w:pStyle w:val="null3"/>
              <w:jc w:val="both"/>
            </w:pPr>
            <w:r>
              <w:rPr>
                <w:sz w:val="24"/>
              </w:rPr>
              <w:t>4</w:t>
            </w:r>
            <w:r>
              <w:rPr>
                <w:sz w:val="24"/>
              </w:rPr>
              <w:t>、患者就诊医嘱执行信息查看；</w:t>
            </w:r>
          </w:p>
          <w:p>
            <w:pPr>
              <w:pStyle w:val="null3"/>
              <w:jc w:val="both"/>
            </w:pPr>
            <w:r>
              <w:rPr>
                <w:sz w:val="24"/>
              </w:rPr>
              <w:t>5</w:t>
            </w:r>
            <w:r>
              <w:rPr>
                <w:sz w:val="24"/>
              </w:rPr>
              <w:t>、患者就诊检查报告查看，以及PDF浏览功能（依赖于医技系统检查报告提供Html或PDF等版式浏览文件；</w:t>
            </w:r>
          </w:p>
          <w:p>
            <w:pPr>
              <w:pStyle w:val="null3"/>
              <w:jc w:val="both"/>
            </w:pPr>
            <w:r>
              <w:rPr>
                <w:sz w:val="24"/>
              </w:rPr>
              <w:t>6</w:t>
            </w:r>
            <w:r>
              <w:rPr>
                <w:sz w:val="24"/>
              </w:rPr>
              <w:t>、患者就诊检验报告查看，以及检验项趋势分析功能；</w:t>
            </w:r>
          </w:p>
          <w:p>
            <w:pPr>
              <w:pStyle w:val="null3"/>
              <w:jc w:val="both"/>
            </w:pPr>
            <w:r>
              <w:rPr>
                <w:sz w:val="24"/>
              </w:rPr>
              <w:t>7</w:t>
            </w:r>
            <w:r>
              <w:rPr>
                <w:sz w:val="24"/>
              </w:rPr>
              <w:t>、患者就诊病历文书信息查看（依赖于电子病历系统能够提供Html或PDF等版式浏览文件）；</w:t>
            </w:r>
          </w:p>
          <w:p>
            <w:pPr>
              <w:pStyle w:val="null3"/>
              <w:jc w:val="both"/>
            </w:pPr>
            <w:r>
              <w:rPr>
                <w:sz w:val="24"/>
              </w:rPr>
              <w:t>8</w:t>
            </w:r>
            <w:r>
              <w:rPr>
                <w:sz w:val="24"/>
              </w:rPr>
              <w:t>、患者就诊手术信息查看（依赖于手麻系统麻醉单提供Html或PDF等版式浏览文件）；</w:t>
            </w:r>
          </w:p>
          <w:p>
            <w:pPr>
              <w:pStyle w:val="null3"/>
              <w:jc w:val="both"/>
            </w:pPr>
            <w:r>
              <w:rPr>
                <w:sz w:val="24"/>
              </w:rPr>
              <w:t>9</w:t>
            </w:r>
            <w:r>
              <w:rPr>
                <w:sz w:val="24"/>
              </w:rPr>
              <w:t>、患者就诊护理信息查看（依赖于体温单提供Html或PDF等版式浏览文件）；</w:t>
            </w:r>
          </w:p>
          <w:p>
            <w:pPr>
              <w:pStyle w:val="null3"/>
              <w:jc w:val="both"/>
            </w:pPr>
            <w:r>
              <w:rPr>
                <w:sz w:val="24"/>
              </w:rPr>
              <w:t>10</w:t>
            </w:r>
            <w:r>
              <w:rPr>
                <w:sz w:val="24"/>
              </w:rPr>
              <w:t>、患者就诊过敏信息查看；</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分类视图</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、提供患者全生命周期诊断浏览功能；</w:t>
            </w:r>
          </w:p>
          <w:p>
            <w:pPr>
              <w:pStyle w:val="null3"/>
              <w:jc w:val="both"/>
            </w:pPr>
            <w:r>
              <w:rPr>
                <w:sz w:val="24"/>
              </w:rPr>
              <w:t>2</w:t>
            </w:r>
            <w:r>
              <w:rPr>
                <w:sz w:val="24"/>
              </w:rPr>
              <w:t>、提供患者全生命周期口服药品和静脉药品医嘱浏览及预览功能；</w:t>
            </w:r>
          </w:p>
          <w:p>
            <w:pPr>
              <w:pStyle w:val="null3"/>
              <w:jc w:val="both"/>
            </w:pPr>
            <w:r>
              <w:rPr>
                <w:sz w:val="24"/>
              </w:rPr>
              <w:t>3</w:t>
            </w:r>
            <w:r>
              <w:rPr>
                <w:sz w:val="24"/>
              </w:rPr>
              <w:t>、提供患者全生命周期检验报告浏览及趋势分析功能；</w:t>
            </w:r>
          </w:p>
          <w:p>
            <w:pPr>
              <w:pStyle w:val="null3"/>
              <w:jc w:val="both"/>
            </w:pPr>
            <w:r>
              <w:rPr>
                <w:sz w:val="24"/>
              </w:rPr>
              <w:t>4</w:t>
            </w:r>
            <w:r>
              <w:rPr>
                <w:sz w:val="24"/>
              </w:rPr>
              <w:t>、提供患者全生命周期检查报告浏览及预览功能；</w:t>
            </w:r>
          </w:p>
          <w:p>
            <w:pPr>
              <w:pStyle w:val="null3"/>
              <w:jc w:val="both"/>
            </w:pPr>
            <w:r>
              <w:rPr>
                <w:sz w:val="24"/>
              </w:rPr>
              <w:t>5</w:t>
            </w:r>
            <w:r>
              <w:rPr>
                <w:sz w:val="24"/>
              </w:rPr>
              <w:t>、提供患者全生命周期病历文书浏览及预览功能；</w:t>
            </w:r>
          </w:p>
          <w:p>
            <w:pPr>
              <w:pStyle w:val="null3"/>
              <w:jc w:val="both"/>
            </w:pPr>
            <w:r>
              <w:rPr>
                <w:sz w:val="24"/>
              </w:rPr>
              <w:t>6</w:t>
            </w:r>
            <w:r>
              <w:rPr>
                <w:sz w:val="24"/>
              </w:rPr>
              <w:t>、提供患者全生命周期手术记录浏览功能；</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当前视图</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、提供患者住院末次就诊诊断展示功能；</w:t>
            </w:r>
          </w:p>
          <w:p>
            <w:pPr>
              <w:pStyle w:val="null3"/>
              <w:jc w:val="both"/>
            </w:pPr>
            <w:r>
              <w:rPr>
                <w:sz w:val="24"/>
              </w:rPr>
              <w:t>2</w:t>
            </w:r>
            <w:r>
              <w:rPr>
                <w:sz w:val="24"/>
              </w:rPr>
              <w:t>、提供患者住院末次就诊入院记录中主诉展示功能；</w:t>
            </w:r>
          </w:p>
          <w:p>
            <w:pPr>
              <w:pStyle w:val="null3"/>
              <w:jc w:val="both"/>
            </w:pPr>
            <w:r>
              <w:rPr>
                <w:sz w:val="24"/>
              </w:rPr>
              <w:t>3</w:t>
            </w:r>
            <w:r>
              <w:rPr>
                <w:sz w:val="24"/>
              </w:rPr>
              <w:t>、提供患者住院末次就诊入院记录中现病史展示功能；</w:t>
            </w:r>
          </w:p>
          <w:p>
            <w:pPr>
              <w:pStyle w:val="null3"/>
              <w:jc w:val="both"/>
            </w:pPr>
            <w:r>
              <w:rPr>
                <w:sz w:val="24"/>
              </w:rPr>
              <w:t>4</w:t>
            </w:r>
            <w:r>
              <w:rPr>
                <w:sz w:val="24"/>
              </w:rPr>
              <w:t>、提供患者住院末次就诊异常检验报告展示功能；</w:t>
            </w:r>
          </w:p>
          <w:p>
            <w:pPr>
              <w:pStyle w:val="null3"/>
              <w:jc w:val="both"/>
            </w:pPr>
            <w:r>
              <w:rPr>
                <w:sz w:val="24"/>
              </w:rPr>
              <w:t>5</w:t>
            </w:r>
            <w:r>
              <w:rPr>
                <w:sz w:val="24"/>
              </w:rPr>
              <w:t>、提供患者住院末次就诊生命体征展示功能；</w:t>
            </w:r>
          </w:p>
          <w:p>
            <w:pPr>
              <w:pStyle w:val="null3"/>
              <w:jc w:val="both"/>
            </w:pPr>
            <w:r>
              <w:rPr>
                <w:sz w:val="24"/>
              </w:rPr>
              <w:t>6</w:t>
            </w:r>
            <w:r>
              <w:rPr>
                <w:sz w:val="24"/>
              </w:rPr>
              <w:t>、提供患者住院末次就诊手术进度展示功能；</w:t>
            </w:r>
          </w:p>
          <w:p>
            <w:pPr>
              <w:pStyle w:val="null3"/>
              <w:jc w:val="both"/>
            </w:pPr>
            <w:r>
              <w:rPr>
                <w:sz w:val="24"/>
              </w:rPr>
              <w:t>7</w:t>
            </w:r>
            <w:r>
              <w:rPr>
                <w:sz w:val="24"/>
              </w:rPr>
              <w:t>、提供患者住院末次就诊检查报告展示功能；</w:t>
            </w:r>
          </w:p>
          <w:p>
            <w:pPr>
              <w:pStyle w:val="null3"/>
              <w:jc w:val="both"/>
            </w:pPr>
            <w:r>
              <w:rPr>
                <w:sz w:val="24"/>
              </w:rPr>
              <w:t>8</w:t>
            </w:r>
            <w:r>
              <w:rPr>
                <w:sz w:val="24"/>
              </w:rPr>
              <w:t>、提供患者住院末次就诊病历展示功能；</w:t>
            </w:r>
          </w:p>
          <w:p>
            <w:pPr>
              <w:pStyle w:val="null3"/>
              <w:jc w:val="both"/>
            </w:pPr>
            <w:r>
              <w:rPr>
                <w:sz w:val="24"/>
              </w:rPr>
              <w:t>9</w:t>
            </w:r>
            <w:r>
              <w:rPr>
                <w:sz w:val="24"/>
              </w:rPr>
              <w:t>、提供患者住院末次就诊用药医嘱展示功能；</w:t>
            </w:r>
          </w:p>
          <w:p>
            <w:pPr>
              <w:pStyle w:val="null3"/>
              <w:jc w:val="both"/>
            </w:pPr>
            <w:r>
              <w:rPr>
                <w:sz w:val="24"/>
              </w:rPr>
              <w:t>10</w:t>
            </w:r>
            <w:r>
              <w:rPr>
                <w:sz w:val="24"/>
              </w:rPr>
              <w:t>、提供患者住院末次就诊过敏信息展示功能；</w:t>
            </w:r>
          </w:p>
        </w:tc>
      </w:tr>
      <w:tr>
        <w:tc>
          <w:tcPr>
            <w:tcW w:type="dxa" w:w="50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6</w:t>
            </w:r>
          </w:p>
        </w:tc>
        <w:tc>
          <w:tcPr>
            <w:tcW w:type="dxa" w:w="118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闭环管理</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医嘱闭环</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numPr>
                <w:ilvl w:val="0"/>
                <w:numId w:val="1"/>
              </w:numPr>
              <w:jc w:val="both"/>
            </w:pPr>
            <w:r>
              <w:rPr>
                <w:sz w:val="24"/>
              </w:rPr>
              <w:t>口服用药闭环；</w:t>
            </w:r>
          </w:p>
          <w:p>
            <w:pPr>
              <w:pStyle w:val="null3"/>
              <w:numPr>
                <w:ilvl w:val="0"/>
                <w:numId w:val="1"/>
              </w:numPr>
              <w:jc w:val="both"/>
            </w:pPr>
            <w:r>
              <w:rPr>
                <w:sz w:val="24"/>
              </w:rPr>
              <w:t>静脉药物闭环；</w:t>
            </w:r>
          </w:p>
          <w:p>
            <w:pPr>
              <w:pStyle w:val="null3"/>
              <w:numPr>
                <w:ilvl w:val="0"/>
                <w:numId w:val="1"/>
              </w:numPr>
              <w:jc w:val="both"/>
            </w:pPr>
            <w:r>
              <w:rPr>
                <w:sz w:val="24"/>
              </w:rPr>
              <w:t>手术麻醉闭环；</w:t>
            </w:r>
          </w:p>
          <w:p>
            <w:pPr>
              <w:pStyle w:val="null3"/>
              <w:numPr>
                <w:ilvl w:val="0"/>
                <w:numId w:val="1"/>
              </w:numPr>
              <w:jc w:val="both"/>
            </w:pPr>
            <w:r>
              <w:rPr>
                <w:sz w:val="24"/>
              </w:rPr>
              <w:t>检验标本闭环；</w:t>
            </w:r>
          </w:p>
          <w:p>
            <w:pPr>
              <w:pStyle w:val="null3"/>
              <w:numPr>
                <w:ilvl w:val="0"/>
                <w:numId w:val="1"/>
              </w:numPr>
              <w:jc w:val="both"/>
            </w:pPr>
            <w:r>
              <w:rPr>
                <w:sz w:val="24"/>
              </w:rPr>
              <w:t>检查闭环；</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重点业务闭环</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numPr>
                <w:ilvl w:val="0"/>
                <w:numId w:val="1"/>
              </w:numPr>
              <w:jc w:val="both"/>
            </w:pPr>
            <w:r>
              <w:rPr>
                <w:sz w:val="24"/>
              </w:rPr>
              <w:t>临床用血闭环；</w:t>
            </w:r>
          </w:p>
          <w:p>
            <w:pPr>
              <w:pStyle w:val="null3"/>
              <w:numPr>
                <w:ilvl w:val="0"/>
                <w:numId w:val="1"/>
              </w:numPr>
              <w:jc w:val="both"/>
            </w:pPr>
            <w:r>
              <w:rPr>
                <w:sz w:val="24"/>
              </w:rPr>
              <w:t>会诊闭环；</w:t>
            </w:r>
          </w:p>
          <w:p>
            <w:pPr>
              <w:pStyle w:val="null3"/>
              <w:numPr>
                <w:ilvl w:val="0"/>
                <w:numId w:val="1"/>
              </w:numPr>
              <w:jc w:val="both"/>
            </w:pPr>
            <w:r>
              <w:rPr>
                <w:sz w:val="24"/>
              </w:rPr>
              <w:t>检查危急值闭环；</w:t>
            </w:r>
          </w:p>
          <w:p>
            <w:pPr>
              <w:pStyle w:val="null3"/>
              <w:numPr>
                <w:ilvl w:val="0"/>
                <w:numId w:val="1"/>
              </w:numPr>
              <w:jc w:val="both"/>
            </w:pPr>
            <w:r>
              <w:rPr>
                <w:sz w:val="24"/>
              </w:rPr>
              <w:t>检验危急值闭环；</w:t>
            </w:r>
          </w:p>
          <w:p>
            <w:pPr>
              <w:pStyle w:val="null3"/>
              <w:numPr>
                <w:ilvl w:val="0"/>
                <w:numId w:val="1"/>
              </w:numPr>
              <w:jc w:val="both"/>
            </w:pPr>
            <w:r>
              <w:rPr>
                <w:sz w:val="24"/>
              </w:rPr>
              <w:t>消毒供应闭环；</w:t>
            </w:r>
          </w:p>
          <w:p>
            <w:pPr>
              <w:pStyle w:val="null3"/>
              <w:numPr>
                <w:ilvl w:val="0"/>
                <w:numId w:val="1"/>
              </w:numPr>
              <w:jc w:val="both"/>
            </w:pPr>
            <w:r>
              <w:rPr>
                <w:sz w:val="24"/>
              </w:rPr>
              <w:t>手术器械闭环；</w:t>
            </w:r>
          </w:p>
        </w:tc>
      </w:tr>
      <w:tr>
        <w:tc>
          <w:tcPr>
            <w:tcW w:type="dxa" w:w="50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7</w:t>
            </w:r>
          </w:p>
        </w:tc>
        <w:tc>
          <w:tcPr>
            <w:tcW w:type="dxa" w:w="118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运营决策分析系统</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实时流量</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、门诊流量分析：实时监测门诊挂号人次、已就诊、待诊人次流量；检查申请人次、完成检查人次、等待人次分析；检验申请人次、完成检查人次、等待人次分析；并且能下钻到具体的患者明细信息。</w:t>
            </w:r>
          </w:p>
          <w:p>
            <w:pPr>
              <w:pStyle w:val="null3"/>
              <w:jc w:val="both"/>
            </w:pPr>
            <w:r>
              <w:rPr>
                <w:sz w:val="24"/>
              </w:rPr>
              <w:t>2</w:t>
            </w:r>
            <w:r>
              <w:rPr>
                <w:sz w:val="24"/>
              </w:rPr>
              <w:t>、门诊预约分析：门诊患者预约途径方式构成分析、平均预约就诊率、出诊级别构成分析。</w:t>
            </w:r>
          </w:p>
          <w:p>
            <w:pPr>
              <w:pStyle w:val="null3"/>
              <w:jc w:val="both"/>
            </w:pPr>
            <w:r>
              <w:rPr>
                <w:sz w:val="24"/>
              </w:rPr>
              <w:t>3</w:t>
            </w:r>
            <w:r>
              <w:rPr>
                <w:sz w:val="24"/>
              </w:rPr>
              <w:t>、就诊流量:每小时时段实时人次、累计人次分析；</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医疗服务</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、KPI指标分析：年度门诊人次、人次增减率分析；年度急诊人次、人次增减率分析；KPI指标月度趋势分析、本期同步、环比分析；</w:t>
            </w:r>
          </w:p>
          <w:p>
            <w:pPr>
              <w:pStyle w:val="null3"/>
              <w:jc w:val="both"/>
            </w:pPr>
            <w:r>
              <w:rPr>
                <w:sz w:val="24"/>
              </w:rPr>
              <w:t>2</w:t>
            </w:r>
            <w:r>
              <w:rPr>
                <w:sz w:val="24"/>
              </w:rPr>
              <w:t>、科室分析：科室门诊人次排行；科室各月人次同步、环比分析；</w:t>
            </w:r>
          </w:p>
          <w:p>
            <w:pPr>
              <w:pStyle w:val="null3"/>
              <w:jc w:val="both"/>
            </w:pPr>
            <w:r>
              <w:rPr>
                <w:sz w:val="24"/>
              </w:rPr>
              <w:t>3</w:t>
            </w:r>
            <w:r>
              <w:rPr>
                <w:sz w:val="24"/>
              </w:rPr>
              <w:t>、综合分析：年度门诊人次、人次增减率分析；年度急诊人次、人次增减率分析；出诊级别接诊排名</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病种运营</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、住院病种人次排行分析：提供病种人次排行、占比比例、同比分析；</w:t>
            </w:r>
          </w:p>
          <w:p>
            <w:pPr>
              <w:pStyle w:val="null3"/>
              <w:jc w:val="both"/>
            </w:pPr>
            <w:r>
              <w:rPr>
                <w:sz w:val="24"/>
              </w:rPr>
              <w:t xml:space="preserve"> 2</w:t>
            </w:r>
            <w:r>
              <w:rPr>
                <w:sz w:val="24"/>
              </w:rPr>
              <w:t>、提供科室住院主要疾病的指标分析:指标：总例数、死亡例数、死亡率、两周内再住院例数、1月内再住院例数、平均住院日、平均住院费用、平均药品费用、平均药品占比等。</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收入分析</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、提供门诊/急诊/住院收入年度/月度趋势分析；支持单月下钻单日趋势分析、科室排行分析、收入分类分析；</w:t>
            </w:r>
          </w:p>
          <w:p>
            <w:pPr>
              <w:pStyle w:val="null3"/>
              <w:jc w:val="both"/>
            </w:pPr>
            <w:r>
              <w:rPr>
                <w:sz w:val="24"/>
              </w:rPr>
              <w:t>2</w:t>
            </w:r>
            <w:r>
              <w:rPr>
                <w:sz w:val="24"/>
              </w:rPr>
              <w:t>、提供门诊/住院科室收入；</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医疗效率</w:t>
            </w:r>
          </w:p>
        </w:tc>
        <w:tc>
          <w:tcPr>
            <w:tcW w:type="dxa" w:w="53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4"/>
              </w:rPr>
              <w:t>1</w:t>
            </w:r>
            <w:r>
              <w:rPr>
                <w:sz w:val="24"/>
              </w:rPr>
              <w:t>、KPI指标分析：平均住院日、病床使用率、病床周转次数、日均诊疗人次、日均住院床日数、人均住院手术人次、人均门急诊手术人次、本科室人均住院手术人次、本科室人均门急诊手术人次</w:t>
            </w:r>
          </w:p>
          <w:p>
            <w:pPr>
              <w:pStyle w:val="null3"/>
              <w:jc w:val="both"/>
            </w:pPr>
            <w:r>
              <w:rPr>
                <w:sz w:val="24"/>
              </w:rPr>
              <w:t>2</w:t>
            </w:r>
            <w:r>
              <w:rPr>
                <w:sz w:val="24"/>
              </w:rPr>
              <w:t>、就诊效率分析：提供按照普通号/专家号分类，围绕指标：平均候诊时间、平均就诊时间、日均人次，进行本期、同期、历年指标对比分析；支持院级-&gt;科室-&gt;医师逐级下钻分析；</w:t>
            </w:r>
          </w:p>
        </w:tc>
      </w:tr>
    </w:tbl>
    <w:p>
      <w:pPr>
        <w:pStyle w:val="null3"/>
        <w:ind w:firstLine="420"/>
        <w:jc w:val="left"/>
        <w:outlineLvl w:val="0"/>
      </w:pPr>
      <w:r>
        <w:rPr>
          <w:sz w:val="21"/>
          <w:b/>
        </w:rPr>
        <w:t>（二</w:t>
      </w:r>
      <w:r>
        <w:rPr>
          <w:sz w:val="21"/>
          <w:b/>
        </w:rPr>
        <w:t>）集成平台及数据中心</w:t>
      </w:r>
      <w:r>
        <w:rPr>
          <w:sz w:val="21"/>
          <w:b/>
        </w:rPr>
        <w:t>等保测评安全整改</w:t>
      </w:r>
      <w:r>
        <w:rPr>
          <w:sz w:val="21"/>
          <w:b/>
        </w:rPr>
        <w:t>服务内容</w:t>
      </w:r>
    </w:p>
    <w:p>
      <w:pPr>
        <w:pStyle w:val="null3"/>
        <w:ind w:firstLine="480"/>
        <w:jc w:val="both"/>
      </w:pPr>
      <w:r>
        <w:rPr>
          <w:sz w:val="24"/>
        </w:rPr>
        <w:t>根据网络安全等级保护第三等级的要求，对集成平台及数据中心系统进行安全整改。包括但不限于操作系统密码策略、数据库密码策略、登录连接超时及自动退出策略、安全审计策略等安全通用要求及漏洞修补等。</w:t>
      </w:r>
    </w:p>
    <w:p>
      <w:pPr>
        <w:pStyle w:val="null3"/>
        <w:ind w:firstLine="420"/>
        <w:jc w:val="both"/>
        <w:outlineLvl w:val="0"/>
      </w:pPr>
      <w:r>
        <w:rPr>
          <w:sz w:val="21"/>
          <w:b/>
        </w:rPr>
        <w:t>二、</w:t>
      </w:r>
      <w:r>
        <w:rPr>
          <w:sz w:val="21"/>
          <w:b/>
        </w:rPr>
        <w:t>服务响应</w:t>
      </w:r>
      <w:r>
        <w:rPr>
          <w:sz w:val="21"/>
          <w:b/>
        </w:rPr>
        <w:t>要求</w:t>
      </w:r>
    </w:p>
    <w:p>
      <w:pPr>
        <w:pStyle w:val="null3"/>
        <w:ind w:firstLine="480"/>
        <w:jc w:val="both"/>
      </w:pPr>
      <w:r>
        <w:rPr>
          <w:sz w:val="24"/>
        </w:rPr>
        <w:t xml:space="preserve">1. </w:t>
      </w:r>
      <w:r>
        <w:rPr>
          <w:sz w:val="24"/>
        </w:rPr>
        <w:t>服务有效期为1年,自合同签订起生效。</w:t>
      </w:r>
    </w:p>
    <w:p>
      <w:pPr>
        <w:pStyle w:val="null3"/>
        <w:ind w:firstLine="480"/>
        <w:jc w:val="both"/>
      </w:pPr>
      <w:r>
        <w:rPr>
          <w:sz w:val="24"/>
        </w:rPr>
        <w:t xml:space="preserve">2. </w:t>
      </w:r>
      <w:r>
        <w:rPr>
          <w:sz w:val="24"/>
        </w:rPr>
        <w:t>提供7×24小时响应服务（包括现场服务、紧急事件响应、系统升级、安全整改等），出现故障时，快速受理服务请求，根据不同的故障等级在不同时间内进行响应，对于远程或电话无法解决的问题，安排技术人员现场处理，重大故障提供故障分析报告，保证2小时内到达现场解决重大系统故障。</w:t>
      </w:r>
    </w:p>
    <w:p>
      <w:pPr>
        <w:pStyle w:val="null3"/>
        <w:ind w:firstLine="420"/>
        <w:jc w:val="both"/>
      </w:pPr>
      <w:r>
        <w:rPr>
          <w:sz w:val="21"/>
          <w:b/>
        </w:rPr>
        <w:t>三、人员要求</w:t>
      </w:r>
    </w:p>
    <w:p>
      <w:pPr>
        <w:pStyle w:val="null3"/>
        <w:ind w:firstLine="480"/>
        <w:jc w:val="both"/>
      </w:pPr>
      <w:r>
        <w:rPr>
          <w:sz w:val="24"/>
        </w:rPr>
        <w:t>须有2名工程师（要求至少1名有3年以上信息平台运维经验）驻场进行全程跟踪，提供全面技术支持服务，确保集成平台及数据中心稳定运行。</w:t>
      </w:r>
    </w:p>
    <w:p>
      <w:pPr>
        <w:pStyle w:val="null3"/>
        <w:ind w:firstLine="420"/>
        <w:jc w:val="both"/>
      </w:pPr>
      <w:r>
        <w:rPr>
          <w:sz w:val="21"/>
          <w:b/>
        </w:rPr>
        <w:t>四、验收要求</w:t>
      </w:r>
    </w:p>
    <w:p>
      <w:pPr>
        <w:pStyle w:val="null3"/>
        <w:ind w:firstLine="420"/>
        <w:jc w:val="both"/>
      </w:pPr>
      <w:r>
        <w:rPr>
          <w:sz w:val="21"/>
        </w:rPr>
        <w:t>采购人信息技术部每季度在收到中标人提供的服务报告后，结合中标人的服务情况及服务报告，对中标人公司的服务作出考核。</w:t>
      </w:r>
    </w:p>
    <w:p>
      <w:pPr>
        <w:pStyle w:val="null3"/>
        <w:ind w:firstLine="422"/>
        <w:jc w:val="both"/>
      </w:pPr>
      <w:r>
        <w:rPr>
          <w:sz w:val="21"/>
          <w:b/>
        </w:rPr>
        <w:t>五、应急保障要求</w:t>
      </w:r>
    </w:p>
    <w:p>
      <w:pPr>
        <w:pStyle w:val="null3"/>
        <w:ind w:firstLine="480"/>
        <w:jc w:val="both"/>
      </w:pPr>
      <w:r>
        <w:rPr>
          <w:sz w:val="24"/>
        </w:rPr>
        <w:t>投标人应制订针对系统日常运行期间的技术保障、故障响应、应急处理预案等服务保障方案。合理分析预判可能产生的风险，简要描述拟提供的技术保障服务，以及拟采取的具体应急措施，包括但不限于技术人员配备、现场/远程响应方式、承诺响应时间、系统故障处理流程、软件代码缺陷修补、软件功能完善、数据安全备份和恢复机制等。</w:t>
      </w:r>
    </w:p>
    <w:p>
      <w:pPr>
        <w:pStyle w:val="null3"/>
        <w:ind w:firstLine="422"/>
        <w:jc w:val="both"/>
      </w:pPr>
      <w:r>
        <w:rPr>
          <w:sz w:val="21"/>
          <w:b/>
        </w:rPr>
        <w:t>六、质量保障要求</w:t>
      </w:r>
    </w:p>
    <w:p>
      <w:pPr>
        <w:pStyle w:val="null3"/>
        <w:ind w:firstLine="480"/>
        <w:jc w:val="both"/>
      </w:pPr>
      <w:r>
        <w:rPr>
          <w:sz w:val="24"/>
        </w:rPr>
        <w:t>为规避项目风险或将风险降至最低程度，供应商应建立项目质量管理体系，包括但不限于实施进度安排、人员安排、质量目标、质量控制措施、岗位责任、问题处理计划、质量评价、整改完善、后期服务等内容，确保项目高质量完成。</w:t>
      </w:r>
    </w:p>
    <w:p>
      <w:pPr>
        <w:pStyle w:val="null3"/>
        <w:ind w:firstLine="422"/>
        <w:jc w:val="both"/>
      </w:pPr>
      <w:r>
        <w:rPr>
          <w:sz w:val="21"/>
          <w:b/>
        </w:rPr>
        <w:t>七、付款方式</w:t>
      </w:r>
    </w:p>
    <w:p>
      <w:pPr>
        <w:pStyle w:val="null3"/>
        <w:numPr>
          <w:ilvl w:val="0"/>
          <w:numId w:val="1"/>
        </w:numPr>
        <w:jc w:val="both"/>
      </w:pPr>
      <w:r>
        <w:rPr>
          <w:sz w:val="24"/>
        </w:rPr>
        <w:t>1</w:t>
      </w:r>
      <w:r>
        <w:rPr>
          <w:sz w:val="24"/>
        </w:rPr>
        <w:t>期：支付比例30%,签订合同后5个工作日内办理完开工手续，并安排实施人员进场，在完成需求调研并出具经采购人、监理（如有）认可的第一个3个月的运维服务确认报告后，采购人于收到发票后10日内向中标人支付合同总额的30%。</w:t>
      </w:r>
    </w:p>
    <w:p>
      <w:pPr>
        <w:pStyle w:val="null3"/>
        <w:numPr>
          <w:ilvl w:val="0"/>
          <w:numId w:val="1"/>
        </w:numPr>
        <w:jc w:val="both"/>
      </w:pPr>
      <w:r>
        <w:rPr>
          <w:sz w:val="24"/>
        </w:rPr>
        <w:t>2</w:t>
      </w:r>
      <w:r>
        <w:rPr>
          <w:sz w:val="24"/>
        </w:rPr>
        <w:t>期：支付比例20%,第二个3个月的运维服务经采购人信息技术部、监理（如有）签字确认后，采购人于收到发票后10日内向中标人支付合同总额的20%。</w:t>
      </w:r>
    </w:p>
    <w:p>
      <w:pPr>
        <w:pStyle w:val="null3"/>
        <w:numPr>
          <w:ilvl w:val="0"/>
          <w:numId w:val="1"/>
        </w:numPr>
        <w:jc w:val="both"/>
      </w:pPr>
      <w:r>
        <w:rPr>
          <w:sz w:val="24"/>
        </w:rPr>
        <w:t>3</w:t>
      </w:r>
      <w:r>
        <w:rPr>
          <w:sz w:val="24"/>
        </w:rPr>
        <w:t>期：支付比例20%,第三个3个月的运维服务经采购人信息技术部、监理（如有）签字确认后，采购人于收到发票后10日内向中标人支付合同总额的20%。</w:t>
      </w:r>
    </w:p>
    <w:p>
      <w:pPr>
        <w:pStyle w:val="null3"/>
        <w:numPr>
          <w:ilvl w:val="0"/>
          <w:numId w:val="1"/>
        </w:numPr>
        <w:jc w:val="both"/>
      </w:pPr>
      <w:r>
        <w:rPr>
          <w:sz w:val="24"/>
        </w:rPr>
        <w:t>4</w:t>
      </w:r>
      <w:r>
        <w:rPr>
          <w:sz w:val="24"/>
        </w:rPr>
        <w:t>期：支付比例30%,第四个3个月的运维服务经采购人信息技术部、监理（如有）签字确认后，采购人于收到发票后10日内向中标人支付合同总额的30%。</w:t>
      </w:r>
    </w:p>
    <w:p>
      <w:pPr>
        <w:pStyle w:val="null3"/>
        <w:ind w:firstLine="200"/>
        <w:jc w:val="both"/>
      </w:pPr>
      <w:r>
        <w:rPr>
          <w:sz w:val="24"/>
          <w:b/>
        </w:rPr>
        <w:t>八、履约担保</w:t>
      </w:r>
    </w:p>
    <w:p>
      <w:pPr>
        <w:pStyle w:val="null3"/>
        <w:ind w:firstLine="200"/>
        <w:jc w:val="both"/>
      </w:pPr>
      <w:r>
        <w:rPr>
          <w:sz w:val="24"/>
        </w:rPr>
        <w:t>（一）履约担保金额：为中标金额的10%（中标人为中小企业，则为中标金额的5%）。</w:t>
      </w:r>
    </w:p>
    <w:p>
      <w:pPr>
        <w:pStyle w:val="null3"/>
        <w:ind w:firstLine="200"/>
        <w:jc w:val="both"/>
      </w:pPr>
      <w:r>
        <w:rPr>
          <w:sz w:val="24"/>
        </w:rPr>
        <w:t>（二）履约保证金形式：可以采用银行转账、支票、汇票、本票或者金融机构、担保机构出具的保函等非现金形式提交，以保函形式提交的保函有效期应不小于本项目维保期。</w:t>
      </w:r>
    </w:p>
    <w:p>
      <w:pPr>
        <w:pStyle w:val="null3"/>
        <w:ind w:firstLine="200"/>
        <w:jc w:val="both"/>
      </w:pPr>
      <w:r>
        <w:rPr>
          <w:sz w:val="24"/>
        </w:rPr>
        <w:t>（1）开户名称：广东医科大学附属医院</w:t>
      </w:r>
    </w:p>
    <w:p>
      <w:pPr>
        <w:pStyle w:val="null3"/>
        <w:ind w:firstLine="200"/>
        <w:jc w:val="both"/>
      </w:pPr>
      <w:r>
        <w:rPr>
          <w:sz w:val="24"/>
        </w:rPr>
        <w:t>（2）开户银行：广发银行湛江岭南支行</w:t>
      </w:r>
    </w:p>
    <w:p>
      <w:pPr>
        <w:pStyle w:val="null3"/>
        <w:ind w:firstLine="200"/>
        <w:jc w:val="both"/>
      </w:pPr>
      <w:r>
        <w:rPr>
          <w:sz w:val="24"/>
        </w:rPr>
        <w:t>（3）账号账号：109008516010000123</w:t>
      </w:r>
    </w:p>
    <w:p>
      <w:pPr>
        <w:pStyle w:val="null3"/>
        <w:ind w:firstLine="200"/>
        <w:jc w:val="both"/>
      </w:pPr>
      <w:r>
        <w:rPr>
          <w:sz w:val="24"/>
        </w:rPr>
        <w:t>（三）履约保证金提交时间：中标人在签订合同前需递交履约保证金。</w:t>
      </w:r>
    </w:p>
    <w:p>
      <w:pPr>
        <w:pStyle w:val="null3"/>
        <w:ind w:firstLine="200"/>
        <w:jc w:val="both"/>
      </w:pPr>
      <w:r>
        <w:rPr>
          <w:sz w:val="24"/>
        </w:rPr>
        <w:t>（四）履约保证金退还：服务验收合格后，由中标人提出申请，经采购人、中标人确认，采购人收到中标人申请后30天内退还履约担保金额的100%（不计利息）。采购人无正当理由逾期退还履约保证金，导致供应商权益受损的，采购人除应退还履约保证金外，赔偿供应商权益范围内的损失。</w:t>
      </w:r>
    </w:p>
    <w:p>
      <w:pPr>
        <w:pStyle w:val="null3"/>
        <w:ind w:firstLine="200"/>
        <w:jc w:val="both"/>
      </w:pPr>
      <w:r>
        <w:rPr>
          <w:sz w:val="24"/>
        </w:rPr>
        <w:t>（五）履约保证金说明：若中标人在合同履行期间违约，采购人有权从履约担保中扣除违约金，扣除后中标人须在10日内补足履约保证金，如履约保证金金额不足以扣除的部分采购人可向中标人进一步索赔。中标人不按合同规定提交履约保证金的，视为中标人违约，采购人有权单方面解除合同且不须承担任何违约责任。签订合同时中标人须提供银行转账凭证/保函或广东医科大学附属医院出具的履约保证金收据作为附件。</w:t>
      </w:r>
    </w:p>
    <w:p>
      <w:pPr>
        <w:pStyle w:val="null3"/>
        <w:ind w:firstLine="422"/>
        <w:jc w:val="both"/>
      </w:pPr>
      <w:r>
        <w:rPr/>
        <w:t>采购包1（2024年集成平台及数据中心运维服务）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服务有效期为1年,自合同签订起生效。</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支付比例30%,签订合同后5个工作日内办理完开工手续，并安排实施人员进场，在完成需求调研并出具经采购人、监理（如有）认可的第一个3个月的运维服务确认报告后，采购人于收到发票后10日内向中标人支付合同总额的30%。</w:t>
            </w:r>
          </w:p>
          <w:p>
            <w:pPr>
              <w:pStyle w:val="null3"/>
            </w:pPr>
            <w:r>
              <w:rPr/>
              <w:t>2期：支付比例20%,支付比例20%,第二个3个月的运维服务经采购人信息技术部、监理（如有）签字确认后，采购人于收到发票后10日内向中标人支付合同总额的20%。</w:t>
            </w:r>
          </w:p>
          <w:p>
            <w:pPr>
              <w:pStyle w:val="null3"/>
            </w:pPr>
            <w:r>
              <w:rPr/>
              <w:t>3期：支付比例20%,支付比例20%,第三个3个月的运维服务经采购人信息技术部、监理（如有）签字确认后，采购人于收到发票后10日内向中标人支付合同总额的20%。</w:t>
            </w:r>
          </w:p>
          <w:p>
            <w:pPr>
              <w:pStyle w:val="null3"/>
            </w:pPr>
            <w:r>
              <w:rPr/>
              <w:t>4期：支付比例30%,支付比例30%,第四个3个月的运维服务经采购人信息技术部、监理（如有）签字确认后，采购人于收到发票后10日内向中标人支付合同总额的30%。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1期：采购人信息技术部每季度在收到中标人提供的服务报告后，结合中标人的服务情况及服务报告，对中标人公司的服务作出考核。</w:t>
            </w:r>
          </w:p>
        </w:tc>
      </w:tr>
      <w:tr>
        <w:tc>
          <w:tcPr>
            <w:tcW w:type="dxa" w:w="4153"/>
          </w:tcPr>
          <w:p>
            <w:pPr>
              <w:pStyle w:val="null3"/>
            </w:pPr>
            <w:r>
              <w:rPr/>
              <w:t>履约保证金</w:t>
            </w:r>
          </w:p>
        </w:tc>
        <w:tc>
          <w:tcPr>
            <w:tcW w:type="dxa" w:w="4153"/>
          </w:tcPr>
          <w:p>
            <w:pPr>
              <w:pStyle w:val="null3"/>
            </w:pPr>
            <w:r>
              <w:rPr/>
              <w:t>收取比例：10%,说明：（一）履约担保金额：为中标金额的10%（中标人为中小企业，则为中标金额的5%）。 （二）履约保证金形式：可以采用银行转账、支票、汇票、本票或者金融机构、担保机构出具的保函等非现金形式提交，以保函形式提交的保函有效期应不小于本项目维保期。 （1）开户名称：广东医科大学附属医院 （2）开户银行：广发银行湛江岭南支行 （3）账号账号：109008516010000123 （三）履约保证金提交时间：中标人在签订合同前需递交履约保证金。 （四）履约保证金退还：服务验收合格后，由中标人提出申请，经采购人、中标人确认，采购人收到中标人申请后30天内退还履约担保金额的100%（不计利息）。采购人无正当理由逾期退还履约保证金，导致供应商权益受损的，采购人除应退还履约保证金外，赔偿供应商权益范围内的损失。 （五）履约保证金说明：若中标人在合同履行期间违约，采购人有权从履约担保中扣除违约金，扣除后中标人须在10日内补足履约保证金，如履约保证金金额不足以扣除的部分采购人可向中标人进一步索赔。中标人不按合同规定提交履约保证金的，视为中标人违约，采购人有权单方面解除合同且不须承担任何违约责任。签订合同时中标人须提供银行转账凭证/保函或广东医科大学附属医院出具的履约保证金收据作为附件。</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软件运维服务</w:t>
            </w:r>
          </w:p>
        </w:tc>
        <w:tc>
          <w:tcPr>
            <w:tcW w:type="dxa" w:w="933"/>
          </w:tcPr>
          <w:p>
            <w:pPr>
              <w:pStyle w:val="null3"/>
              <w:jc w:val="left"/>
            </w:pPr>
            <w:r>
              <w:rPr/>
              <w:t>集成平台及数据中心运维服务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700,000.00</w:t>
            </w:r>
          </w:p>
        </w:tc>
        <w:tc>
          <w:tcPr>
            <w:tcW w:type="dxa" w:w="933"/>
          </w:tcPr>
          <w:p>
            <w:pPr>
              <w:pStyle w:val="null3"/>
              <w:jc w:val="right"/>
            </w:pPr>
            <w:r>
              <w:rPr/>
              <w:t>700,000.00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集成平台及数据中心运维服务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本项目不允许分包，如供应商在投标/响应文件中未出现《分包协议意向书》，则视为未采取分包。</w:t>
            </w:r>
          </w:p>
        </w:tc>
      </w:tr>
      <w:tr>
        <w:tc>
          <w:tcPr>
            <w:tcW w:type="dxa" w:w="2076"/>
          </w:tcPr>
          <w:p/>
        </w:tc>
        <w:tc>
          <w:tcPr>
            <w:tcW w:type="dxa" w:w="415"/>
          </w:tcPr>
          <w:p>
            <w:pPr>
              <w:pStyle w:val="null3"/>
            </w:pPr>
            <w:r>
              <w:rPr/>
              <w:t>2</w:t>
            </w:r>
          </w:p>
        </w:tc>
        <w:tc>
          <w:tcPr>
            <w:tcW w:type="dxa" w:w="5814"/>
          </w:tcPr>
          <w:p>
            <w:pPr>
              <w:pStyle w:val="null3"/>
            </w:pPr>
            <w:r>
              <w:rPr/>
              <w:t>其他要求详见用户需求书。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广东医科大学附属医院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集成平台及数据中心运维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采购包1（2024年集成平台及数据中心运维服务）：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采购包1（2024年集成平台及数据中心运维服务）：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具有良好的商业信誉和健全的财务会计制度：（提供以下2种证明材料之一：：1. 2023年度经会计师事务所审计的财务状况报告；2. 同时提供①基本开户行出具的资信证明，②《基本存款账号信息》或《开户许可证》）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采购包1（2024年集成平台及数据中心运维服务）：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投标（报价）总金额是固定价且是唯一的，未超过本项目采购预算。</w:t>
            </w:r>
          </w:p>
        </w:tc>
        <w:tc>
          <w:tcPr>
            <w:tcW w:type="dxa" w:w="4238"/>
          </w:tcPr>
          <w:p>
            <w:pPr>
              <w:pStyle w:val="null3"/>
            </w:pPr>
            <w:r>
              <w:rPr/>
              <w:t>投标（报价）总金额是固定价且是唯一的，未超过本项目采购预算。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采购包1(2024年集成平台及数据中心运维服务):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运维服务方案 (15.0分)</w:t>
            </w:r>
            <w:r>
              <w:rPr/>
              <w:t>，（等次分值选择：</w:t>
            </w:r>
            <w:r>
              <w:rPr/>
              <w:t>0.0;</w:t>
            </w:r>
            <w:r>
              <w:rPr/>
              <w:t>6.0;</w:t>
            </w:r>
            <w:r>
              <w:rPr/>
              <w:t>10.0;</w:t>
            </w:r>
            <w:r>
              <w:rPr/>
              <w:t>15.0;</w:t>
            </w:r>
            <w:r>
              <w:rPr/>
              <w:t>）</w:t>
            </w:r>
          </w:p>
        </w:tc>
        <w:tc>
          <w:tcPr>
            <w:tcW w:type="dxa" w:w="5076"/>
          </w:tcPr>
          <w:p>
            <w:pPr>
              <w:pStyle w:val="null3"/>
              <w:jc w:val="left"/>
            </w:pPr>
            <w:r>
              <w:rPr/>
              <w:t>根据用户需求书“集成平台及数据中心运维服务内容”相关要求，对投标人提供的方案进行评价： （1）方案完全满足且优于项目要求的，得15分； （2）方案完全满足项目要求的，得10分； （3）方案不完全满足项目要求的，得6分； （4）未提供或其他不得分。</w:t>
            </w:r>
          </w:p>
        </w:tc>
      </w:tr>
      <w:tr>
        <w:tc>
          <w:tcPr>
            <w:tcW w:type="dxa" w:w="922"/>
            <w:gridSpan w:val="2"/>
            <w:vMerge/>
          </w:tcPr>
          <w:p/>
        </w:tc>
        <w:tc>
          <w:tcPr>
            <w:tcW w:type="dxa" w:w="2307"/>
          </w:tcPr>
          <w:p>
            <w:pPr>
              <w:pStyle w:val="null3"/>
              <w:jc w:val="left"/>
            </w:pPr>
            <w:r>
              <w:rPr/>
              <w:t>安全整改服务方案 (10.0分)</w:t>
            </w:r>
            <w:r>
              <w:rPr/>
              <w:t>，（等次分值选择：</w:t>
            </w:r>
            <w:r>
              <w:rPr/>
              <w:t>0.0;</w:t>
            </w:r>
            <w:r>
              <w:rPr/>
              <w:t>4.0;</w:t>
            </w:r>
            <w:r>
              <w:rPr/>
              <w:t>7.0;</w:t>
            </w:r>
            <w:r>
              <w:rPr/>
              <w:t>10.0;</w:t>
            </w:r>
            <w:r>
              <w:rPr/>
              <w:t>）</w:t>
            </w:r>
          </w:p>
        </w:tc>
        <w:tc>
          <w:tcPr>
            <w:tcW w:type="dxa" w:w="5076"/>
          </w:tcPr>
          <w:p>
            <w:pPr>
              <w:pStyle w:val="null3"/>
              <w:jc w:val="left"/>
            </w:pPr>
            <w:r>
              <w:rPr/>
              <w:t>根据用户需求书“集成平台及数据中心等保测评安全整改服务内容”相关要求，对投标人提供的方案进行评价： （1）方案完全满足且优于项目要求的，得10分； （2）方案完全满足项目要求的，得7分； （3）方案不完全满足项目要求的，得4分； （4）未提供或其他不得分。</w:t>
            </w:r>
          </w:p>
        </w:tc>
      </w:tr>
      <w:tr>
        <w:tc>
          <w:tcPr>
            <w:tcW w:type="dxa" w:w="922"/>
            <w:gridSpan w:val="2"/>
            <w:vMerge/>
          </w:tcPr>
          <w:p/>
        </w:tc>
        <w:tc>
          <w:tcPr>
            <w:tcW w:type="dxa" w:w="2307"/>
          </w:tcPr>
          <w:p>
            <w:pPr>
              <w:pStyle w:val="null3"/>
              <w:jc w:val="left"/>
            </w:pPr>
            <w:r>
              <w:rPr/>
              <w:t>服务响应方案 (10.0分)</w:t>
            </w:r>
            <w:r>
              <w:rPr/>
              <w:t>，（等次分值选择：</w:t>
            </w:r>
            <w:r>
              <w:rPr/>
              <w:t>0.0;</w:t>
            </w:r>
            <w:r>
              <w:rPr/>
              <w:t>4.0;</w:t>
            </w:r>
            <w:r>
              <w:rPr/>
              <w:t>7.0;</w:t>
            </w:r>
            <w:r>
              <w:rPr/>
              <w:t>10.0;</w:t>
            </w:r>
            <w:r>
              <w:rPr/>
              <w:t>）</w:t>
            </w:r>
          </w:p>
        </w:tc>
        <w:tc>
          <w:tcPr>
            <w:tcW w:type="dxa" w:w="5076"/>
          </w:tcPr>
          <w:p>
            <w:pPr>
              <w:pStyle w:val="null3"/>
              <w:jc w:val="left"/>
            </w:pPr>
            <w:r>
              <w:rPr/>
              <w:t>根据用户需求书“服务响应要求”，对投标人提供的方案进行评价： 1.方案完全满足且优于采购要求得10分； 2.方案完全满足采购要求的，得7分；； 3.方案不完全满足采购要求的得4分； 4.未提供或其他不得分。</w:t>
            </w:r>
          </w:p>
        </w:tc>
      </w:tr>
      <w:tr>
        <w:tc>
          <w:tcPr>
            <w:tcW w:type="dxa" w:w="922"/>
            <w:gridSpan w:val="2"/>
            <w:vMerge/>
          </w:tcPr>
          <w:p/>
        </w:tc>
        <w:tc>
          <w:tcPr>
            <w:tcW w:type="dxa" w:w="2307"/>
          </w:tcPr>
          <w:p>
            <w:pPr>
              <w:pStyle w:val="null3"/>
              <w:jc w:val="left"/>
            </w:pPr>
            <w:r>
              <w:rPr/>
              <w:t>应急保障方案 (10.0分)</w:t>
            </w:r>
            <w:r>
              <w:rPr/>
              <w:t>，（等次分值选择：</w:t>
            </w:r>
            <w:r>
              <w:rPr/>
              <w:t>0.0;</w:t>
            </w:r>
            <w:r>
              <w:rPr/>
              <w:t>4.0;</w:t>
            </w:r>
            <w:r>
              <w:rPr/>
              <w:t>7.0;</w:t>
            </w:r>
            <w:r>
              <w:rPr/>
              <w:t>10.0;</w:t>
            </w:r>
            <w:r>
              <w:rPr/>
              <w:t>）</w:t>
            </w:r>
          </w:p>
        </w:tc>
        <w:tc>
          <w:tcPr>
            <w:tcW w:type="dxa" w:w="5076"/>
          </w:tcPr>
          <w:p>
            <w:pPr>
              <w:pStyle w:val="null3"/>
              <w:jc w:val="left"/>
            </w:pPr>
            <w:r>
              <w:rPr/>
              <w:t>根据用户需求书“应急保障要求”，对投标人提供的方案进行评价： （1）方案完全满足且优于项目要求的，得10分； （2）方案完全满足项目要求的，得7分； （3）方案不完全满足项目要求的，得4分； （4）未提供或其他不得分。</w:t>
            </w:r>
          </w:p>
        </w:tc>
      </w:tr>
      <w:tr>
        <w:tc>
          <w:tcPr>
            <w:tcW w:type="dxa" w:w="922"/>
            <w:gridSpan w:val="2"/>
            <w:vMerge/>
          </w:tcPr>
          <w:p/>
        </w:tc>
        <w:tc>
          <w:tcPr>
            <w:tcW w:type="dxa" w:w="2307"/>
          </w:tcPr>
          <w:p>
            <w:pPr>
              <w:pStyle w:val="null3"/>
              <w:jc w:val="left"/>
            </w:pPr>
            <w:r>
              <w:rPr/>
              <w:t>质量保障方案 (10.0分)</w:t>
            </w:r>
            <w:r>
              <w:rPr/>
              <w:t>，（等次分值选择：</w:t>
            </w:r>
            <w:r>
              <w:rPr/>
              <w:t>0.0;</w:t>
            </w:r>
            <w:r>
              <w:rPr/>
              <w:t>4.0;</w:t>
            </w:r>
            <w:r>
              <w:rPr/>
              <w:t>7.0;</w:t>
            </w:r>
            <w:r>
              <w:rPr/>
              <w:t>10.0;</w:t>
            </w:r>
            <w:r>
              <w:rPr/>
              <w:t>）</w:t>
            </w:r>
          </w:p>
        </w:tc>
        <w:tc>
          <w:tcPr>
            <w:tcW w:type="dxa" w:w="5076"/>
          </w:tcPr>
          <w:p>
            <w:pPr>
              <w:pStyle w:val="null3"/>
              <w:jc w:val="left"/>
            </w:pPr>
            <w:r>
              <w:rPr/>
              <w:t>根据用户需求书“质量保障要求”，对投标人提供的方案进行评价： （1）方案完全满足且优于项目要求的，得10分； （2）方案完全满足项目要求的，得7分； （3）方案不完全满足项目要求的，得4分；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项目驻场人员 (10.0分)</w:t>
            </w:r>
          </w:p>
        </w:tc>
        <w:tc>
          <w:tcPr>
            <w:tcW w:type="dxa" w:w="5076"/>
          </w:tcPr>
          <w:p>
            <w:pPr>
              <w:pStyle w:val="null3"/>
              <w:jc w:val="left"/>
            </w:pPr>
            <w:r>
              <w:rPr/>
              <w:t>1、每有1人具备计算机相关专业本科或以上学历得2分，最高得4分。 提供学历证书复印件以及2024年4月至今任意1个月在投标人单位的社会保险参保证明复印件加盖公章。供应商如提供国外学历证书的，须同时提供中文翻译及教育部留学服务中心出具的“国外学历学位认证书”，否则不得分。 2、每有1人具备信息系统平台运维管理工作经验，得3分，最高得6分。提供工作履历表加盖报价人公章以及2024年4月至今任意1个月在投标人单位的社会保险参保证明复印件加盖投标人公章。</w:t>
            </w:r>
          </w:p>
        </w:tc>
      </w:tr>
      <w:tr>
        <w:tc>
          <w:tcPr>
            <w:tcW w:type="dxa" w:w="922"/>
            <w:gridSpan w:val="2"/>
            <w:vMerge/>
          </w:tcPr>
          <w:p/>
        </w:tc>
        <w:tc>
          <w:tcPr>
            <w:tcW w:type="dxa" w:w="2307"/>
          </w:tcPr>
          <w:p>
            <w:pPr>
              <w:pStyle w:val="null3"/>
              <w:jc w:val="left"/>
            </w:pPr>
            <w:r>
              <w:rPr/>
              <w:t>同类项目业绩 (16.0分)</w:t>
            </w:r>
          </w:p>
        </w:tc>
        <w:tc>
          <w:tcPr>
            <w:tcW w:type="dxa" w:w="5076"/>
          </w:tcPr>
          <w:p>
            <w:pPr>
              <w:pStyle w:val="null3"/>
              <w:jc w:val="left"/>
            </w:pPr>
            <w:r>
              <w:rPr/>
              <w:t>1.每提供一个投标人2020年1月1日至今的信息平台或数据中心的运营维护业绩得2分，最高得10分。 2. 每提供一个投标人2020年1月1日至今的三级等保整改服务业绩得2分，最高得6分。 注： 1、提供合同的复印件或扫描件。合同可以提供关键页面（包含封面、货物内容页、双方签订页面等）。 2、同一项目不同年份的合同只计一次分值，不重复计算业绩分数。同一业主在同一采购项目中续签的合同不重复计分。同一合同只计取一次分值。</w:t>
            </w:r>
          </w:p>
        </w:tc>
      </w:tr>
      <w:tr>
        <w:tc>
          <w:tcPr>
            <w:tcW w:type="dxa" w:w="922"/>
            <w:gridSpan w:val="2"/>
            <w:vMerge/>
          </w:tcPr>
          <w:p/>
        </w:tc>
        <w:tc>
          <w:tcPr>
            <w:tcW w:type="dxa" w:w="2307"/>
          </w:tcPr>
          <w:p>
            <w:pPr>
              <w:pStyle w:val="null3"/>
              <w:jc w:val="left"/>
            </w:pPr>
            <w:r>
              <w:rPr/>
              <w:t>用户满意度评价 (6.0分)</w:t>
            </w:r>
          </w:p>
        </w:tc>
        <w:tc>
          <w:tcPr>
            <w:tcW w:type="dxa" w:w="5076"/>
          </w:tcPr>
          <w:p>
            <w:pPr>
              <w:pStyle w:val="null3"/>
              <w:jc w:val="left"/>
            </w:pPr>
            <w:r>
              <w:rPr/>
              <w:t>上述有效业绩中获得正面评价（优秀、优良、良好、满意或相当于正面评价），且评价文件体现评价单位联系人及联系方式的（如未体现的，供应商须另行提供评价单位的联系人及联系方式）。每份得1分，最高得6分。 注：同一项目按一份计算，不重复计算分数。 提供合同甲方或甲方项目主管部门盖章的评价文件。 评价文件未体现评价单位联系人及联系方式，或者供应商未提供评价单位的联系人及联系方式，对应的评价文件不得分。</w:t>
            </w:r>
          </w:p>
        </w:tc>
      </w:tr>
      <w:tr>
        <w:tc>
          <w:tcPr>
            <w:tcW w:type="dxa" w:w="922"/>
            <w:gridSpan w:val="2"/>
            <w:vMerge/>
          </w:tcPr>
          <w:p/>
        </w:tc>
        <w:tc>
          <w:tcPr>
            <w:tcW w:type="dxa" w:w="2307"/>
          </w:tcPr>
          <w:p>
            <w:pPr>
              <w:pStyle w:val="null3"/>
              <w:jc w:val="left"/>
            </w:pPr>
            <w:r>
              <w:rPr/>
              <w:t>投标人管理体系 (3.0分)</w:t>
            </w:r>
          </w:p>
        </w:tc>
        <w:tc>
          <w:tcPr>
            <w:tcW w:type="dxa" w:w="5076"/>
          </w:tcPr>
          <w:p>
            <w:pPr>
              <w:pStyle w:val="null3"/>
              <w:jc w:val="left"/>
            </w:pPr>
            <w:r>
              <w:rPr/>
              <w:t>投标人获得质量管理体系认证（认证范围与信息系统运维相关）的得3分，没有或不提供得0分。 注：提供证书复印件，并须同时提供在“全国认证认可信息公共服务平台”对体系证书的信息查询截图作为评审依据，已暂停、失效或撤消或不提供的不得分；新设立企业成立时间不足3个月导致无法获得上述证书的，对应项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jc w:val="center"/>
      </w:pPr>
      <w:r>
        <w:rPr>
          <w:sz w:val="52"/>
          <w:b/>
        </w:rPr>
        <w:t>广东医科大学附属医院</w:t>
      </w:r>
    </w:p>
    <w:p>
      <w:pPr>
        <w:pStyle w:val="null3"/>
        <w:jc w:val="center"/>
      </w:pPr>
      <w:r>
        <w:rPr>
          <w:sz w:val="52"/>
          <w:b/>
        </w:rPr>
        <w:t>系统运维服务合同模板</w:t>
      </w:r>
    </w:p>
    <w:p>
      <w:pPr>
        <w:pStyle w:val="null3"/>
        <w:jc w:val="both"/>
      </w:pPr>
      <w:r>
        <w:rPr>
          <w:sz w:val="21"/>
        </w:rPr>
        <w:t xml:space="preserve">                                                </w:t>
      </w:r>
    </w:p>
    <w:p>
      <w:pPr>
        <w:pStyle w:val="null3"/>
        <w:jc w:val="both"/>
      </w:pPr>
      <w:r>
        <w:rPr>
          <w:sz w:val="21"/>
          <w:b/>
        </w:rPr>
        <w:t xml:space="preserve">      </w:t>
      </w:r>
    </w:p>
    <w:p>
      <w:pPr>
        <w:pStyle w:val="null3"/>
        <w:jc w:val="left"/>
      </w:pPr>
      <w:r>
        <w:rPr>
          <w:sz w:val="32"/>
          <w:b/>
        </w:rPr>
        <w:t>项目名称：</w:t>
      </w:r>
      <w:r>
        <w:rPr>
          <w:sz w:val="32"/>
          <w:b/>
          <w:u w:val="single"/>
        </w:rPr>
        <w:t>广东医科大学附属医院XXXXX采购项目</w:t>
      </w:r>
    </w:p>
    <w:p>
      <w:pPr>
        <w:pStyle w:val="null3"/>
        <w:ind w:firstLine="843"/>
        <w:jc w:val="both"/>
      </w:pPr>
      <w:r>
        <w:rPr>
          <w:sz w:val="32"/>
          <w:b/>
        </w:rPr>
        <w:t>甲    方：　</w:t>
      </w:r>
      <w:r>
        <w:rPr>
          <w:sz w:val="32"/>
          <w:b/>
          <w:u w:val="single"/>
        </w:rPr>
        <w:t xml:space="preserve">   广东医科大学附属医院       </w:t>
      </w:r>
    </w:p>
    <w:p>
      <w:pPr>
        <w:pStyle w:val="null3"/>
        <w:ind w:firstLine="1285"/>
        <w:jc w:val="both"/>
      </w:pPr>
      <w:r>
        <w:rPr>
          <w:sz w:val="32"/>
          <w:b/>
        </w:rPr>
        <w:t xml:space="preserve">乙    方：  </w:t>
      </w:r>
      <w:r>
        <w:rPr>
          <w:sz w:val="32"/>
          <w:b/>
          <w:u w:val="single"/>
        </w:rPr>
        <w:t xml:space="preserve">  XXXX</w:t>
      </w:r>
      <w:r>
        <w:rPr>
          <w:sz w:val="32"/>
          <w:b/>
          <w:u w:val="single"/>
        </w:rPr>
        <w:t xml:space="preserve">公司                    </w:t>
      </w:r>
    </w:p>
    <w:p>
      <w:pPr>
        <w:pStyle w:val="null3"/>
        <w:ind w:firstLine="843"/>
        <w:jc w:val="both"/>
      </w:pPr>
      <w:r>
        <w:rPr>
          <w:sz w:val="21"/>
          <w:b/>
        </w:rPr>
        <w:t xml:space="preserve">                        </w:t>
      </w:r>
    </w:p>
    <w:p>
      <w:pPr>
        <w:pStyle w:val="null3"/>
        <w:ind w:firstLine="1285"/>
        <w:jc w:val="both"/>
      </w:pPr>
      <w:r>
        <w:rPr>
          <w:sz w:val="32"/>
          <w:b/>
        </w:rPr>
        <w:t xml:space="preserve">签订日期： </w:t>
      </w:r>
      <w:r>
        <w:rPr>
          <w:sz w:val="32"/>
          <w:b/>
          <w:u w:val="single"/>
        </w:rPr>
        <w:t xml:space="preserve">     XXXX  年 X 月 X 日  </w:t>
      </w:r>
    </w:p>
    <w:p>
      <w:pPr>
        <w:pStyle w:val="null3"/>
        <w:spacing w:before="120"/>
        <w:jc w:val="center"/>
      </w:pPr>
      <w:r>
        <w:rPr>
          <w:sz w:val="21"/>
        </w:rPr>
        <w:t>（本合同为合同模板，相关内容根据招投标文件进行调整补充）</w:t>
      </w:r>
    </w:p>
    <w:p>
      <w:pPr>
        <w:pStyle w:val="null3"/>
      </w:pPr>
      <w:r>
        <w:rPr/>
        <w:t xml:space="preserve"> </w:t>
      </w:r>
    </w:p>
    <w:p>
      <w:pPr>
        <w:pStyle w:val="null3"/>
        <w:spacing w:before="120"/>
        <w:jc w:val="center"/>
      </w:pPr>
      <w:r>
        <w:rPr>
          <w:sz w:val="28"/>
          <w:b/>
        </w:rPr>
        <w:t>采购合同</w:t>
      </w:r>
    </w:p>
    <w:p>
      <w:pPr>
        <w:pStyle w:val="null3"/>
        <w:jc w:val="both"/>
      </w:pPr>
      <w:r>
        <w:rPr>
          <w:sz w:val="24"/>
        </w:rPr>
        <w:t xml:space="preserve">甲方： </w:t>
      </w:r>
      <w:r>
        <w:rPr>
          <w:sz w:val="24"/>
        </w:rPr>
        <w:t>广东医科大学附属医院</w:t>
      </w:r>
    </w:p>
    <w:p>
      <w:pPr>
        <w:pStyle w:val="null3"/>
        <w:ind w:left="420"/>
        <w:jc w:val="both"/>
      </w:pPr>
      <w:r>
        <w:rPr>
          <w:sz w:val="24"/>
          <w:u w:val="single"/>
        </w:rPr>
        <w:t>统一社会信用代码：</w:t>
      </w:r>
      <w:r>
        <w:rPr>
          <w:sz w:val="24"/>
          <w:u w:val="single"/>
        </w:rPr>
        <w:t>12440000455858169P</w:t>
      </w:r>
    </w:p>
    <w:p>
      <w:pPr>
        <w:pStyle w:val="null3"/>
        <w:ind w:left="420"/>
        <w:jc w:val="both"/>
      </w:pPr>
      <w:r>
        <w:rPr>
          <w:sz w:val="24"/>
          <w:u w:val="single"/>
        </w:rPr>
        <w:t>法定代表人：刘华锋</w:t>
      </w:r>
    </w:p>
    <w:p>
      <w:pPr>
        <w:pStyle w:val="null3"/>
        <w:ind w:left="420"/>
        <w:jc w:val="both"/>
      </w:pPr>
      <w:r>
        <w:rPr>
          <w:sz w:val="24"/>
          <w:u w:val="single"/>
        </w:rPr>
        <w:t>联系人：</w:t>
      </w:r>
      <w:r>
        <w:rPr>
          <w:sz w:val="24"/>
          <w:u w:val="single"/>
        </w:rPr>
        <w:t>XXX</w:t>
      </w:r>
    </w:p>
    <w:p>
      <w:pPr>
        <w:pStyle w:val="null3"/>
        <w:ind w:left="420"/>
        <w:jc w:val="both"/>
      </w:pPr>
      <w:r>
        <w:rPr>
          <w:sz w:val="24"/>
          <w:u w:val="single"/>
        </w:rPr>
        <w:t>联系方式：</w:t>
      </w:r>
      <w:r>
        <w:rPr>
          <w:sz w:val="24"/>
          <w:u w:val="single"/>
        </w:rPr>
        <w:t>XXX</w:t>
      </w:r>
    </w:p>
    <w:p>
      <w:pPr>
        <w:pStyle w:val="null3"/>
        <w:ind w:left="420"/>
        <w:jc w:val="both"/>
      </w:pPr>
      <w:r>
        <w:rPr>
          <w:sz w:val="24"/>
          <w:u w:val="single"/>
        </w:rPr>
        <w:t>联系地址：广东省湛江市霞山区人民大道南</w:t>
      </w:r>
      <w:r>
        <w:rPr>
          <w:sz w:val="24"/>
          <w:u w:val="single"/>
        </w:rPr>
        <w:t>57</w:t>
      </w:r>
      <w:r>
        <w:rPr>
          <w:sz w:val="24"/>
          <w:u w:val="single"/>
        </w:rPr>
        <w:t>号</w:t>
      </w:r>
    </w:p>
    <w:p>
      <w:pPr>
        <w:pStyle w:val="null3"/>
        <w:jc w:val="both"/>
      </w:pPr>
      <w:r>
        <w:rPr>
          <w:sz w:val="24"/>
        </w:rPr>
        <w:t xml:space="preserve">乙方： </w:t>
      </w:r>
      <w:r>
        <w:rPr>
          <w:sz w:val="24"/>
          <w:u w:val="single"/>
        </w:rPr>
        <w:t>XXX公司</w:t>
      </w:r>
    </w:p>
    <w:p>
      <w:pPr>
        <w:pStyle w:val="null3"/>
        <w:ind w:left="420"/>
        <w:jc w:val="both"/>
      </w:pPr>
      <w:r>
        <w:rPr>
          <w:sz w:val="24"/>
          <w:u w:val="single"/>
        </w:rPr>
        <w:t>统一社会信用代码：XXXX</w:t>
      </w:r>
    </w:p>
    <w:p>
      <w:pPr>
        <w:pStyle w:val="null3"/>
        <w:ind w:left="420"/>
        <w:jc w:val="both"/>
      </w:pPr>
      <w:r>
        <w:rPr>
          <w:sz w:val="24"/>
          <w:u w:val="single"/>
        </w:rPr>
        <w:t>法定代表人：XXX</w:t>
      </w:r>
    </w:p>
    <w:p>
      <w:pPr>
        <w:pStyle w:val="null3"/>
        <w:ind w:left="420"/>
        <w:jc w:val="both"/>
      </w:pPr>
      <w:r>
        <w:rPr>
          <w:sz w:val="24"/>
          <w:u w:val="single"/>
        </w:rPr>
        <w:t>联系人：XXX</w:t>
      </w:r>
    </w:p>
    <w:p>
      <w:pPr>
        <w:pStyle w:val="null3"/>
        <w:ind w:left="420"/>
        <w:jc w:val="both"/>
      </w:pPr>
      <w:r>
        <w:rPr>
          <w:sz w:val="24"/>
          <w:u w:val="single"/>
        </w:rPr>
        <w:t>联系方式：XXX</w:t>
      </w:r>
    </w:p>
    <w:p>
      <w:pPr>
        <w:pStyle w:val="null3"/>
        <w:ind w:left="420"/>
        <w:jc w:val="both"/>
      </w:pPr>
      <w:r>
        <w:rPr>
          <w:sz w:val="24"/>
          <w:u w:val="single"/>
        </w:rPr>
        <w:t>联系地址：XXX</w:t>
      </w:r>
    </w:p>
    <w:p>
      <w:pPr>
        <w:pStyle w:val="null3"/>
        <w:ind w:left="420"/>
        <w:jc w:val="both"/>
      </w:pPr>
      <w:r>
        <w:rPr>
          <w:sz w:val="24"/>
          <w:color w:val="000000"/>
        </w:rPr>
        <w:t>根据</w:t>
      </w:r>
      <w:r>
        <w:rPr>
          <w:sz w:val="24"/>
        </w:rPr>
        <w:t>《中华人民共和国民法典》等国家相关法律法规的规定，以及该项目的采购</w:t>
      </w:r>
      <w:r>
        <w:rPr>
          <w:sz w:val="24"/>
          <w:color w:val="000000"/>
        </w:rPr>
        <w:t>结果和相关采购文件、响应文件的要求，按</w:t>
      </w:r>
      <w:r>
        <w:rPr>
          <w:sz w:val="24"/>
        </w:rPr>
        <w:t>照广东医科大学附属医院XXXXX采购项目（招标编号：XXX）</w:t>
      </w:r>
      <w:r>
        <w:rPr>
          <w:sz w:val="24"/>
          <w:color w:val="000000"/>
        </w:rPr>
        <w:t>20XX</w:t>
      </w:r>
      <w:r>
        <w:rPr>
          <w:sz w:val="24"/>
          <w:color w:val="000000"/>
        </w:rPr>
        <w:t>年XX月XX日的采购结果，甲</w:t>
      </w:r>
      <w:r>
        <w:rPr>
          <w:sz w:val="24"/>
        </w:rPr>
        <w:t>、乙双方经协商确定，甲方向乙方订购下述货物、设备及其服务，为明确双方责任和权利，特签订本合同，共同遵守。合同的标的、价款、质量、履行期限等主要条款应当与采购文件和乙方的响应文件的内容一致。具体条款如下：</w:t>
      </w:r>
    </w:p>
    <w:p>
      <w:pPr>
        <w:pStyle w:val="null3"/>
        <w:ind w:right="-60"/>
        <w:jc w:val="left"/>
      </w:pPr>
      <w:r>
        <w:rPr>
          <w:sz w:val="24"/>
          <w:b/>
          <w:color w:val="000000"/>
        </w:rPr>
        <w:t>一、服务项目内容：</w:t>
      </w:r>
      <w:r>
        <w:rPr>
          <w:sz w:val="24"/>
          <w:color w:val="000000"/>
        </w:rPr>
        <w:t>服务</w:t>
      </w:r>
    </w:p>
    <w:p>
      <w:pPr>
        <w:pStyle w:val="null3"/>
        <w:jc w:val="both"/>
      </w:pPr>
      <w:r>
        <w:rPr>
          <w:sz w:val="24"/>
          <w:b/>
          <w:color w:val="000000"/>
        </w:rPr>
        <w:t>二、项目实施地点：</w:t>
      </w:r>
      <w:r>
        <w:rPr>
          <w:sz w:val="24"/>
          <w:color w:val="000000"/>
        </w:rPr>
        <w:t>广东医科大学附属医院</w:t>
      </w:r>
    </w:p>
    <w:p>
      <w:pPr>
        <w:pStyle w:val="null3"/>
        <w:ind w:firstLine="480"/>
        <w:jc w:val="both"/>
      </w:pPr>
      <w:r>
        <w:rPr>
          <w:sz w:val="24"/>
          <w:color w:val="000000"/>
        </w:rPr>
        <w:t>2.1</w:t>
      </w:r>
      <w:r>
        <w:rPr>
          <w:sz w:val="24"/>
          <w:color w:val="000000"/>
        </w:rPr>
        <w:t>乙方应为本项目成立专门的维护服务和技术支持小组，根据甲方要求免费提供上门维护服务和技术支持。</w:t>
      </w:r>
    </w:p>
    <w:p>
      <w:pPr>
        <w:pStyle w:val="null3"/>
        <w:ind w:firstLine="480"/>
        <w:jc w:val="both"/>
      </w:pPr>
      <w:r>
        <w:rPr>
          <w:sz w:val="24"/>
          <w:color w:val="000000"/>
        </w:rPr>
        <w:t>2.2</w:t>
      </w:r>
      <w:r>
        <w:rPr>
          <w:sz w:val="24"/>
          <w:color w:val="000000"/>
        </w:rPr>
        <w:t>乙方本项目的负责人及联系方式：</w:t>
      </w:r>
    </w:p>
    <w:p>
      <w:pPr>
        <w:pStyle w:val="null3"/>
        <w:jc w:val="both"/>
      </w:pPr>
      <w:r>
        <w:rPr>
          <w:sz w:val="21"/>
        </w:rPr>
        <w:t xml:space="preserve">   </w:t>
      </w:r>
      <w:r>
        <w:rPr>
          <w:sz w:val="24"/>
          <w:color w:val="000000"/>
        </w:rPr>
        <w:t>联系人：；联系方式</w:t>
      </w:r>
      <w:r>
        <w:rPr>
          <w:sz w:val="24"/>
          <w:color w:val="000000"/>
          <w:u w:val="single"/>
        </w:rPr>
        <w:t>：               。</w:t>
      </w:r>
    </w:p>
    <w:p>
      <w:pPr>
        <w:pStyle w:val="null3"/>
        <w:jc w:val="both"/>
      </w:pPr>
      <w:r>
        <w:rPr>
          <w:sz w:val="24"/>
          <w:b/>
          <w:color w:val="000000"/>
        </w:rPr>
        <w:t>三、服务期限：</w:t>
      </w:r>
      <w:r>
        <w:rPr>
          <w:sz w:val="24"/>
          <w:color w:val="000000"/>
        </w:rPr>
        <w:t>自合同签订之日起  X   年，即  年  月  日起至  年  月  日止。</w:t>
      </w:r>
    </w:p>
    <w:p>
      <w:pPr>
        <w:pStyle w:val="null3"/>
        <w:jc w:val="both"/>
      </w:pPr>
      <w:r>
        <w:rPr>
          <w:sz w:val="24"/>
          <w:b/>
          <w:color w:val="000000"/>
        </w:rPr>
        <w:t>四、合同总金额：</w:t>
      </w:r>
    </w:p>
    <w:p>
      <w:pPr>
        <w:pStyle w:val="null3"/>
        <w:ind w:left="420"/>
        <w:jc w:val="both"/>
      </w:pPr>
      <w:r>
        <w:rPr>
          <w:sz w:val="24"/>
          <w:color w:val="000000"/>
        </w:rPr>
        <w:t>4.1</w:t>
      </w:r>
      <w:r>
        <w:rPr>
          <w:sz w:val="24"/>
          <w:color w:val="000000"/>
        </w:rPr>
        <w:t>合同金额为（大写）：人民币_________________元（¥____________元）。</w:t>
      </w:r>
    </w:p>
    <w:p>
      <w:pPr>
        <w:pStyle w:val="null3"/>
        <w:ind w:left="420"/>
        <w:jc w:val="both"/>
      </w:pPr>
      <w:r>
        <w:rPr>
          <w:sz w:val="24"/>
          <w:color w:val="000000"/>
        </w:rPr>
        <w:t>4.2</w:t>
      </w:r>
      <w:r>
        <w:rPr>
          <w:sz w:val="24"/>
          <w:color w:val="000000"/>
        </w:rPr>
        <w:t>合同金额包括：安装、调试和人员培训、人员差旅、售后服务等所有费用；乙方须根据甲方所提需求，提供相关系统接口支持，包括与医院各信息系统的接口，以及与卫生部等其它上级管理部门对各类事件的上报数据接口，并提供详细接口文档；乙方须根据甲方的管理、业务需要，及上级管理部门要求、医院各项评级要求，提供新增或修改等适应性的二次开发服务。</w:t>
      </w:r>
    </w:p>
    <w:p>
      <w:pPr>
        <w:pStyle w:val="null3"/>
        <w:numPr>
          <w:ilvl w:val="0"/>
          <w:numId w:val="1"/>
        </w:numPr>
        <w:ind w:firstLine="480"/>
        <w:jc w:val="both"/>
      </w:pPr>
      <w:r>
        <w:rPr>
          <w:sz w:val="24"/>
          <w:b/>
        </w:rPr>
        <w:t>乙方工作义务(根据本项目实际情况予以列明）：</w:t>
      </w:r>
    </w:p>
    <w:p>
      <w:pPr>
        <w:pStyle w:val="null3"/>
        <w:ind w:firstLine="480"/>
        <w:jc w:val="both"/>
      </w:pPr>
      <w:r>
        <w:rPr>
          <w:sz w:val="24"/>
        </w:rPr>
        <w:t>5.1</w:t>
      </w:r>
    </w:p>
    <w:p>
      <w:pPr>
        <w:pStyle w:val="null3"/>
        <w:ind w:left="360"/>
        <w:jc w:val="both"/>
      </w:pPr>
      <w:r>
        <w:rPr>
          <w:sz w:val="24"/>
          <w:b/>
        </w:rPr>
        <w:t>六、服务质量保证和要求</w:t>
      </w:r>
    </w:p>
    <w:p>
      <w:pPr>
        <w:pStyle w:val="null3"/>
        <w:ind w:left="420"/>
        <w:jc w:val="both"/>
      </w:pPr>
      <w:r>
        <w:rPr>
          <w:sz w:val="24"/>
          <w:color w:val="000000"/>
        </w:rPr>
        <w:t>6.1</w:t>
      </w:r>
      <w:r>
        <w:rPr>
          <w:sz w:val="24"/>
          <w:color w:val="000000"/>
        </w:rPr>
        <w:t>乙方所提供服务时需保护周边设备等的安全及稳定运行。</w:t>
      </w:r>
    </w:p>
    <w:p>
      <w:pPr>
        <w:pStyle w:val="null3"/>
        <w:ind w:left="420"/>
        <w:jc w:val="both"/>
      </w:pPr>
      <w:r>
        <w:rPr>
          <w:sz w:val="24"/>
          <w:color w:val="000000"/>
        </w:rPr>
        <w:t>6.3</w:t>
      </w:r>
      <w:r>
        <w:rPr>
          <w:sz w:val="24"/>
          <w:color w:val="000000"/>
        </w:rPr>
        <w:t>乙方应于每季度结束后5个工作日内向甲方提供服务报告。</w:t>
      </w:r>
    </w:p>
    <w:p>
      <w:pPr>
        <w:pStyle w:val="null3"/>
        <w:ind w:left="420"/>
        <w:jc w:val="both"/>
      </w:pPr>
      <w:r>
        <w:rPr>
          <w:sz w:val="24"/>
          <w:color w:val="000000"/>
        </w:rPr>
        <w:t>6.4</w:t>
      </w:r>
      <w:r>
        <w:rPr>
          <w:sz w:val="24"/>
          <w:color w:val="000000"/>
        </w:rPr>
        <w:t>乙方在合同期内必须严格遵循甲方颁布的《广东医科大学附属医院信息化项目建设管理制度》相关要求。</w:t>
      </w:r>
    </w:p>
    <w:p>
      <w:pPr>
        <w:pStyle w:val="null3"/>
        <w:ind w:left="420"/>
        <w:jc w:val="both"/>
      </w:pPr>
      <w:r>
        <w:rPr>
          <w:sz w:val="24"/>
          <w:color w:val="000000"/>
        </w:rPr>
        <w:t>6.5</w:t>
      </w:r>
      <w:r>
        <w:rPr>
          <w:sz w:val="24"/>
          <w:color w:val="000000"/>
        </w:rPr>
        <w:t>乙方在进场前需签订《广东医科大学附属医院信息化项目保密协议》。</w:t>
      </w:r>
    </w:p>
    <w:p>
      <w:pPr>
        <w:pStyle w:val="null3"/>
        <w:jc w:val="both"/>
      </w:pPr>
      <w:r>
        <w:rPr>
          <w:sz w:val="24"/>
          <w:b/>
          <w:color w:val="000000"/>
        </w:rPr>
        <w:t>七、验收标准</w:t>
      </w:r>
    </w:p>
    <w:p>
      <w:pPr>
        <w:pStyle w:val="null3"/>
        <w:ind w:left="420"/>
        <w:jc w:val="both"/>
      </w:pPr>
      <w:r>
        <w:rPr>
          <w:sz w:val="24"/>
          <w:color w:val="000000"/>
        </w:rPr>
        <w:t>甲方信息技术部每季度在收到乙方提供的服务报告后，结合乙方的服务情况及服务报告，对乙方公司的服务作出考核。</w:t>
      </w:r>
    </w:p>
    <w:p>
      <w:pPr>
        <w:pStyle w:val="null3"/>
        <w:jc w:val="both"/>
      </w:pPr>
      <w:r>
        <w:rPr>
          <w:sz w:val="24"/>
          <w:b/>
          <w:color w:val="000000"/>
        </w:rPr>
        <w:t>八、支付方式</w:t>
      </w:r>
    </w:p>
    <w:p>
      <w:pPr>
        <w:pStyle w:val="null3"/>
        <w:ind w:left="420"/>
        <w:jc w:val="both"/>
      </w:pPr>
      <w:r>
        <w:rPr>
          <w:sz w:val="24"/>
          <w:color w:val="000000"/>
        </w:rPr>
        <w:t xml:space="preserve">8.1 </w:t>
      </w:r>
      <w:r>
        <w:rPr>
          <w:sz w:val="24"/>
          <w:b/>
          <w:color w:val="FF0000"/>
        </w:rPr>
        <w:t>（详见用户需求）</w:t>
      </w:r>
    </w:p>
    <w:p>
      <w:pPr>
        <w:pStyle w:val="null3"/>
        <w:ind w:left="420"/>
        <w:jc w:val="both"/>
      </w:pPr>
      <w:r>
        <w:rPr>
          <w:sz w:val="24"/>
          <w:color w:val="000000"/>
        </w:rPr>
        <w:t xml:space="preserve">8.2 </w:t>
      </w:r>
      <w:r>
        <w:rPr>
          <w:sz w:val="24"/>
          <w:color w:val="000000"/>
        </w:rPr>
        <w:t>乙方凭以下资料与甲方结算：</w:t>
      </w:r>
    </w:p>
    <w:p>
      <w:pPr>
        <w:pStyle w:val="null3"/>
        <w:ind w:left="630"/>
        <w:jc w:val="both"/>
      </w:pPr>
      <w:r>
        <w:rPr>
          <w:sz w:val="24"/>
          <w:color w:val="000000"/>
        </w:rPr>
        <w:t xml:space="preserve">8.2.1 </w:t>
      </w:r>
      <w:r>
        <w:rPr>
          <w:sz w:val="24"/>
          <w:color w:val="000000"/>
        </w:rPr>
        <w:t>成交结果通知书；</w:t>
      </w:r>
    </w:p>
    <w:p>
      <w:pPr>
        <w:pStyle w:val="null3"/>
        <w:ind w:left="630"/>
        <w:jc w:val="both"/>
      </w:pPr>
      <w:r>
        <w:rPr>
          <w:sz w:val="24"/>
          <w:color w:val="000000"/>
        </w:rPr>
        <w:t xml:space="preserve">8.2.2 </w:t>
      </w:r>
      <w:r>
        <w:rPr>
          <w:sz w:val="24"/>
          <w:color w:val="000000"/>
        </w:rPr>
        <w:t>合同；</w:t>
      </w:r>
    </w:p>
    <w:p>
      <w:pPr>
        <w:pStyle w:val="null3"/>
        <w:ind w:left="630"/>
        <w:jc w:val="both"/>
      </w:pPr>
      <w:r>
        <w:rPr>
          <w:sz w:val="24"/>
          <w:color w:val="000000"/>
        </w:rPr>
        <w:t xml:space="preserve">8.2.3 </w:t>
      </w:r>
      <w:r>
        <w:rPr>
          <w:sz w:val="24"/>
          <w:color w:val="000000"/>
        </w:rPr>
        <w:t>乙方出具的增值税发票。</w:t>
      </w:r>
    </w:p>
    <w:p>
      <w:pPr>
        <w:pStyle w:val="null3"/>
        <w:ind w:left="630"/>
        <w:jc w:val="both"/>
      </w:pPr>
      <w:r>
        <w:rPr>
          <w:sz w:val="24"/>
          <w:color w:val="000000"/>
        </w:rPr>
        <w:t xml:space="preserve">8.2.4 </w:t>
      </w:r>
      <w:r>
        <w:rPr>
          <w:sz w:val="24"/>
          <w:color w:val="000000"/>
        </w:rPr>
        <w:t>甲方开票详细信息：</w:t>
      </w:r>
    </w:p>
    <w:tbl>
      <w:tblPr>
        <w:tblW w:w="0" w:type="auto"/>
        <w:tblInd w:type="dxa" w:w="645"/>
        <w:tblBorders>
          <w:top w:val="none" w:color="000000" w:sz="4"/>
          <w:left w:val="none" w:color="000000" w:sz="4"/>
          <w:bottom w:val="none" w:color="000000" w:sz="4"/>
          <w:right w:val="none" w:color="000000" w:sz="4"/>
          <w:insideH w:val="none"/>
          <w:insideV w:val="none"/>
        </w:tblBorders>
      </w:tblPr>
      <w:tblGrid>
        <w:gridCol w:w="2580"/>
        <w:gridCol w:w="5340"/>
      </w:tblGrid>
      <w:tr>
        <w:tc>
          <w:tcPr>
            <w:tcW w:type="dxa" w:w="25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单位名称</w:t>
            </w:r>
          </w:p>
        </w:tc>
        <w:tc>
          <w:tcPr>
            <w:tcW w:type="dxa" w:w="5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广东医科大学附属医院</w:t>
            </w:r>
          </w:p>
        </w:tc>
      </w:tr>
      <w:tr>
        <w:tc>
          <w:tcPr>
            <w:tcW w:type="dxa" w:w="2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统一社会信用代码</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12440000455858169P</w:t>
            </w:r>
          </w:p>
        </w:tc>
      </w:tr>
      <w:tr>
        <w:tc>
          <w:tcPr>
            <w:tcW w:type="dxa" w:w="2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地址</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广东省湛江市霞山区人民大道南57号</w:t>
            </w:r>
          </w:p>
        </w:tc>
      </w:tr>
      <w:tr>
        <w:tc>
          <w:tcPr>
            <w:tcW w:type="dxa" w:w="2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电话</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0759-2369357</w:t>
            </w:r>
          </w:p>
        </w:tc>
      </w:tr>
      <w:tr>
        <w:tc>
          <w:tcPr>
            <w:tcW w:type="dxa" w:w="2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开户行</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广发银行湛江岭南支行</w:t>
            </w:r>
          </w:p>
        </w:tc>
      </w:tr>
      <w:tr>
        <w:tc>
          <w:tcPr>
            <w:tcW w:type="dxa" w:w="2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账号</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109008516010000123</w:t>
            </w:r>
          </w:p>
        </w:tc>
      </w:tr>
    </w:tbl>
    <w:p>
      <w:pPr>
        <w:pStyle w:val="null3"/>
        <w:ind w:firstLine="480"/>
        <w:jc w:val="both"/>
      </w:pPr>
      <w:r>
        <w:rPr>
          <w:sz w:val="24"/>
        </w:rPr>
        <w:t xml:space="preserve">8.2.5 </w:t>
      </w:r>
      <w:r>
        <w:rPr>
          <w:sz w:val="24"/>
        </w:rPr>
        <w:t>乙方开户银行名称及账号：</w:t>
      </w:r>
    </w:p>
    <w:tbl>
      <w:tblPr>
        <w:tblW w:w="0" w:type="auto"/>
        <w:tblInd w:type="dxa" w:w="675"/>
        <w:tblBorders>
          <w:top w:val="none" w:color="000000" w:sz="4"/>
          <w:left w:val="none" w:color="000000" w:sz="4"/>
          <w:bottom w:val="none" w:color="000000" w:sz="4"/>
          <w:right w:val="none" w:color="000000" w:sz="4"/>
          <w:insideH w:val="none"/>
          <w:insideV w:val="none"/>
        </w:tblBorders>
      </w:tblPr>
      <w:tblGrid>
        <w:gridCol w:w="2100"/>
        <w:gridCol w:w="6206"/>
      </w:tblGrid>
      <w:tr>
        <w:tc>
          <w:tcPr>
            <w:tcW w:type="dxa" w:w="2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用户名</w:t>
            </w:r>
          </w:p>
        </w:tc>
        <w:tc>
          <w:tcPr>
            <w:tcW w:type="dxa" w:w="6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开户银行</w:t>
            </w:r>
          </w:p>
        </w:tc>
        <w:tc>
          <w:tcPr>
            <w:tcW w:type="dxa" w:w="6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账号</w:t>
            </w:r>
          </w:p>
        </w:tc>
        <w:tc>
          <w:tcPr>
            <w:tcW w:type="dxa" w:w="6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4"/>
          <w:color w:val="000000"/>
        </w:rPr>
        <w:t xml:space="preserve">8.3 </w:t>
      </w:r>
      <w:r>
        <w:rPr>
          <w:sz w:val="24"/>
          <w:color w:val="000000"/>
        </w:rPr>
        <w:t>如乙方违反甲方</w:t>
      </w:r>
      <w:r>
        <w:rPr>
          <w:sz w:val="24"/>
          <w:color w:val="FF0000"/>
        </w:rPr>
        <w:t>《广东医科大学附属医院信息化项目建设管理制度》，</w:t>
      </w:r>
      <w:r>
        <w:rPr>
          <w:sz w:val="24"/>
          <w:color w:val="000000"/>
        </w:rPr>
        <w:t>确认、统计后出现扣款情况的，甲方将从</w:t>
      </w:r>
      <w:r>
        <w:rPr>
          <w:sz w:val="24"/>
        </w:rPr>
        <w:t>每季度服务费用</w:t>
      </w:r>
      <w:r>
        <w:rPr>
          <w:sz w:val="24"/>
          <w:color w:val="000000"/>
        </w:rPr>
        <w:t>内扣除相应金额，</w:t>
      </w:r>
      <w:r>
        <w:rPr>
          <w:sz w:val="24"/>
        </w:rPr>
        <w:t>不足以抵扣的部分由乙方直接向甲方支付</w:t>
      </w:r>
      <w:r>
        <w:rPr>
          <w:sz w:val="24"/>
          <w:color w:val="000000"/>
        </w:rPr>
        <w:t>。</w:t>
      </w:r>
    </w:p>
    <w:p>
      <w:pPr>
        <w:pStyle w:val="null3"/>
        <w:ind w:left="360"/>
        <w:jc w:val="both"/>
      </w:pPr>
      <w:r>
        <w:rPr>
          <w:sz w:val="24"/>
          <w:color w:val="000000"/>
        </w:rPr>
        <w:t xml:space="preserve">8.4 </w:t>
      </w:r>
      <w:r>
        <w:rPr>
          <w:sz w:val="24"/>
          <w:color w:val="000000"/>
        </w:rPr>
        <w:t>项目如有监理，乙方应按监理单位要求提供相关材料及文档。</w:t>
      </w:r>
    </w:p>
    <w:p>
      <w:pPr>
        <w:pStyle w:val="null3"/>
        <w:ind w:right="-60"/>
        <w:jc w:val="both"/>
      </w:pPr>
      <w:r>
        <w:rPr>
          <w:sz w:val="24"/>
          <w:b/>
          <w:color w:val="000000"/>
        </w:rPr>
        <w:t>九、违约责任</w:t>
      </w:r>
      <w:r>
        <w:rPr>
          <w:sz w:val="24"/>
          <w:b/>
          <w:color w:val="FF0000"/>
        </w:rPr>
        <w:t>(</w:t>
      </w:r>
      <w:r>
        <w:rPr>
          <w:sz w:val="24"/>
          <w:b/>
          <w:color w:val="FF0000"/>
        </w:rPr>
        <w:t>仅供参考，可根据项目具体要求进行修订）</w:t>
      </w:r>
    </w:p>
    <w:p>
      <w:pPr>
        <w:pStyle w:val="null3"/>
        <w:ind w:left="360"/>
        <w:jc w:val="both"/>
      </w:pPr>
      <w:r>
        <w:rPr>
          <w:sz w:val="24"/>
          <w:color w:val="000000"/>
        </w:rPr>
        <w:t xml:space="preserve">9.1 </w:t>
      </w:r>
      <w:r>
        <w:rPr>
          <w:sz w:val="24"/>
          <w:color w:val="000000"/>
        </w:rPr>
        <w:t>乙方服务时间超过合同约定时间，第一次给予警告，超过一次每次罚款300元，三次重犯不能胜任维修工作将取消其供货和维护服务资格。罚款将从</w:t>
      </w:r>
      <w:r>
        <w:rPr>
          <w:sz w:val="24"/>
        </w:rPr>
        <w:t>每季度服务费用</w:t>
      </w:r>
      <w:r>
        <w:rPr>
          <w:sz w:val="24"/>
          <w:color w:val="000000"/>
        </w:rPr>
        <w:t>内扣除相应金额，</w:t>
      </w:r>
      <w:r>
        <w:rPr>
          <w:sz w:val="24"/>
        </w:rPr>
        <w:t>不足以抵扣的部分由乙方直接向甲方支付。</w:t>
      </w:r>
    </w:p>
    <w:p>
      <w:pPr>
        <w:pStyle w:val="null3"/>
        <w:ind w:left="360"/>
        <w:jc w:val="both"/>
      </w:pPr>
      <w:r>
        <w:rPr>
          <w:sz w:val="24"/>
          <w:color w:val="000000"/>
        </w:rPr>
        <w:t xml:space="preserve">9.2 </w:t>
      </w:r>
      <w:r>
        <w:rPr>
          <w:sz w:val="24"/>
          <w:color w:val="000000"/>
        </w:rPr>
        <w:t>乙方服务人员不准时或不足人数驻点广东医科大学附属医院的，前二次给予警告，第三次则罚款300元，并将取消其供货和维护服务资格。罚款将从</w:t>
      </w:r>
      <w:r>
        <w:rPr>
          <w:sz w:val="24"/>
        </w:rPr>
        <w:t>每季度服务费用</w:t>
      </w:r>
      <w:r>
        <w:rPr>
          <w:sz w:val="24"/>
          <w:color w:val="000000"/>
        </w:rPr>
        <w:t>内扣除相应金额，</w:t>
      </w:r>
      <w:r>
        <w:rPr>
          <w:sz w:val="24"/>
        </w:rPr>
        <w:t>不足以抵扣的部分由乙方直接向甲方支付。</w:t>
      </w:r>
    </w:p>
    <w:p>
      <w:pPr>
        <w:pStyle w:val="null3"/>
        <w:ind w:left="360"/>
        <w:jc w:val="both"/>
      </w:pPr>
      <w:r>
        <w:rPr>
          <w:sz w:val="24"/>
          <w:color w:val="000000"/>
        </w:rPr>
        <w:t xml:space="preserve">9.3 </w:t>
      </w:r>
      <w:r>
        <w:rPr>
          <w:sz w:val="24"/>
          <w:color w:val="000000"/>
        </w:rPr>
        <w:t>乙方服务过程中损坏设备或配件的要负责赔偿损失。乙方在接到赔偿通知15日内未支付赔偿款项的，赔偿款将从</w:t>
      </w:r>
      <w:r>
        <w:rPr>
          <w:sz w:val="24"/>
        </w:rPr>
        <w:t>每季度服务费用</w:t>
      </w:r>
      <w:r>
        <w:rPr>
          <w:sz w:val="24"/>
          <w:color w:val="000000"/>
        </w:rPr>
        <w:t>内扣除相应金额，</w:t>
      </w:r>
      <w:r>
        <w:rPr>
          <w:sz w:val="24"/>
        </w:rPr>
        <w:t>不足以抵扣的部分继续由乙方直接向甲方支付。</w:t>
      </w:r>
    </w:p>
    <w:p>
      <w:pPr>
        <w:pStyle w:val="null3"/>
        <w:ind w:left="360"/>
        <w:jc w:val="both"/>
      </w:pPr>
      <w:r>
        <w:rPr>
          <w:sz w:val="24"/>
          <w:color w:val="000000"/>
        </w:rPr>
        <w:t xml:space="preserve">9.4 </w:t>
      </w:r>
      <w:r>
        <w:rPr>
          <w:sz w:val="24"/>
          <w:color w:val="000000"/>
        </w:rPr>
        <w:t>乙方达不到服务要求，甲方有权延迟季度付款，待乙方整改达标后，方可报账。乙方三次出现</w:t>
      </w:r>
      <w:r>
        <w:rPr>
          <w:sz w:val="24"/>
          <w:color w:val="000000"/>
          <w:u w:val="single"/>
        </w:rPr>
        <w:t>未</w:t>
      </w:r>
      <w:r>
        <w:rPr>
          <w:sz w:val="24"/>
          <w:color w:val="000000"/>
        </w:rPr>
        <w:t>达到服务要求的情况下，甲方有权取消乙方的报账不再支付该季度</w:t>
      </w:r>
      <w:r>
        <w:rPr>
          <w:sz w:val="24"/>
        </w:rPr>
        <w:t>服务费用</w:t>
      </w:r>
      <w:r>
        <w:rPr>
          <w:sz w:val="24"/>
          <w:color w:val="000000"/>
        </w:rPr>
        <w:t>，在此情形下，甲方有权单方终止合同而不构成违约，且乙方应赔偿本合同总金额的10%作为违约金以及需赔偿甲方因此产生的直接和间接损失。同时，如甲方已向乙方提前支付预付款的，乙方应退还甲方除去实际服务期间后的剩余服务费。</w:t>
      </w:r>
    </w:p>
    <w:p>
      <w:pPr>
        <w:pStyle w:val="null3"/>
        <w:ind w:left="420"/>
        <w:jc w:val="both"/>
      </w:pPr>
      <w:r>
        <w:rPr>
          <w:sz w:val="24"/>
          <w:color w:val="000000"/>
        </w:rPr>
        <w:t>9.5</w:t>
      </w:r>
      <w:r>
        <w:rPr>
          <w:sz w:val="24"/>
          <w:color w:val="000000"/>
        </w:rPr>
        <w:t>在合同执行期内所有考核次数中，超三分之一以上次数考核不合格的，甲方有权单方终止合同而不构成违约，且乙方应赔偿本合同总金额的10%作为违约金以及需赔偿甲方因此产生的直接和间接损失。同时，如甲方已向乙方提前支付预付款的，乙方应退还甲方除去实际服务期间后的剩余服务费。</w:t>
      </w:r>
    </w:p>
    <w:p>
      <w:pPr>
        <w:pStyle w:val="null3"/>
        <w:ind w:left="420"/>
        <w:jc w:val="both"/>
      </w:pPr>
      <w:r>
        <w:rPr>
          <w:sz w:val="24"/>
          <w:color w:val="000000"/>
        </w:rPr>
        <w:t xml:space="preserve">9.6 </w:t>
      </w:r>
      <w:r>
        <w:rPr>
          <w:sz w:val="24"/>
          <w:color w:val="000000"/>
        </w:rPr>
        <w:t>甲方如逾期支付，经双方协商后，甲方根据协商结果承担逾期支付相应责任。</w:t>
      </w:r>
    </w:p>
    <w:p>
      <w:pPr>
        <w:pStyle w:val="null3"/>
        <w:ind w:left="360"/>
        <w:jc w:val="both"/>
      </w:pPr>
      <w:r>
        <w:rPr>
          <w:sz w:val="24"/>
          <w:color w:val="000000"/>
        </w:rPr>
        <w:t>9.7</w:t>
      </w:r>
      <w:r>
        <w:rPr>
          <w:sz w:val="24"/>
          <w:color w:val="000000"/>
        </w:rPr>
        <w:t>其它违约情形的责任按《中华人民共和国民法典》及相关法律法规的规定处理。</w:t>
      </w:r>
    </w:p>
    <w:p>
      <w:pPr>
        <w:pStyle w:val="null3"/>
        <w:ind w:right="-60"/>
        <w:jc w:val="both"/>
      </w:pPr>
      <w:r>
        <w:rPr>
          <w:sz w:val="24"/>
          <w:b/>
        </w:rPr>
        <w:t>十、不可抗力</w:t>
      </w:r>
    </w:p>
    <w:p>
      <w:pPr>
        <w:pStyle w:val="null3"/>
        <w:ind w:left="360"/>
        <w:jc w:val="both"/>
      </w:pPr>
      <w:r>
        <w:rPr>
          <w:sz w:val="24"/>
          <w:color w:val="000000"/>
        </w:rPr>
        <w:t xml:space="preserve">10.1 </w:t>
      </w:r>
      <w:r>
        <w:rPr>
          <w:sz w:val="24"/>
          <w:color w:val="000000"/>
        </w:rPr>
        <w:t>不可抗力指合同订立时不能预见、不能避免且不能克服的客观情况，包括台风、地震、洪水等。</w:t>
      </w:r>
    </w:p>
    <w:p>
      <w:pPr>
        <w:pStyle w:val="null3"/>
        <w:ind w:left="360"/>
        <w:jc w:val="both"/>
      </w:pPr>
      <w:r>
        <w:rPr>
          <w:sz w:val="24"/>
          <w:color w:val="000000"/>
        </w:rPr>
        <w:t xml:space="preserve">10.2 </w:t>
      </w:r>
      <w:r>
        <w:rPr>
          <w:sz w:val="24"/>
          <w:color w:val="000000"/>
        </w:rPr>
        <w:t>任何一方由于不可抗力原因不能履行合同时，应在不可抗力事件结束后1日内向对方通报，并及时采取合理措施减轻可能给对方造成的损失，在取得有关机构的不可抗力证明或双方谅解确认后，允许延期履行或修订合同，并根据情况可部分或全部免于承担违约责任。</w:t>
      </w:r>
    </w:p>
    <w:p>
      <w:pPr>
        <w:pStyle w:val="null3"/>
        <w:ind w:right="-60"/>
        <w:jc w:val="both"/>
      </w:pPr>
      <w:r>
        <w:rPr>
          <w:sz w:val="24"/>
          <w:b/>
        </w:rPr>
        <w:t>十一、合同终止</w:t>
      </w:r>
    </w:p>
    <w:p>
      <w:pPr>
        <w:pStyle w:val="null3"/>
        <w:ind w:left="360"/>
        <w:jc w:val="both"/>
      </w:pPr>
      <w:r>
        <w:rPr>
          <w:sz w:val="24"/>
          <w:color w:val="000000"/>
        </w:rPr>
        <w:t>如果一方严重违反合同，并在收到对方通知书后30天内仍未能改正的，守约方可立即单方面终止本合同，并有权追究违约方的违约责任。</w:t>
      </w:r>
    </w:p>
    <w:p>
      <w:pPr>
        <w:pStyle w:val="null3"/>
        <w:ind w:right="-60"/>
        <w:jc w:val="both"/>
      </w:pPr>
      <w:r>
        <w:rPr>
          <w:sz w:val="24"/>
          <w:b/>
        </w:rPr>
        <w:t>十二、争议解决及法律适用</w:t>
      </w:r>
    </w:p>
    <w:p>
      <w:pPr>
        <w:pStyle w:val="null3"/>
        <w:ind w:left="360"/>
        <w:jc w:val="both"/>
      </w:pPr>
      <w:r>
        <w:rPr>
          <w:sz w:val="24"/>
          <w:color w:val="000000"/>
        </w:rPr>
        <w:t xml:space="preserve">12.1 </w:t>
      </w:r>
      <w:r>
        <w:rPr>
          <w:sz w:val="24"/>
          <w:color w:val="000000"/>
        </w:rPr>
        <w:t>双方在履约中发生争执和分歧，应友好协商解决，若友好协商仍不能解决，双方均有权向甲方所在地人民法院提起诉讼。</w:t>
      </w:r>
    </w:p>
    <w:p>
      <w:pPr>
        <w:pStyle w:val="null3"/>
        <w:ind w:left="360"/>
        <w:jc w:val="both"/>
      </w:pPr>
      <w:r>
        <w:rPr>
          <w:sz w:val="24"/>
          <w:color w:val="000000"/>
        </w:rPr>
        <w:t xml:space="preserve">12.2 </w:t>
      </w:r>
      <w:r>
        <w:rPr>
          <w:sz w:val="24"/>
          <w:color w:val="000000"/>
        </w:rPr>
        <w:t>协商、调解或诉讼期间，除争议条款外，原则上不停止本合同的履行。</w:t>
      </w:r>
    </w:p>
    <w:p>
      <w:pPr>
        <w:pStyle w:val="null3"/>
        <w:ind w:left="360"/>
        <w:jc w:val="both"/>
      </w:pPr>
      <w:r>
        <w:rPr>
          <w:sz w:val="24"/>
          <w:color w:val="000000"/>
        </w:rPr>
        <w:t xml:space="preserve">12.3 </w:t>
      </w:r>
      <w:r>
        <w:rPr>
          <w:sz w:val="24"/>
          <w:color w:val="000000"/>
        </w:rPr>
        <w:t>本合同适用中华人民共和国法律。</w:t>
      </w:r>
    </w:p>
    <w:p>
      <w:pPr>
        <w:pStyle w:val="null3"/>
        <w:ind w:right="-60"/>
        <w:jc w:val="both"/>
      </w:pPr>
      <w:r>
        <w:rPr>
          <w:sz w:val="24"/>
          <w:b/>
        </w:rPr>
        <w:t>十三、保密条款</w:t>
      </w:r>
    </w:p>
    <w:p>
      <w:pPr>
        <w:pStyle w:val="null3"/>
        <w:ind w:left="360"/>
        <w:jc w:val="both"/>
      </w:pPr>
      <w:r>
        <w:rPr>
          <w:sz w:val="24"/>
          <w:color w:val="000000"/>
        </w:rPr>
        <w:t xml:space="preserve">13.1 </w:t>
      </w:r>
      <w:r>
        <w:rPr>
          <w:sz w:val="24"/>
          <w:color w:val="000000"/>
        </w:rPr>
        <w:t>乙方应遵守国家的经济、技术工作保密规定和甲方的保密工作条例，在甲方了解的各种情况、信息资料应严格保密，不得泄露。对甲方有特殊保密要求的资料或要求特定人员接触的情况，如果乙方不具备相关条件，则提出具体的技术要求，委托甲方办理。</w:t>
      </w:r>
    </w:p>
    <w:p>
      <w:pPr>
        <w:pStyle w:val="null3"/>
        <w:ind w:left="360"/>
        <w:jc w:val="both"/>
      </w:pPr>
      <w:r>
        <w:rPr>
          <w:sz w:val="24"/>
          <w:color w:val="000000"/>
        </w:rPr>
        <w:t xml:space="preserve">13.2 </w:t>
      </w:r>
      <w:r>
        <w:rPr>
          <w:sz w:val="24"/>
          <w:color w:val="000000"/>
        </w:rPr>
        <w:t>对于项目的开发内容和技术开发成果，甲乙双方具有共同的保密责任。未经对方认可，任何一方不得以任何形式向其它方出示或提供。</w:t>
      </w:r>
    </w:p>
    <w:p>
      <w:pPr>
        <w:pStyle w:val="null3"/>
        <w:ind w:left="360"/>
        <w:jc w:val="both"/>
      </w:pPr>
      <w:r>
        <w:rPr>
          <w:sz w:val="24"/>
          <w:color w:val="000000"/>
        </w:rPr>
        <w:t xml:space="preserve">13.3 </w:t>
      </w:r>
      <w:r>
        <w:rPr>
          <w:sz w:val="24"/>
          <w:color w:val="000000"/>
        </w:rPr>
        <w:t>乙方进场后要与甲方签署《保密协议》，并严格遵循协议的要求。</w:t>
      </w:r>
    </w:p>
    <w:p>
      <w:pPr>
        <w:pStyle w:val="null3"/>
        <w:ind w:right="-60"/>
        <w:jc w:val="both"/>
      </w:pPr>
      <w:r>
        <w:rPr>
          <w:sz w:val="24"/>
          <w:b/>
          <w:color w:val="000000"/>
        </w:rPr>
        <w:t>十四、通知与送达</w:t>
      </w:r>
    </w:p>
    <w:p>
      <w:pPr>
        <w:pStyle w:val="null3"/>
        <w:ind w:left="360"/>
        <w:jc w:val="both"/>
      </w:pPr>
      <w:r>
        <w:rPr>
          <w:sz w:val="24"/>
          <w:color w:val="000000"/>
        </w:rPr>
        <w:t>14.1</w:t>
      </w:r>
      <w:r>
        <w:rPr>
          <w:sz w:val="24"/>
          <w:color w:val="000000"/>
        </w:rPr>
        <w:t>任何一方发出的任何与本协议有关的通知、回复、文件或其他联系，均应以书面形式、且采用邮政快递（EMS）或直接送达的方式。如以邮政快递（EMS）方式的，应寄至本协议首页所列另一方的地址或另一方以本条所述方式通知更改后的地址，在投邮后（以寄出的邮戳为准）第三日将被视为已送达另一方；如以直接送达的方式送达，则于另一方签收时视为已送达，任何一方不得拒绝签收（签收仅证明收到，不能被认为是对文件内容的同意）；该地址亦可作为法院的送达地址。甲方工作人员可通过微信、手机短信向乙方本项目的负责人及其指派的其他工作人员通过微信、短信、邮箱、电话等方式发出故障通知、报修通知、符合本合同乙方服务义务的工作要求通知，乙方人员接收后均视为已送达。</w:t>
      </w:r>
    </w:p>
    <w:p>
      <w:pPr>
        <w:pStyle w:val="null3"/>
        <w:ind w:left="360"/>
        <w:jc w:val="both"/>
      </w:pPr>
      <w:r>
        <w:rPr>
          <w:sz w:val="24"/>
          <w:color w:val="000000"/>
        </w:rPr>
        <w:t>14.2</w:t>
      </w:r>
      <w:r>
        <w:rPr>
          <w:sz w:val="24"/>
          <w:color w:val="000000"/>
        </w:rPr>
        <w:t>如一方注册信息（含单位名称、地址、电话、传真号码等）发生变更，应于变更后2个工作日内书面通知对方，否则违约方应承担相应责任。</w:t>
      </w:r>
    </w:p>
    <w:p>
      <w:pPr>
        <w:pStyle w:val="null3"/>
        <w:ind w:right="-60"/>
        <w:jc w:val="both"/>
      </w:pPr>
      <w:r>
        <w:rPr>
          <w:sz w:val="24"/>
          <w:b/>
          <w:color w:val="000000"/>
        </w:rPr>
        <w:t>十五、附则</w:t>
      </w:r>
    </w:p>
    <w:p>
      <w:pPr>
        <w:pStyle w:val="null3"/>
        <w:ind w:left="360"/>
        <w:jc w:val="both"/>
      </w:pPr>
      <w:r>
        <w:rPr>
          <w:sz w:val="24"/>
          <w:color w:val="000000"/>
        </w:rPr>
        <w:t xml:space="preserve">15.1 </w:t>
      </w:r>
      <w:r>
        <w:rPr>
          <w:sz w:val="24"/>
          <w:color w:val="000000"/>
        </w:rPr>
        <w:t>合同签订地：广东省湛江市霞山区人民大道南57号。</w:t>
      </w:r>
    </w:p>
    <w:p>
      <w:pPr>
        <w:pStyle w:val="null3"/>
        <w:ind w:left="360"/>
        <w:jc w:val="both"/>
      </w:pPr>
      <w:r>
        <w:rPr>
          <w:sz w:val="24"/>
          <w:color w:val="000000"/>
        </w:rPr>
        <w:t xml:space="preserve">15.2 </w:t>
      </w:r>
      <w:r>
        <w:rPr>
          <w:sz w:val="24"/>
          <w:color w:val="000000"/>
        </w:rPr>
        <w:t>本合同自双方</w:t>
      </w:r>
      <w:r>
        <w:rPr>
          <w:sz w:val="24"/>
        </w:rPr>
        <w:t>法定代表人或授权代表签字并加盖单位公章（或合同专用章）</w:t>
      </w:r>
      <w:r>
        <w:rPr>
          <w:sz w:val="24"/>
          <w:color w:val="000000"/>
        </w:rPr>
        <w:t>之日起生效。</w:t>
      </w:r>
    </w:p>
    <w:p>
      <w:pPr>
        <w:pStyle w:val="null3"/>
        <w:ind w:left="360"/>
        <w:jc w:val="both"/>
      </w:pPr>
      <w:r>
        <w:rPr>
          <w:sz w:val="24"/>
          <w:color w:val="000000"/>
        </w:rPr>
        <w:t>15.3</w:t>
      </w:r>
      <w:r>
        <w:rPr>
          <w:sz w:val="24"/>
          <w:color w:val="000000"/>
        </w:rPr>
        <w:t>本合同一式柒份</w:t>
      </w:r>
      <w:r>
        <w:rPr>
          <w:sz w:val="24"/>
        </w:rPr>
        <w:t>（每份合同必须双面打印并附上页码，并加盖骑缝章）</w:t>
      </w:r>
      <w:r>
        <w:rPr>
          <w:sz w:val="24"/>
          <w:color w:val="000000"/>
        </w:rPr>
        <w:t>，甲方执伍份，乙方执贰份，具有同等法律效力。</w:t>
      </w:r>
    </w:p>
    <w:p>
      <w:pPr>
        <w:pStyle w:val="null3"/>
        <w:ind w:left="360"/>
        <w:jc w:val="both"/>
      </w:pPr>
      <w:r>
        <w:rPr>
          <w:sz w:val="24"/>
          <w:color w:val="000000"/>
        </w:rPr>
        <w:t>15.4</w:t>
      </w:r>
      <w:r>
        <w:rPr>
          <w:sz w:val="24"/>
          <w:color w:val="000000"/>
        </w:rPr>
        <w:t>本合同未尽事宜，经双方协商一致后，可对本合同签订书面的补充条款。</w:t>
      </w:r>
    </w:p>
    <w:p>
      <w:pPr>
        <w:pStyle w:val="null3"/>
        <w:ind w:left="360"/>
        <w:jc w:val="both"/>
      </w:pPr>
      <w:r>
        <w:rPr>
          <w:sz w:val="24"/>
          <w:color w:val="000000"/>
        </w:rPr>
        <w:t>补充条款为本合同不可分割的一部分，与本合同具有同等法律效力，补充条款与本合同不一致的，以补充条款为准。</w:t>
      </w:r>
    </w:p>
    <w:p>
      <w:pPr>
        <w:pStyle w:val="null3"/>
        <w:ind w:left="360"/>
        <w:jc w:val="both"/>
      </w:pPr>
      <w:r>
        <w:rPr>
          <w:sz w:val="24"/>
          <w:color w:val="000000"/>
        </w:rPr>
        <w:t>15.5</w:t>
      </w:r>
      <w:r>
        <w:rPr>
          <w:sz w:val="24"/>
          <w:color w:val="000000"/>
        </w:rPr>
        <w:t>合同附件具有同等的法律效力，附件包括：《用户需求说明书》、详细价格、技术说明及其它有关合同标的的特定信息由合同附件说明。所有附件及本项目的</w:t>
      </w:r>
      <w:r>
        <w:rPr>
          <w:sz w:val="24"/>
        </w:rPr>
        <w:t>采购文件、响应文件</w:t>
      </w:r>
      <w:r>
        <w:rPr>
          <w:sz w:val="24"/>
          <w:color w:val="000000"/>
        </w:rPr>
        <w:t>、会议纪要、协议等均为本合同不可分割之一部分。</w:t>
      </w:r>
    </w:p>
    <w:p>
      <w:pPr>
        <w:pStyle w:val="null3"/>
        <w:jc w:val="center"/>
      </w:pPr>
      <w:r>
        <w:rPr>
          <w:sz w:val="24"/>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363"/>
        <w:gridCol w:w="3943"/>
      </w:tblGrid>
      <w:tr>
        <w:tc>
          <w:tcPr>
            <w:tcW w:type="dxa" w:w="4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b/>
              </w:rPr>
              <w:t>甲方（盖章）：</w:t>
            </w:r>
            <w:r>
              <w:rPr>
                <w:sz w:val="24"/>
              </w:rPr>
              <w:t>广东医科大学附属医院</w:t>
            </w:r>
          </w:p>
        </w:tc>
        <w:tc>
          <w:tcPr>
            <w:tcW w:type="dxa" w:w="3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b/>
              </w:rPr>
              <w:t>乙方（盖章）：</w:t>
            </w:r>
          </w:p>
        </w:tc>
      </w:tr>
      <w:tr>
        <w:tc>
          <w:tcPr>
            <w:tcW w:type="dxa" w:w="4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b/>
              </w:rPr>
              <w:t>地址：</w:t>
            </w:r>
            <w:r>
              <w:rPr>
                <w:sz w:val="24"/>
              </w:rPr>
              <w:t>广东省湛江市霞山区人民大道南57号</w:t>
            </w:r>
          </w:p>
          <w:p>
            <w:pPr>
              <w:pStyle w:val="null3"/>
              <w:ind w:right="-60"/>
              <w:jc w:val="both"/>
            </w:pPr>
            <w:r>
              <w:rPr>
                <w:sz w:val="24"/>
                <w:b/>
              </w:rPr>
              <w:t>邮编：</w:t>
            </w:r>
            <w:r>
              <w:rPr>
                <w:sz w:val="24"/>
              </w:rPr>
              <w:t>524001</w:t>
            </w:r>
          </w:p>
          <w:p>
            <w:pPr>
              <w:pStyle w:val="null3"/>
              <w:ind w:right="-60"/>
              <w:jc w:val="both"/>
            </w:pPr>
            <w:r>
              <w:rPr>
                <w:sz w:val="24"/>
                <w:b/>
              </w:rPr>
              <w:t>电话：</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b/>
              </w:rPr>
              <w:t>地址：</w:t>
            </w:r>
          </w:p>
          <w:p>
            <w:pPr>
              <w:pStyle w:val="null3"/>
              <w:ind w:right="-60"/>
              <w:jc w:val="both"/>
            </w:pPr>
            <w:r>
              <w:rPr>
                <w:sz w:val="24"/>
                <w:b/>
              </w:rPr>
              <w:t>邮编：</w:t>
            </w:r>
          </w:p>
          <w:p>
            <w:pPr>
              <w:pStyle w:val="null3"/>
              <w:ind w:right="-60"/>
              <w:jc w:val="both"/>
            </w:pPr>
            <w:r>
              <w:rPr>
                <w:sz w:val="24"/>
                <w:b/>
              </w:rPr>
              <w:t>电话：</w:t>
            </w:r>
          </w:p>
          <w:p>
            <w:pPr>
              <w:pStyle w:val="null3"/>
              <w:ind w:right="-60"/>
              <w:jc w:val="both"/>
            </w:pPr>
            <w:r>
              <w:rPr>
                <w:sz w:val="24"/>
                <w:b/>
              </w:rPr>
              <w:t>电子邮箱：</w:t>
            </w:r>
          </w:p>
        </w:tc>
      </w:tr>
      <w:tr>
        <w:tc>
          <w:tcPr>
            <w:tcW w:type="dxa" w:w="4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法定代表人</w:t>
            </w:r>
          </w:p>
          <w:p>
            <w:pPr>
              <w:pStyle w:val="null3"/>
              <w:ind w:right="-60"/>
              <w:jc w:val="both"/>
            </w:pPr>
            <w:r>
              <w:rPr>
                <w:sz w:val="21"/>
                <w:b/>
              </w:rPr>
              <w:t>或授权代表（签字/签章）：</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法定代表人</w:t>
            </w:r>
          </w:p>
          <w:p>
            <w:pPr>
              <w:pStyle w:val="null3"/>
              <w:ind w:right="-60"/>
              <w:jc w:val="both"/>
            </w:pPr>
            <w:r>
              <w:rPr>
                <w:sz w:val="21"/>
                <w:b/>
              </w:rPr>
              <w:t>或授权代表（签字/签章）：</w:t>
            </w:r>
          </w:p>
        </w:tc>
      </w:tr>
      <w:tr>
        <w:tc>
          <w:tcPr>
            <w:tcW w:type="dxa" w:w="4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b/>
              </w:rPr>
              <w:t>签订日期：</w:t>
            </w:r>
            <w:r>
              <w:rPr>
                <w:sz w:val="21"/>
              </w:rPr>
              <w:t xml:space="preserve">                </w:t>
            </w:r>
            <w:r>
              <w:rPr>
                <w:sz w:val="24"/>
              </w:rPr>
              <w:t>年   月   日</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b/>
              </w:rPr>
              <w:t>签订日期：</w:t>
            </w:r>
            <w:r>
              <w:rPr>
                <w:sz w:val="21"/>
              </w:rPr>
              <w:t xml:space="preserve">             </w:t>
            </w:r>
            <w:r>
              <w:rPr>
                <w:sz w:val="24"/>
              </w:rPr>
              <w:t>年   月   日</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440001-2024-45399</w:t>
      </w:r>
    </w:p>
    <w:p>
      <w:pPr>
        <w:pStyle w:val="null3"/>
        <w:jc w:val="center"/>
        <w:outlineLvl w:val="3"/>
      </w:pPr>
      <w:r>
        <w:rPr>
          <w:sz w:val="24"/>
          <w:b/>
        </w:rPr>
        <w:t>采购项目编号：</w:t>
      </w:r>
      <w:r>
        <w:rPr>
          <w:sz w:val="24"/>
          <w:b/>
        </w:rPr>
        <w:t>GPCGD243174FG158F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广东医科大学附属医院2024年集成平台及数据中心运维服务项目</w:t>
      </w:r>
      <w:r>
        <w:rPr>
          <w:u w:val="single"/>
        </w:rPr>
        <w:t>”</w:t>
      </w:r>
      <w:r>
        <w:rPr/>
        <w:t>项目的招标[采购项目编号为：</w:t>
      </w:r>
      <w:r>
        <w:rPr>
          <w:u w:val="single"/>
        </w:rPr>
        <w:t>GPCGD243174FG158F</w:t>
      </w:r>
      <w:r>
        <w:rPr/>
        <w:t>]，我方愿参与投标。</w:t>
      </w:r>
    </w:p>
    <w:p>
      <w:pPr>
        <w:pStyle w:val="null3"/>
        <w:ind w:firstLine="480"/>
      </w:pPr>
      <w:r>
        <w:rPr/>
        <w:t>我方确认收到贵方提供的</w:t>
      </w:r>
      <w:r>
        <w:rPr>
          <w:u w:val="single"/>
        </w:rPr>
        <w:t>“</w:t>
      </w:r>
      <w:r>
        <w:rPr>
          <w:u w:val="single"/>
        </w:rPr>
        <w:t>广东医科大学附属医院2024年集成平台及数据中心运维服务项目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广东医科大学附属医院2024年集成平台及数据中心运维服务项目</w:t>
      </w:r>
      <w:r>
        <w:rPr/>
        <w:t>”项目采购[采购项目编号为</w:t>
      </w:r>
      <w:r>
        <w:rPr/>
        <w:t>GPCGD243174FG158F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广东医科大学附属医院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广东医科大学附属医院2024年集成平台及数据中心运维服务项目</w:t>
      </w:r>
      <w:r>
        <w:rPr/>
        <w:t>招标中获中标（采购项目编号：</w:t>
      </w:r>
      <w:r>
        <w:rPr/>
        <w:t>GPCGD243174FG158F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广东医科大学附属医院2024年集成平台及数据中心运维服务项目</w:t>
      </w:r>
      <w:r>
        <w:rPr/>
        <w:t>”项目（采购项目编号：</w:t>
      </w:r>
      <w:r>
        <w:rPr/>
        <w:t>GPCGD243174FG158F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