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440001-2024-44857</w:t>
      </w:r>
    </w:p>
    <w:p>
      <w:pPr>
        <w:pStyle w:val="null3"/>
        <w:jc w:val="center"/>
        <w:outlineLvl w:val="3"/>
      </w:pPr>
      <w:r>
        <w:rPr>
          <w:sz w:val="24"/>
          <w:b/>
        </w:rPr>
        <w:t>采购项目编号：</w:t>
      </w:r>
      <w:r>
        <w:rPr>
          <w:sz w:val="24"/>
          <w:b/>
        </w:rPr>
        <w:t>GPCGD241109FG319J</w:t>
      </w:r>
    </w:p>
    <w:p>
      <w:pPr>
        <w:pStyle w:val="null3"/>
        <w:jc w:val="center"/>
        <w:outlineLvl w:val="3"/>
      </w:pPr>
      <w:r>
        <w:rPr>
          <w:sz w:val="24"/>
          <w:b/>
        </w:rPr>
        <w:t>项目名称：</w:t>
      </w:r>
      <w:r>
        <w:rPr>
          <w:sz w:val="24"/>
          <w:b/>
        </w:rPr>
        <w:t>广东省生态环境厅固体废物环境监管信息平台运维运营（2024年）项目运维服务</w:t>
      </w:r>
    </w:p>
    <w:p>
      <w:pPr>
        <w:pStyle w:val="null3"/>
        <w:jc w:val="center"/>
        <w:outlineLvl w:val="3"/>
      </w:pPr>
      <w:r>
        <w:rPr>
          <w:sz w:val="24"/>
          <w:b/>
        </w:rPr>
        <w:t>采购人：</w:t>
      </w:r>
      <w:r>
        <w:rPr>
          <w:sz w:val="24"/>
          <w:b/>
        </w:rPr>
        <w:t>广东省固体废物和化学品环境中心</w:t>
      </w:r>
    </w:p>
    <w:p>
      <w:pPr>
        <w:pStyle w:val="null3"/>
        <w:jc w:val="center"/>
        <w:outlineLvl w:val="3"/>
      </w:pPr>
      <w:r>
        <w:rPr>
          <w:sz w:val="24"/>
          <w:b/>
        </w:rPr>
        <w:t>采购代理机构：</w:t>
      </w:r>
      <w:r>
        <w:rPr>
          <w:sz w:val="24"/>
          <w:b/>
        </w:rPr>
        <w:t>广东省政府采购中心</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广东省政府采购中心</w:t>
      </w:r>
      <w:r>
        <w:rPr/>
        <w:t>受</w:t>
      </w:r>
      <w:r>
        <w:rPr/>
        <w:t>广东省固体废物和化学品环境中心</w:t>
      </w:r>
      <w:r>
        <w:rPr/>
        <w:t>的委托，采用</w:t>
      </w:r>
      <w:r>
        <w:rPr/>
        <w:t>公开招标</w:t>
      </w:r>
      <w:r>
        <w:rPr/>
        <w:t>方式组织采购</w:t>
      </w:r>
      <w:r>
        <w:rPr/>
        <w:t>广东省生态环境厅固体废物环境监管信息平台运维运营（2024年）项目运维服务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广东省生态环境厅固体废物环境监管信息平台运维运营（2024年）项目运维服务</w:t>
      </w:r>
    </w:p>
    <w:p>
      <w:pPr>
        <w:pStyle w:val="null3"/>
        <w:ind w:firstLine="480"/>
      </w:pPr>
      <w:r>
        <w:rPr/>
        <w:t>采购计划编号：</w:t>
      </w:r>
      <w:r>
        <w:rPr/>
        <w:t>440001-2024-44857</w:t>
      </w:r>
    </w:p>
    <w:p>
      <w:pPr>
        <w:pStyle w:val="null3"/>
        <w:ind w:firstLine="480"/>
      </w:pPr>
      <w:r>
        <w:rPr/>
        <w:t>采购项目编号：</w:t>
      </w:r>
      <w:r>
        <w:rPr/>
        <w:t>GPCGD241109FG319J</w:t>
      </w:r>
    </w:p>
    <w:p>
      <w:pPr>
        <w:pStyle w:val="null3"/>
        <w:ind w:firstLine="480"/>
      </w:pPr>
      <w:r>
        <w:rPr/>
        <w:t>采购方式：</w:t>
      </w:r>
      <w:r>
        <w:rPr/>
        <w:t>公开招标</w:t>
      </w:r>
    </w:p>
    <w:p>
      <w:pPr>
        <w:pStyle w:val="null3"/>
        <w:ind w:firstLine="480"/>
      </w:pPr>
      <w:r>
        <w:rPr/>
        <w:t>预算金额：</w:t>
      </w:r>
      <w:r>
        <w:rPr/>
        <w:t>628,000.00</w:t>
      </w:r>
      <w:r>
        <w:rPr/>
        <w:t>元</w:t>
      </w:r>
    </w:p>
    <w:p>
      <w:pPr>
        <w:pStyle w:val="null3"/>
        <w:outlineLvl w:val="3"/>
      </w:pPr>
      <w:r>
        <w:rPr>
          <w:sz w:val="24"/>
          <w:b/>
        </w:rPr>
        <w:t>2.项目内容及需求情况（采购项目技术规格、参数及要求）</w:t>
      </w:r>
    </w:p>
    <w:p>
      <w:pPr>
        <w:pStyle w:val="null3"/>
      </w:pPr>
      <w:r>
        <w:rPr/>
        <w:t>采购包1(广东省生态环境厅固体废物环境监管信息平台运维运营（2024年）项目运维服务):</w:t>
      </w:r>
    </w:p>
    <w:p>
      <w:pPr>
        <w:pStyle w:val="null3"/>
      </w:pPr>
      <w:r>
        <w:rPr/>
        <w:t>采购包预算金额：628,000.00元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其他运行维护服务</w:t>
            </w:r>
          </w:p>
        </w:tc>
        <w:tc>
          <w:tcPr>
            <w:tcW w:type="dxa" w:w="2136"/>
          </w:tcPr>
          <w:p>
            <w:pPr>
              <w:pStyle w:val="null3"/>
            </w:pPr>
            <w:r>
              <w:rPr/>
              <w:t>平台运维</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本采购包接受联合体投标</w:t>
      </w:r>
    </w:p>
    <w:p>
      <w:pPr>
        <w:pStyle w:val="null3"/>
      </w:pPr>
      <w:r>
        <w:rPr/>
        <w:t>合同分包：不允许合同分包</w:t>
      </w:r>
    </w:p>
    <w:p>
      <w:pPr>
        <w:pStyle w:val="null3"/>
      </w:pPr>
      <w:r>
        <w:rPr/>
        <w:t>合同履行期限：本项目委托服务期限以合同签订之日为服务起始时间，服务期为12个月。</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副本复印件。分支机构投标的，须提供总公司和分公司营业执照副本复印件，总公司出具给分支机构的授权书。（如联合体投标，联合体各方成员均须满足）</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提供相应证明材料。（如联合体投标，联合体各方成员均须满足）</w:t>
      </w:r>
    </w:p>
    <w:p>
      <w:pPr>
        <w:pStyle w:val="null3"/>
      </w:pPr>
      <w:r>
        <w:rPr/>
        <w:t>3）具有良好的商业信誉和健全的财务会计制度：供应商必须具有良好的商业信誉和健全的财务会计制度（提供以下2种证明材料之一：1. 2023年度经会计师事务所审计的财务状况报告；2. 同时提供①基本开户行出具的资信证明，②《基本存款账号信息》或《开户许可证》）。（如联合体投标，联合体各方成员均须满足）</w:t>
      </w:r>
    </w:p>
    <w:p>
      <w:pPr>
        <w:pStyle w:val="null3"/>
      </w:pPr>
      <w:r>
        <w:rPr/>
        <w:t>4）履行合同所必需的设备和专业技术能力：按投标（响应）文件格式填报设备及专业技术能力情况。（如联合体投标，联合体各方成员均须满足）</w:t>
      </w:r>
    </w:p>
    <w:p>
      <w:pPr>
        <w:pStyle w:val="null3"/>
      </w:pPr>
      <w:r>
        <w:rPr/>
        <w:t>5）参加采购活动前3年内，在经营活动中没有重大违法记录：供应商参加政府采购活动前三年内，在经营活动中没有重大违法记录（可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如联合体投标，联合体各方成员均须满足）（如联合体投标，联合体各方成员均须满足）</w:t>
      </w:r>
    </w:p>
    <w:p>
      <w:pPr>
        <w:pStyle w:val="null3"/>
        <w:outlineLvl w:val="3"/>
      </w:pPr>
      <w:r>
        <w:rPr>
          <w:sz w:val="24"/>
          <w:b/>
        </w:rPr>
        <w:t>2.落实政府采购政策需满足的资格要求：</w:t>
      </w:r>
    </w:p>
    <w:p>
      <w:pPr>
        <w:pStyle w:val="null3"/>
        <w:jc w:val="left"/>
      </w:pPr>
      <w:r>
        <w:rPr/>
        <w:t>采购包1（广东省生态环境厅固体废物环境监管信息平台运维运营（2024年）项目运维服务）：</w:t>
      </w:r>
      <w:r>
        <w:rPr/>
        <w:t>本项目接受联合体投标。联合体投标相关规则如下： 本项目以联合体形式预留不少于合同金额40%给中小企业，其中预留不低于合同金额70%给小微企业。供应商须符合以下情形之一： （1）以联合体形式参加投标（响应）的，联合体成员中至少有一方须为小微企业。如联合体成员中未有中型企业的，则小微企业承担部分须达到合同金额的70%。提交《联合体协议书》和《中小企业声明函》。 （2）以联合体形式参加投标（响应）的，联合体成员至少有一方须为小微企业。如联合体成员中有中型企业的，则中小企业承担部分须达到合同金额的40%，其中小微企业承担部分须达到合同金额的70%。提交《联合体协议书》和《中小企业声明函》。 （3）非联合体形式参加投标（响应）的，则供应商须为小微企业。提交《中小企业声明函》。 （注1：参加投标的中小企业须符合本项目采购标的对应行业（软件和信息技术服务业）的政策划分标准。） （注2：中小企业以供应商填写的《中小企业声明函（服务）》（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 （注3：联合体各方不得再单独参加或者与其他供应商另外组成联合体参加本项目的政府采购活动。） 注4：《中小企业声明函》的填写要求见《广东省财政厅关于进一步规范政府采购活动中落实促进中小企业发展政策的通知》（粤财采购〔2024〕11号）的规定，供应商可登陆： https://gdgpo.czt.gd.gov.cn/freecms/site/guangdong/tz/info/2024/15000058.html查阅。</w:t>
      </w:r>
    </w:p>
    <w:p>
      <w:pPr>
        <w:pStyle w:val="null3"/>
        <w:outlineLvl w:val="3"/>
      </w:pPr>
      <w:r>
        <w:rPr>
          <w:sz w:val="24"/>
          <w:b/>
        </w:rPr>
        <w:t>3.本项目特定的资格要求：</w:t>
      </w:r>
    </w:p>
    <w:p>
      <w:pPr>
        <w:pStyle w:val="null3"/>
      </w:pPr>
      <w:r>
        <w:rPr/>
        <w:t>采购包1（广东省生态环境厅固体废物环境监管信息平台运维运营（2024年）项目运维服务）：</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投标截止日当天在“信用中国”网站（www.creditchina.gov.cn）及中国政府采购网（http://www.ccgp.gov.cn/）查询结果为准，如相关失信记录已失效，报价人需提供相关证明资料）。（如联合体投标，联合体各方成员均须满足）</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投标函相关承诺要求内容。（如联合体投标，联合体各方不得与其它供应商存在上述情形）</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广东省固体废物和化学品环境中心</w:t>
      </w:r>
    </w:p>
    <w:p>
      <w:pPr>
        <w:pStyle w:val="null3"/>
        <w:ind w:firstLine="480"/>
      </w:pPr>
      <w:r>
        <w:rPr/>
        <w:t xml:space="preserve"> 地址：</w:t>
      </w:r>
      <w:r>
        <w:rPr/>
        <w:t>广州市海珠区芳园路8号广东环境监控中心5楼</w:t>
      </w:r>
    </w:p>
    <w:p>
      <w:pPr>
        <w:pStyle w:val="null3"/>
        <w:ind w:firstLine="480"/>
      </w:pPr>
      <w:r>
        <w:rPr/>
        <w:t xml:space="preserve"> 联系方式：</w:t>
      </w:r>
      <w:r>
        <w:rPr/>
        <w:t>020-89779139</w:t>
      </w:r>
    </w:p>
    <w:p>
      <w:pPr>
        <w:pStyle w:val="null3"/>
        <w:outlineLvl w:val="3"/>
      </w:pPr>
      <w:r>
        <w:rPr>
          <w:sz w:val="24"/>
          <w:b/>
        </w:rPr>
        <w:t xml:space="preserve"> 2.采购代理机构信息</w:t>
      </w:r>
    </w:p>
    <w:p>
      <w:pPr>
        <w:pStyle w:val="null3"/>
        <w:ind w:firstLine="480"/>
      </w:pPr>
      <w:r>
        <w:rPr/>
        <w:t xml:space="preserve"> 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020-83196835</w:t>
      </w:r>
    </w:p>
    <w:p>
      <w:pPr>
        <w:pStyle w:val="null3"/>
        <w:outlineLvl w:val="3"/>
      </w:pPr>
      <w:r>
        <w:rPr>
          <w:sz w:val="24"/>
          <w:b/>
        </w:rPr>
        <w:t xml:space="preserve"> 3.项目联系方式</w:t>
      </w:r>
    </w:p>
    <w:p>
      <w:pPr>
        <w:pStyle w:val="null3"/>
        <w:ind w:firstLine="480"/>
      </w:pPr>
      <w:r>
        <w:rPr/>
        <w:t xml:space="preserve"> 项目联系人：</w:t>
      </w:r>
      <w:r>
        <w:rPr/>
        <w:t>宋工</w:t>
      </w:r>
    </w:p>
    <w:p>
      <w:pPr>
        <w:pStyle w:val="null3"/>
        <w:ind w:firstLine="480"/>
      </w:pPr>
      <w:r>
        <w:rPr/>
        <w:t xml:space="preserve"> 电话：</w:t>
      </w:r>
      <w:r>
        <w:rPr/>
        <w:t>020-83196835</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 xml:space="preserve"> “</w:t>
      </w:r>
      <w:r>
        <w:rPr>
          <w:sz w:val="21"/>
        </w:rPr>
        <w:t>★</w:t>
      </w:r>
      <w:r>
        <w:rPr>
          <w:sz w:val="21"/>
          <w:b/>
        </w:rPr>
        <w:t>”号条款</w:t>
      </w:r>
    </w:p>
    <w:p>
      <w:pPr>
        <w:pStyle w:val="null3"/>
        <w:jc w:val="both"/>
      </w:pPr>
      <w:r>
        <w:rPr>
          <w:sz w:val="21"/>
        </w:rPr>
        <w:t>《用户需求书》中标注有“</w:t>
      </w:r>
      <w:r>
        <w:rPr>
          <w:sz w:val="21"/>
        </w:rPr>
        <w:t>★”号的条款必须实质性响应，负偏离（不满足要求）将导致投标无效。</w:t>
      </w:r>
    </w:p>
    <w:p>
      <w:pPr>
        <w:pStyle w:val="null3"/>
        <w:ind w:firstLine="420"/>
        <w:jc w:val="both"/>
      </w:pPr>
      <w:r>
        <w:rPr>
          <w:sz w:val="21"/>
        </w:rPr>
        <w:t>★本项不允许合同分包。如供应商在投标/响应文件中未出现《分包协议意向书》，则视为未采取合同分包。</w:t>
      </w:r>
    </w:p>
    <w:p>
      <w:pPr>
        <w:pStyle w:val="null3"/>
        <w:ind w:left="420"/>
      </w:pPr>
      <w:r>
        <w:rPr>
          <w:sz w:val="21"/>
        </w:rPr>
        <w:t xml:space="preserve">1. </w:t>
      </w:r>
      <w:r>
        <w:rPr>
          <w:sz w:val="21"/>
        </w:rPr>
        <w:t>项目概况</w:t>
      </w:r>
    </w:p>
    <w:p>
      <w:pPr>
        <w:pStyle w:val="null3"/>
        <w:ind w:left="570"/>
      </w:pPr>
      <w:r>
        <w:rPr>
          <w:sz w:val="21"/>
        </w:rPr>
        <w:t xml:space="preserve">1.1. </w:t>
      </w:r>
      <w:r>
        <w:rPr>
          <w:sz w:val="21"/>
        </w:rPr>
        <w:t>基本信息</w:t>
      </w:r>
    </w:p>
    <w:p>
      <w:pPr>
        <w:pStyle w:val="null3"/>
        <w:ind w:left="705"/>
      </w:pPr>
      <w:r>
        <w:rPr>
          <w:sz w:val="21"/>
          <w:b/>
        </w:rPr>
        <w:t xml:space="preserve">1.1.1. </w:t>
      </w:r>
      <w:r>
        <w:rPr>
          <w:sz w:val="21"/>
          <w:b/>
        </w:rPr>
        <w:t>项目名称</w:t>
      </w:r>
    </w:p>
    <w:p>
      <w:pPr>
        <w:pStyle w:val="null3"/>
        <w:ind w:firstLine="420"/>
        <w:jc w:val="left"/>
      </w:pPr>
      <w:r>
        <w:rPr>
          <w:sz w:val="21"/>
        </w:rPr>
        <w:t>省生态环境厅固体废物环境监管信息平台运维运营（2024年）项目运行维护服务</w:t>
      </w:r>
    </w:p>
    <w:p>
      <w:pPr>
        <w:pStyle w:val="null3"/>
        <w:ind w:left="705"/>
      </w:pPr>
      <w:r>
        <w:rPr>
          <w:sz w:val="21"/>
          <w:b/>
        </w:rPr>
        <w:t xml:space="preserve">1.1.2. </w:t>
      </w:r>
      <w:r>
        <w:rPr>
          <w:sz w:val="21"/>
          <w:b/>
        </w:rPr>
        <w:t>采购人</w:t>
      </w:r>
    </w:p>
    <w:p>
      <w:pPr>
        <w:pStyle w:val="null3"/>
        <w:ind w:firstLine="420"/>
        <w:jc w:val="left"/>
      </w:pPr>
      <w:r>
        <w:rPr>
          <w:sz w:val="21"/>
        </w:rPr>
        <w:t>广东省固体废物和化学品环境中心</w:t>
      </w:r>
    </w:p>
    <w:p>
      <w:pPr>
        <w:pStyle w:val="null3"/>
        <w:ind w:left="705"/>
      </w:pPr>
      <w:r>
        <w:rPr>
          <w:sz w:val="21"/>
          <w:b/>
        </w:rPr>
        <w:t xml:space="preserve">1.1.3. </w:t>
      </w:r>
      <w:r>
        <w:rPr>
          <w:sz w:val="21"/>
          <w:b/>
        </w:rPr>
        <w:t>用户单位</w:t>
      </w:r>
    </w:p>
    <w:p>
      <w:pPr>
        <w:pStyle w:val="null3"/>
        <w:ind w:firstLine="420"/>
        <w:jc w:val="left"/>
      </w:pPr>
      <w:r>
        <w:rPr>
          <w:sz w:val="21"/>
        </w:rPr>
        <w:t>广东省固体废物和化学品环境中心</w:t>
      </w:r>
    </w:p>
    <w:p>
      <w:pPr>
        <w:pStyle w:val="null3"/>
        <w:ind w:left="705"/>
      </w:pPr>
      <w:r>
        <w:rPr>
          <w:sz w:val="21"/>
          <w:b/>
        </w:rPr>
        <w:t xml:space="preserve">1.1.4. </w:t>
      </w:r>
      <w:r>
        <w:rPr>
          <w:sz w:val="21"/>
          <w:b/>
        </w:rPr>
        <w:t>项目总体目标</w:t>
      </w:r>
    </w:p>
    <w:p>
      <w:pPr>
        <w:pStyle w:val="null3"/>
        <w:ind w:firstLine="420"/>
        <w:jc w:val="left"/>
      </w:pPr>
      <w:r>
        <w:rPr>
          <w:sz w:val="21"/>
        </w:rPr>
        <w:t>省生态环境厅固体废物环境监管信息平台运维运营（2024年）项目是广东省固体废物污染防治及“无废城市”建设相关运营运维工作的延续和深化，</w:t>
      </w:r>
      <w:r>
        <w:rPr>
          <w:sz w:val="21"/>
        </w:rPr>
        <w:t>旨在以习.近.平新.时代中.国特.色生态文明建设为指导思想，</w:t>
      </w:r>
      <w:r>
        <w:rPr>
          <w:sz w:val="21"/>
        </w:rPr>
        <w:t>依照《中华人民共和国固体废物污染环境防治法》(中华人民共和国主席令第31号)、《国务院办公厅关于印发“无废城市”建设试点工作方案的通知》（国办发〔2018〕128号）和《广东省人民政府办公厅关于印发广东省推进“无废城市”建设试点工作方案的通知》（粤办函〔2021〕24号）工作要求，从我省“无废城市”建设和固体废物污染攻坚战的实际需求出发，在广东省数字政府“一网统管”的整体统筹规划下，利用数字政府一体化的云、网、数等公共支撑能力以及省固体废物环境监管信息平台，深化我省固体废物全过程管理能力和“无废城市”建设的数字化管理能力。</w:t>
      </w:r>
    </w:p>
    <w:p>
      <w:pPr>
        <w:pStyle w:val="null3"/>
        <w:ind w:firstLine="420"/>
        <w:jc w:val="left"/>
      </w:pPr>
      <w:r>
        <w:rPr>
          <w:sz w:val="21"/>
        </w:rPr>
        <w:t>省固废平台运维运营项目通过打破环境业务壁垒、推动业务互联、提升业务运营能力，推进构建全过程监控、数字化运营、智慧化管理、信息化追溯的大固废运营管理体系；以点带面，打造创新示范引领，推动我省“无废城市”建设工作的综合化、整体化发展。同时依托数字政府改革成果，充分运用数字孪生、智能感知、大数据分析等新一代信息技术，以固废监管业务需求为导向，开展业务实施运营服务；以固体废物污染环境防治信息平台为基础，推进固体废物收集、转移、处置等全过程监控和信息化追溯体系建设，提升危险废物监管能力，构建精准定位、全息展现、协同管理的大固废决策辅助支撑体系，实现对固体废物全过程闭环管理。</w:t>
      </w:r>
    </w:p>
    <w:p>
      <w:pPr>
        <w:pStyle w:val="null3"/>
        <w:ind w:firstLine="420"/>
        <w:jc w:val="left"/>
      </w:pPr>
      <w:r>
        <w:rPr>
          <w:sz w:val="21"/>
        </w:rPr>
        <w:t>本项目通过对广东省固体废物信息管理平台开展运行维护工作，保障平台安全、稳定、可靠运行，促进固环中心运维工作的标准化、规范化，满足信息运维工作集约化、精细化管理的要求，达到服务水平的持续提升。</w:t>
      </w:r>
    </w:p>
    <w:p>
      <w:pPr>
        <w:pStyle w:val="null3"/>
        <w:ind w:left="705"/>
      </w:pPr>
      <w:r>
        <w:rPr>
          <w:sz w:val="21"/>
          <w:b/>
        </w:rPr>
        <w:t xml:space="preserve">1.1.5. </w:t>
      </w:r>
      <w:r>
        <w:rPr>
          <w:sz w:val="21"/>
          <w:b/>
        </w:rPr>
        <w:t>服务地点</w:t>
      </w:r>
    </w:p>
    <w:p>
      <w:pPr>
        <w:pStyle w:val="null3"/>
        <w:ind w:firstLine="420"/>
        <w:jc w:val="left"/>
      </w:pPr>
      <w:r>
        <w:rPr>
          <w:sz w:val="21"/>
        </w:rPr>
        <w:t>广东省固体废物和化学品环境中心</w:t>
      </w:r>
    </w:p>
    <w:p>
      <w:pPr>
        <w:pStyle w:val="null3"/>
        <w:ind w:left="570"/>
      </w:pPr>
      <w:r>
        <w:rPr>
          <w:sz w:val="21"/>
        </w:rPr>
        <w:t xml:space="preserve">1.2. </w:t>
      </w:r>
      <w:r>
        <w:rPr>
          <w:sz w:val="21"/>
        </w:rPr>
        <w:t>项目背景</w:t>
      </w:r>
    </w:p>
    <w:p>
      <w:pPr>
        <w:pStyle w:val="null3"/>
        <w:ind w:firstLine="420"/>
        <w:jc w:val="left"/>
      </w:pPr>
      <w:r>
        <w:rPr>
          <w:sz w:val="21"/>
        </w:rPr>
        <w:t>1</w:t>
      </w:r>
      <w:r>
        <w:rPr>
          <w:sz w:val="21"/>
        </w:rPr>
        <w:t>、落实国家固废法要求</w:t>
      </w:r>
    </w:p>
    <w:p>
      <w:pPr>
        <w:pStyle w:val="null3"/>
        <w:ind w:firstLine="420"/>
        <w:jc w:val="left"/>
      </w:pPr>
      <w:r>
        <w:rPr>
          <w:sz w:val="21"/>
        </w:rPr>
        <w:t>根据2020年4月修订的《中华人民共和国固体废物污染环境防治法》第七十六条，省、自治区、直辖市人民政府应当组织有关部门编制危险废物集中处置设施、场所的建设规划，科学评估危险废物处置需求，合理布局危险废物集中处置设施、场所，确保本行政区域的危险废物得到妥善处置。</w:t>
      </w:r>
    </w:p>
    <w:p>
      <w:pPr>
        <w:pStyle w:val="null3"/>
        <w:ind w:firstLine="420"/>
        <w:jc w:val="left"/>
      </w:pPr>
      <w:r>
        <w:rPr>
          <w:sz w:val="21"/>
        </w:rPr>
        <w:t>第七十八条，产生危险废物的单位，应当按照国家有关规定制定危险废物管理计划；建立危险废物管理台账，如实记录有关信息，并通过国家危险废物信息管理系统向所在地生态环境主管部门申报危险废物的种类、产生量、流向、贮存、处置等有关资料。</w:t>
      </w:r>
    </w:p>
    <w:p>
      <w:pPr>
        <w:pStyle w:val="null3"/>
        <w:ind w:firstLine="420"/>
        <w:jc w:val="left"/>
      </w:pPr>
      <w:r>
        <w:rPr>
          <w:sz w:val="21"/>
        </w:rPr>
        <w:t>省固废平台运维运营项目关注五大类固体废物的产生、转移、贮存、处置的全过程监控和信息化追溯，通过“粤无废”省市管理端和企业服务端的运营，提升全过程数字化、可视化、智能化管理水平。</w:t>
      </w:r>
    </w:p>
    <w:p>
      <w:pPr>
        <w:pStyle w:val="null3"/>
        <w:ind w:firstLine="420"/>
        <w:jc w:val="left"/>
      </w:pPr>
      <w:r>
        <w:rPr>
          <w:sz w:val="21"/>
        </w:rPr>
        <w:t>2</w:t>
      </w:r>
      <w:r>
        <w:rPr>
          <w:sz w:val="21"/>
        </w:rPr>
        <w:t>、支撑我省“十四五”时期“无废城市”建设</w:t>
      </w:r>
    </w:p>
    <w:p>
      <w:pPr>
        <w:pStyle w:val="null3"/>
        <w:ind w:firstLine="420"/>
        <w:jc w:val="left"/>
      </w:pPr>
      <w:r>
        <w:rPr>
          <w:sz w:val="21"/>
        </w:rPr>
        <w:t>2021</w:t>
      </w:r>
      <w:r>
        <w:rPr>
          <w:sz w:val="21"/>
        </w:rPr>
        <w:t>年省政府办公厅发布了《广东省推进“无废城市”建设试点工作方案》，明确要求：建立政府固体废物环境管理平台与市场化固体废物公共交易平台信息交换机制，充分运用区块链、物联网、大数据等先进信息技术，实现固体废物收集、贮存、转移、处置环节信息化、可视化。2021年11月，《中共中央国务院关于深入打好污染防治攻坚战的意见》印发实施，提出要稳步推进“无废城市”建设。2021年12月，生态环境部等18部门联合印发《“十四五”时期“无废城市”建设工作方案》，明确指出加快绿色园区建设，推动园区企业内、企业间和产业间物料闭路循环，实现固体废物循环利用。</w:t>
      </w:r>
    </w:p>
    <w:p>
      <w:pPr>
        <w:pStyle w:val="null3"/>
        <w:ind w:firstLine="420"/>
        <w:jc w:val="left"/>
      </w:pPr>
      <w:r>
        <w:rPr>
          <w:sz w:val="21"/>
        </w:rPr>
        <w:t>省固废平台运维运营项目旨在落实国务院关于“无废城市”建设工作的决策部署和总体要求，按照国家和我省“无废城市”建设试点工作方案，结合粤港澳大湾区建设规划纲要，探索“无废城市”建设指标测算评估，通过汇聚业务过程运行数据、综合评价数据和指标达成等多维数据，提升管理、决策综合能力，促进跨部门协作机制建立；同时创新性地聚焦试点创建，进一步提升综合利用水平和无害化处置能力，对减污降碳、协同增效发挥积极作用。</w:t>
      </w:r>
    </w:p>
    <w:p>
      <w:pPr>
        <w:pStyle w:val="null3"/>
        <w:ind w:firstLine="420"/>
        <w:jc w:val="left"/>
      </w:pPr>
      <w:r>
        <w:rPr>
          <w:sz w:val="21"/>
        </w:rPr>
        <w:t>3</w:t>
      </w:r>
      <w:r>
        <w:rPr>
          <w:sz w:val="21"/>
        </w:rPr>
        <w:t>、夯实广东省域治理“一网统管”工作成果</w:t>
      </w:r>
    </w:p>
    <w:p>
      <w:pPr>
        <w:pStyle w:val="null3"/>
        <w:ind w:firstLine="420"/>
        <w:jc w:val="left"/>
      </w:pPr>
      <w:r>
        <w:rPr>
          <w:sz w:val="21"/>
        </w:rPr>
        <w:t>2021</w:t>
      </w:r>
      <w:r>
        <w:rPr>
          <w:sz w:val="21"/>
        </w:rPr>
        <w:t>年6月，广东省政府办公厅印发《广东省数字政府省域治理“一网统管”三年行动计划》（以下简称《行动计划》），提出以习.近.平新时.代中国特.色社会主义思想为指导，进一步深化数字政府改革建设，促进信息技术与政府治理深度融合，打造理念先进、管理科学、平战结合、全省一体的“一网统管”体系，提升省域治理现代化水平，努力打造全国数字化治理示范省。《行动计划》提出，将充分依托全省一体化数字政府基础底座，围绕经济调节、市场监管、社会管理、公共服务和生态环境保护五大职能，优化管理体系和管理流程，构建横向到边、纵向到底、全闭环的数字化治理模式，实现省域范围“一网感知态势、一网纵观全局、一网决策指挥、一网协同共治”。</w:t>
      </w:r>
    </w:p>
    <w:p>
      <w:pPr>
        <w:pStyle w:val="null3"/>
        <w:ind w:firstLine="420"/>
        <w:jc w:val="left"/>
      </w:pPr>
      <w:r>
        <w:rPr>
          <w:sz w:val="21"/>
        </w:rPr>
        <w:t>“无废城市”建设和固体废物污染防治作为生态环境保护职能的重要组成部分，省固废平台运营运维工作积极响应《行动计划》的工作要求，在固废领域推动多源数据融合、完善过程感知体系、建立健全标准体系、强化网络安全保障能力、聚焦应用创新，推动固体废物规范化、全程化信息管理，全面强化固体废物监管能力和服务水平。</w:t>
      </w:r>
    </w:p>
    <w:p>
      <w:pPr>
        <w:pStyle w:val="null3"/>
        <w:ind w:firstLine="420"/>
        <w:jc w:val="left"/>
      </w:pPr>
      <w:r>
        <w:rPr>
          <w:sz w:val="21"/>
        </w:rPr>
        <w:t>4</w:t>
      </w:r>
      <w:r>
        <w:rPr>
          <w:sz w:val="21"/>
        </w:rPr>
        <w:t>、促进固废业务数据多部门共享协同</w:t>
      </w:r>
    </w:p>
    <w:p>
      <w:pPr>
        <w:pStyle w:val="null3"/>
        <w:ind w:firstLine="420"/>
        <w:jc w:val="left"/>
      </w:pPr>
      <w:r>
        <w:rPr>
          <w:sz w:val="21"/>
        </w:rPr>
        <w:t>新修订《固体废物污染环境防治法》关于信息化建设的要求中指出，城市建成覆盖一般工业固体废物、危险废物、生活垃圾、建筑垃圾、农业固体废物管理数据的信息化监管服务系统，通过打通生态环境、住建、农业农村、卫生健康等各部门相关数据，实现全过程信息化追溯相关情况，促进城市加强固体废物管理信息系统建设，打通多部门间固体废物管理信息壁垒。</w:t>
      </w:r>
    </w:p>
    <w:p>
      <w:pPr>
        <w:pStyle w:val="null3"/>
        <w:ind w:firstLine="420"/>
        <w:jc w:val="left"/>
      </w:pPr>
      <w:r>
        <w:rPr>
          <w:sz w:val="21"/>
        </w:rPr>
        <w:t>依据《广东省生态环境“十四五”信息化规划》和《广东省政务数据资源共享管理办法（试行）》，“十四五”时期我省将持续推动生态环境公共数据资源体系建设，通过汇聚整合各类生态环境监测监管的感知与业务数据，进一步丰富包括固废业务数据库在内的生态环境数据主题库专题库建设，实现全局性、一致性的基础数据、监测数据、监管数据输出服务；加强生态环境数据资源开发利用，推动生态环境领域监测监管感知数据与业务数据的深度融合，不断创新业务应用场景，充分释放数据红利。</w:t>
      </w:r>
    </w:p>
    <w:p>
      <w:pPr>
        <w:pStyle w:val="null3"/>
        <w:ind w:firstLine="420"/>
        <w:jc w:val="left"/>
      </w:pPr>
      <w:r>
        <w:rPr>
          <w:sz w:val="21"/>
        </w:rPr>
        <w:t>省固废平台运维运营项目着力拉通不同部门、不同单位的涉固体废物监管数据，充分赋能固体废物日常监管工作，提升业务决策的科学性、准确性、及时性，从而强化固体废物监管工作的可视化、科学化、精细化管理能力和水平。</w:t>
      </w:r>
    </w:p>
    <w:p>
      <w:pPr>
        <w:pStyle w:val="null3"/>
        <w:ind w:firstLine="420"/>
        <w:jc w:val="left"/>
      </w:pPr>
      <w:r>
        <w:rPr>
          <w:sz w:val="21"/>
        </w:rPr>
        <w:t>5</w:t>
      </w:r>
      <w:r>
        <w:rPr>
          <w:sz w:val="21"/>
        </w:rPr>
        <w:t>、保障美丽中国建设目标最终实现</w:t>
      </w:r>
    </w:p>
    <w:p>
      <w:pPr>
        <w:pStyle w:val="null3"/>
        <w:ind w:firstLine="420"/>
        <w:jc w:val="left"/>
      </w:pPr>
      <w:r>
        <w:rPr>
          <w:sz w:val="21"/>
        </w:rPr>
        <w:t>二十大报告重点提及：要推进美丽中国建设，坚持山水林田湖草沙一体化保护和系统治理，统筹产业结构调整、污染治理、生态保护、应对气候变化，协同推进降碳、减污、扩绿、增长，推进生态优先、节约集约、绿色低碳发展。2022年6月21日，国务院关于研究处理全国人大常委会固体废物污染环境防治法执法检查报告及审议意见情况的报告提请十三届全国人大常委会第三十五次会议审议。报告表明，固体废物污染防治正在科学、精准、系统性推进，相关治理体系和治理能力持续加强。经过一年的探索，省固废平台系列工作围绕当下固体废物监管工作的重点和难点，示范引领、先试先行，为系统解决城乡固体废物管理提供了路径，成为城市层面综合治理、系统治理、源头治理固体废物的有力抓手。</w:t>
      </w:r>
    </w:p>
    <w:p>
      <w:pPr>
        <w:pStyle w:val="null3"/>
        <w:ind w:firstLine="420"/>
        <w:jc w:val="left"/>
      </w:pPr>
      <w:r>
        <w:rPr>
          <w:sz w:val="21"/>
        </w:rPr>
        <w:t>省固废平台运维项目从广东自身情况出发，继续开展2024年度专项业务运维运营工作，力保美丽湾区、美丽广东、美丽中国目标最终达成，形成更多更好的模式，取得新的成效，为深入打好污染防治攻坚战、推动实现碳达峰碳中和、建设美丽中国做出贡献。</w:t>
      </w:r>
    </w:p>
    <w:p>
      <w:pPr>
        <w:pStyle w:val="null3"/>
        <w:ind w:left="420"/>
      </w:pPr>
      <w:r>
        <w:rPr>
          <w:sz w:val="21"/>
        </w:rPr>
        <w:t xml:space="preserve">2. </w:t>
      </w:r>
      <w:r>
        <w:rPr>
          <w:sz w:val="21"/>
        </w:rPr>
        <w:t>项目预算</w:t>
      </w:r>
    </w:p>
    <w:p>
      <w:pPr>
        <w:pStyle w:val="null3"/>
        <w:ind w:firstLine="420"/>
        <w:jc w:val="left"/>
      </w:pPr>
      <w:r>
        <w:rPr>
          <w:sz w:val="21"/>
        </w:rPr>
        <w:t>本项目总预算为</w:t>
      </w:r>
      <w:r>
        <w:rPr>
          <w:sz w:val="21"/>
          <w:u w:val="single"/>
        </w:rPr>
        <w:t>62.8</w:t>
      </w:r>
      <w:r>
        <w:rPr>
          <w:sz w:val="21"/>
        </w:rPr>
        <w:t>万元。</w:t>
      </w:r>
    </w:p>
    <w:p>
      <w:pPr>
        <w:pStyle w:val="null3"/>
        <w:ind w:left="420"/>
      </w:pPr>
      <w:r>
        <w:rPr>
          <w:sz w:val="21"/>
        </w:rPr>
        <w:t xml:space="preserve">3. </w:t>
      </w:r>
      <w:r>
        <w:rPr>
          <w:sz w:val="21"/>
        </w:rPr>
        <w:t>服务期限</w:t>
      </w:r>
    </w:p>
    <w:p>
      <w:pPr>
        <w:pStyle w:val="null3"/>
        <w:ind w:firstLine="420"/>
        <w:jc w:val="left"/>
      </w:pPr>
      <w:r>
        <w:rPr>
          <w:sz w:val="21"/>
        </w:rPr>
        <w:t>本项目委托服务期限以合同签订之日为服务起始时间，服务期为12个月。</w:t>
      </w:r>
    </w:p>
    <w:p>
      <w:pPr>
        <w:pStyle w:val="null3"/>
        <w:ind w:left="420"/>
      </w:pPr>
      <w:r>
        <w:rPr>
          <w:sz w:val="21"/>
        </w:rPr>
        <w:t xml:space="preserve">4.  </w:t>
      </w:r>
      <w:r>
        <w:rPr>
          <w:sz w:val="21"/>
        </w:rPr>
        <w:t>服务内容</w:t>
      </w:r>
    </w:p>
    <w:p>
      <w:pPr>
        <w:pStyle w:val="null3"/>
        <w:ind w:left="570"/>
      </w:pPr>
      <w:r>
        <w:rPr>
          <w:sz w:val="21"/>
        </w:rPr>
        <w:t xml:space="preserve">4.1. </w:t>
      </w:r>
      <w:r>
        <w:rPr>
          <w:sz w:val="21"/>
        </w:rPr>
        <w:t>运行维护服务</w:t>
      </w:r>
    </w:p>
    <w:p>
      <w:pPr>
        <w:pStyle w:val="null3"/>
        <w:ind w:left="705"/>
      </w:pPr>
      <w:r>
        <w:rPr>
          <w:sz w:val="21"/>
          <w:b/>
        </w:rPr>
        <w:t xml:space="preserve">4.1.1. </w:t>
      </w:r>
      <w:r>
        <w:rPr>
          <w:sz w:val="21"/>
          <w:b/>
        </w:rPr>
        <w:t>统一运行维护管理服务</w:t>
      </w:r>
    </w:p>
    <w:p>
      <w:pPr>
        <w:pStyle w:val="null3"/>
        <w:ind w:firstLine="420"/>
        <w:jc w:val="left"/>
      </w:pPr>
      <w:r>
        <w:rPr>
          <w:sz w:val="21"/>
        </w:rPr>
        <w:t>根据《关于印发广东“数字政府”改革建设方案的通知》、《广东“数字政府”改革建设方案》等文件，构建统一运维服务管理体系，有效保障广东省固体废物和化学品环境中心-固体废物环境监管平台安全稳定可靠地运行。包括但不限于建立统一运维管理制度体系、规范、流程等。</w:t>
      </w:r>
    </w:p>
    <w:p>
      <w:pPr>
        <w:pStyle w:val="null3"/>
        <w:ind w:left="705"/>
      </w:pPr>
      <w:r>
        <w:rPr>
          <w:sz w:val="21"/>
          <w:b/>
        </w:rPr>
        <w:t xml:space="preserve">4.1.2. </w:t>
      </w:r>
      <w:r>
        <w:rPr>
          <w:sz w:val="21"/>
          <w:b/>
        </w:rPr>
        <w:t>软件系统运行维护服务</w:t>
      </w:r>
    </w:p>
    <w:p>
      <w:pPr>
        <w:pStyle w:val="null3"/>
        <w:ind w:firstLine="420"/>
        <w:jc w:val="left"/>
      </w:pPr>
      <w:r>
        <w:rPr>
          <w:sz w:val="21"/>
        </w:rPr>
        <w:t>服务方式包括：热线电话服务、远程服务和现场服务等。</w:t>
      </w:r>
    </w:p>
    <w:p>
      <w:pPr>
        <w:pStyle w:val="null3"/>
        <w:ind w:firstLine="420"/>
        <w:jc w:val="left"/>
      </w:pPr>
      <w:r>
        <w:rPr>
          <w:sz w:val="21"/>
        </w:rPr>
        <w:t>对于基础设施运行维护，提供7×24小时热线电话服务，出现故障时快速响应，响应时间&lt; 30分钟，对于远程或电话无法解决的问题，安排技术人员现场处理，重大故障提供故障分析报告。</w:t>
      </w:r>
    </w:p>
    <w:p>
      <w:pPr>
        <w:pStyle w:val="null3"/>
        <w:ind w:firstLine="420"/>
        <w:jc w:val="left"/>
      </w:pPr>
      <w:r>
        <w:rPr>
          <w:sz w:val="21"/>
        </w:rPr>
        <w:t>对于软件系统运行维护，提供7×24小时热线电话服务，出现故障时，快速受理服务请求，业务系统根据不同的故障等级在不同时间内进行响应，出现故障时快速响应，根据系统等级和故障等级划分标准进行响应，对于远程或电话无法解决的问题，安排技术人员现场处理，重大故障提供故障分析报告。</w:t>
      </w:r>
    </w:p>
    <w:p>
      <w:pPr>
        <w:pStyle w:val="null3"/>
        <w:ind w:firstLine="420"/>
        <w:jc w:val="left"/>
      </w:pPr>
      <w:r>
        <w:rPr>
          <w:sz w:val="21"/>
        </w:rPr>
        <w:t>软件系统运维服务对象如下：</w:t>
      </w:r>
    </w:p>
    <w:tbl>
      <w:tblPr>
        <w:tblW w:w="0" w:type="auto"/>
        <w:tblBorders>
          <w:top w:val="none" w:color="000000" w:sz="4"/>
          <w:left w:val="none" w:color="000000" w:sz="4"/>
          <w:bottom w:val="none" w:color="000000" w:sz="4"/>
          <w:right w:val="none" w:color="000000" w:sz="4"/>
          <w:insideH w:val="none"/>
          <w:insideV w:val="none"/>
        </w:tblBorders>
      </w:tblPr>
      <w:tblGrid>
        <w:gridCol w:w="843"/>
        <w:gridCol w:w="5176"/>
        <w:gridCol w:w="2287"/>
      </w:tblGrid>
      <w:tr>
        <w:tc>
          <w:tcPr>
            <w:tcW w:type="dxa" w:w="84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序号</w:t>
            </w:r>
          </w:p>
        </w:tc>
        <w:tc>
          <w:tcPr>
            <w:tcW w:type="dxa" w:w="517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软件系统名称</w:t>
            </w:r>
          </w:p>
        </w:tc>
        <w:tc>
          <w:tcPr>
            <w:tcW w:type="dxa" w:w="228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归属处室/单位</w:t>
            </w: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51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广东省固体废物管理信息平台（一期）项目：包组一：固废综合业务管理；包组二：固废数据采集管理</w:t>
            </w:r>
          </w:p>
        </w:tc>
        <w:tc>
          <w:tcPr>
            <w:tcW w:type="dxa" w:w="22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广东省固体废物和化学品环境中心</w:t>
            </w: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51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省固体废物和化学品环境中心固体废物环境监管能力建设（二期）项目（包含固体废物全过程管理、小微企业危废收贮运管理、一般工业固废跨省转移备案、生活污泥申报管理、重点行业申报数据审计校核、疫情医疗废物防控处置移动端综合应用、“无废城市”监管画像平台）</w:t>
            </w:r>
          </w:p>
        </w:tc>
        <w:tc>
          <w:tcPr>
            <w:tcW w:type="dxa" w:w="22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广东省固体废物和化学品环境中心</w:t>
            </w: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51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省固体废物和化学品环境中心固体废物环境监管能力建设（三期）项目，包含企业服务与自治、业务管理功能升级、危险废物全过程管理、移动应用“粤系列”集成、“生态云”固废专题综合展示）</w:t>
            </w:r>
          </w:p>
        </w:tc>
        <w:tc>
          <w:tcPr>
            <w:tcW w:type="dxa" w:w="22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广东省固体废物和化学品环境中心</w:t>
            </w:r>
          </w:p>
        </w:tc>
      </w:tr>
    </w:tbl>
    <w:p>
      <w:pPr>
        <w:pStyle w:val="null3"/>
        <w:ind w:left="855"/>
      </w:pPr>
      <w:r>
        <w:rPr>
          <w:sz w:val="21"/>
          <w:b/>
        </w:rPr>
        <w:t xml:space="preserve">4.1.2.1.   </w:t>
      </w:r>
      <w:r>
        <w:rPr>
          <w:sz w:val="21"/>
          <w:b/>
        </w:rPr>
        <w:t>服务要求</w:t>
      </w:r>
    </w:p>
    <w:p>
      <w:pPr>
        <w:pStyle w:val="null3"/>
        <w:ind w:firstLine="420"/>
        <w:jc w:val="left"/>
      </w:pPr>
      <w:r>
        <w:rPr>
          <w:sz w:val="21"/>
        </w:rPr>
        <w:t>1</w:t>
      </w:r>
      <w:r>
        <w:rPr>
          <w:sz w:val="21"/>
        </w:rPr>
        <w:t>、要求对广东省固体废物管理信息平台（一期）（二期）、（三期）的所建设的软件系统提供定期巡检服务。制定例行巡检方案，针对性能容量、可用性、可连续性、可管理性等方面设定巡检项，合理安排巡检计划。争取在造成业务故障前，通过检查分析，提前发现软件系统的故障异常、软件告警、潜在问题、安全隐患等，并及时做出适当的处置，保障软件系统运行状况良好，防止故障发生，降低业务故障风险与负面影响，确保软件系统能够7×24小时正常运行。</w:t>
      </w:r>
    </w:p>
    <w:p>
      <w:pPr>
        <w:pStyle w:val="null3"/>
        <w:ind w:firstLine="420"/>
        <w:jc w:val="left"/>
      </w:pPr>
      <w:r>
        <w:rPr>
          <w:sz w:val="21"/>
        </w:rPr>
        <w:t>包括但不限于定期对应用程序、中间件、数据库、操作系统等方面进行例行巡检。同时利用已有监控系统，按照标准规范要求进行监控操作，密切注意软件系统情况。检查过程中同步记录运行数据，如若发现任何异常情况应即时进行登记，及时通知相关人员进行处理并跟进处理情况，定期形成巡检报告。</w:t>
      </w:r>
    </w:p>
    <w:p>
      <w:pPr>
        <w:pStyle w:val="null3"/>
        <w:ind w:firstLine="420"/>
        <w:jc w:val="left"/>
      </w:pPr>
      <w:r>
        <w:rPr>
          <w:sz w:val="21"/>
        </w:rPr>
        <w:t>2</w:t>
      </w:r>
      <w:r>
        <w:rPr>
          <w:sz w:val="21"/>
        </w:rPr>
        <w:t>、要求对生态环境厅的软件系统提供日常维护服务。制定日常维护方案，针对系统进程、系统接口、系统权限、系统资源、业务保障等方面设定维护项，合理安排维护计划。在软件系统的正常运行过程中，周期性开展常规维护保养工作，消除故障异常、软件告警、存在问题、安全隐患等，保障软件系统运行状况良好，防止故障发生，降低数据缺失风险与负面影响，确保软件系统能够7×24小时正常运行。</w:t>
      </w:r>
    </w:p>
    <w:p>
      <w:pPr>
        <w:pStyle w:val="null3"/>
        <w:ind w:firstLine="420"/>
        <w:jc w:val="left"/>
      </w:pPr>
      <w:r>
        <w:rPr>
          <w:sz w:val="21"/>
        </w:rPr>
        <w:t>维护对象包括但不限于应用程序、中间件、数据库、操作系统等。同时按照标准规范对软件系统进行管理，定期形成系统运行简报。</w:t>
      </w:r>
    </w:p>
    <w:p>
      <w:pPr>
        <w:pStyle w:val="null3"/>
        <w:ind w:firstLine="560"/>
        <w:jc w:val="both"/>
      </w:pPr>
      <w:r>
        <w:rPr>
          <w:sz w:val="21"/>
        </w:rPr>
        <w:t>3、要求对生态环境厅的软件系统提供响应支持服务。提供统一的服务热线电话，针对日常咨询、故障问题、专项任务、数据统计、服务投诉等服务请求进行统一登记，服务热线根据事件的性质、类别、等级进行判断，分派相关人员进行处理，并对事件处理全流程进行跟踪监督，确保服务请求得到及时的响应与处理。在服务热线电话发生故障情况下，提供便捷的备用联系渠道。</w:t>
      </w:r>
    </w:p>
    <w:p>
      <w:pPr>
        <w:pStyle w:val="null3"/>
        <w:ind w:firstLine="560"/>
        <w:jc w:val="both"/>
      </w:pPr>
      <w:r>
        <w:rPr>
          <w:sz w:val="21"/>
        </w:rPr>
        <w:t>4、要求对生态环境厅的软件系统提供故障处理服务。当发生故障时，按照故障定级和处理流程，及时响应，快速抢通故障点，尽早恢复业务，将故障对业务所造成的负面影响降到最低。在处理完毕后清理现场，提供故障处理简报。</w:t>
      </w:r>
    </w:p>
    <w:p>
      <w:pPr>
        <w:pStyle w:val="null3"/>
        <w:ind w:firstLine="560"/>
        <w:jc w:val="both"/>
      </w:pPr>
      <w:r>
        <w:rPr>
          <w:sz w:val="21"/>
        </w:rPr>
        <w:t>5、对生态环境厅的软件系统提供系统发布服务，主要是对系统运行所需IT资源进行调整与系统发布。</w:t>
      </w:r>
    </w:p>
    <w:p>
      <w:pPr>
        <w:pStyle w:val="null3"/>
        <w:ind w:firstLine="560"/>
        <w:jc w:val="both"/>
      </w:pPr>
      <w:r>
        <w:rPr>
          <w:sz w:val="21"/>
        </w:rPr>
        <w:t>6、对重要时点，包括但不限于重大政治活动、重要会议、节假日等，制定重要时点运维保障方案。提前对广东省固体废物和化学品环境中心硬件设备、软件系统等运维对象进行预防性健康检查和深度巡检，落实监控部署措施，主动发现系统异常、业务风险、安全隐患等情况，及时进行干预和处理。服务人员根据重要时点保障要求进行驻场值守保障。</w:t>
      </w:r>
    </w:p>
    <w:p>
      <w:pPr>
        <w:pStyle w:val="null3"/>
        <w:ind w:left="420"/>
      </w:pPr>
      <w:r>
        <w:rPr>
          <w:sz w:val="21"/>
        </w:rPr>
        <w:t xml:space="preserve">5. </w:t>
      </w:r>
      <w:r>
        <w:rPr>
          <w:sz w:val="21"/>
        </w:rPr>
        <w:t>服务要求</w:t>
      </w:r>
    </w:p>
    <w:p>
      <w:pPr>
        <w:pStyle w:val="null3"/>
        <w:ind w:left="570"/>
      </w:pPr>
      <w:r>
        <w:rPr>
          <w:sz w:val="21"/>
        </w:rPr>
        <w:t xml:space="preserve">5.1. </w:t>
      </w:r>
      <w:r>
        <w:rPr>
          <w:sz w:val="21"/>
        </w:rPr>
        <w:t>管理要求</w:t>
      </w:r>
    </w:p>
    <w:p>
      <w:pPr>
        <w:pStyle w:val="null3"/>
        <w:ind w:left="705"/>
      </w:pPr>
      <w:r>
        <w:rPr>
          <w:sz w:val="21"/>
          <w:b/>
        </w:rPr>
        <w:t xml:space="preserve">5.1.1. </w:t>
      </w:r>
      <w:r>
        <w:rPr>
          <w:sz w:val="21"/>
          <w:b/>
        </w:rPr>
        <w:t>服务人员</w:t>
      </w:r>
    </w:p>
    <w:p>
      <w:pPr>
        <w:pStyle w:val="null3"/>
        <w:ind w:firstLine="420"/>
        <w:jc w:val="left"/>
      </w:pPr>
      <w:r>
        <w:rPr>
          <w:sz w:val="21"/>
        </w:rPr>
        <w:t>投标人须书面承诺，如在项目实际执行过程中发生项目经理不能按采购文件要求胜任相关工作的，采购人有权要求更换项目经理，投标人必须在两周内调整为符合采购文件要求且能胜任相关工作的项目经理并到位开展工作，否则采购人有权终止合同并报相关管理部门进行处理。</w:t>
      </w:r>
    </w:p>
    <w:p>
      <w:pPr>
        <w:pStyle w:val="null3"/>
        <w:ind w:firstLine="420"/>
        <w:jc w:val="left"/>
      </w:pPr>
      <w:r>
        <w:rPr>
          <w:sz w:val="21"/>
        </w:rPr>
        <w:t>投标人承诺的项目经理和开发实施的主要人员未经用户同意不得调整；投标人如中途更换项目经理和主要开发技术人员，应征得用户同意，否则采购人有权终止合同。</w:t>
      </w:r>
    </w:p>
    <w:p>
      <w:pPr>
        <w:pStyle w:val="null3"/>
        <w:ind w:firstLine="420"/>
        <w:jc w:val="left"/>
      </w:pPr>
      <w:r>
        <w:rPr>
          <w:sz w:val="21"/>
        </w:rPr>
        <w:t>服务商应指派固定的团队为本项目提供专业服务，服务团队成员不得少于</w:t>
      </w:r>
      <w:r>
        <w:rPr>
          <w:sz w:val="21"/>
          <w:u w:val="single"/>
        </w:rPr>
        <w:t>3</w:t>
      </w:r>
      <w:r>
        <w:rPr>
          <w:sz w:val="21"/>
        </w:rPr>
        <w:t>人。项目经理应具备</w:t>
      </w:r>
      <w:r>
        <w:rPr>
          <w:sz w:val="21"/>
          <w:u w:val="single"/>
        </w:rPr>
        <w:t>3</w:t>
      </w:r>
      <w:r>
        <w:rPr>
          <w:sz w:val="21"/>
        </w:rPr>
        <w:t>年以上</w:t>
      </w:r>
      <w:r>
        <w:rPr>
          <w:sz w:val="21"/>
          <w:u w:val="single"/>
        </w:rPr>
        <w:t>项目管理</w:t>
      </w:r>
      <w:r>
        <w:rPr>
          <w:sz w:val="21"/>
        </w:rPr>
        <w:t>经验。</w:t>
      </w:r>
    </w:p>
    <w:p>
      <w:pPr>
        <w:pStyle w:val="null3"/>
        <w:ind w:firstLine="420"/>
        <w:jc w:val="left"/>
      </w:pPr>
      <w:r>
        <w:rPr>
          <w:sz w:val="21"/>
        </w:rPr>
        <w:t>如须调整服务团队成员，须书面向采购人提出申请，说明申请理由，经采购人书面同意方可调整团队人员，调入人员的资历和从业经验不低于调出人员，否则视为违约行为，采购人有权终止服务合同。</w:t>
      </w:r>
    </w:p>
    <w:p>
      <w:pPr>
        <w:pStyle w:val="null3"/>
        <w:ind w:firstLine="420"/>
        <w:jc w:val="left"/>
      </w:pPr>
      <w:r>
        <w:rPr>
          <w:sz w:val="21"/>
        </w:rPr>
        <w:t>应提供以上人员相关证明资料复印件并加盖公章，并提供以上人员在本公司任职的有效外部证明材料（如加盖政府有关部门印章的《投保单》或《社会保险参保人员证明》，或单位代缴个人所得税税单等，事业法人的相关人员应提供该单位的相关证明）复印件。</w:t>
      </w:r>
    </w:p>
    <w:p>
      <w:pPr>
        <w:pStyle w:val="null3"/>
        <w:ind w:left="705"/>
      </w:pPr>
      <w:r>
        <w:rPr>
          <w:sz w:val="21"/>
          <w:b/>
        </w:rPr>
        <w:t xml:space="preserve">5.1.2. </w:t>
      </w:r>
      <w:r>
        <w:rPr>
          <w:sz w:val="21"/>
          <w:b/>
        </w:rPr>
        <w:t>进度要求</w:t>
      </w:r>
    </w:p>
    <w:p>
      <w:pPr>
        <w:pStyle w:val="null3"/>
        <w:ind w:firstLine="420"/>
        <w:jc w:val="left"/>
      </w:pPr>
      <w:r>
        <w:rPr>
          <w:sz w:val="21"/>
        </w:rPr>
        <w:t>项目周期为12个月，具体时间以项目合同为准。</w:t>
      </w:r>
    </w:p>
    <w:p>
      <w:pPr>
        <w:pStyle w:val="null3"/>
        <w:ind w:firstLine="420"/>
        <w:jc w:val="left"/>
      </w:pPr>
      <w:r>
        <w:rPr>
          <w:sz w:val="21"/>
        </w:rPr>
        <w:t>项目里程碑计划严格按照本服务项目的建设任务和进度要求，通过关键节点、里程碑事件的监控，来控制项目工作的进展和保证实现总目标。本服务项目里程碑计划如下：（T表示项目合同签订日期）</w:t>
      </w:r>
    </w:p>
    <w:tbl>
      <w:tblPr>
        <w:tblW w:w="0" w:type="auto"/>
        <w:tblInd w:type="dxa" w:w="120"/>
        <w:tblBorders>
          <w:top w:val="none" w:color="000000" w:sz="4"/>
          <w:left w:val="none" w:color="000000" w:sz="4"/>
          <w:bottom w:val="none" w:color="000000" w:sz="4"/>
          <w:right w:val="none" w:color="000000" w:sz="4"/>
          <w:insideH w:val="none"/>
          <w:insideV w:val="none"/>
        </w:tblBorders>
      </w:tblPr>
      <w:tblGrid>
        <w:gridCol w:w="980"/>
        <w:gridCol w:w="2657"/>
        <w:gridCol w:w="2939"/>
        <w:gridCol w:w="1731"/>
      </w:tblGrid>
      <w:tr>
        <w:tc>
          <w:tcPr>
            <w:tcW w:type="dxa" w:w="980"/>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序号</w:t>
            </w:r>
          </w:p>
        </w:tc>
        <w:tc>
          <w:tcPr>
            <w:tcW w:type="dxa" w:w="265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工作内容</w:t>
            </w:r>
          </w:p>
        </w:tc>
        <w:tc>
          <w:tcPr>
            <w:tcW w:type="dxa" w:w="293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里程碑事件</w:t>
            </w:r>
          </w:p>
        </w:tc>
        <w:tc>
          <w:tcPr>
            <w:tcW w:type="dxa" w:w="173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时间（天）</w:t>
            </w:r>
          </w:p>
        </w:tc>
      </w:tr>
      <w:tr>
        <w:tc>
          <w:tcPr>
            <w:tcW w:type="dxa" w:w="9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26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软件系统运维服务</w:t>
            </w:r>
          </w:p>
        </w:tc>
        <w:tc>
          <w:tcPr>
            <w:tcW w:type="dxa" w:w="29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运维服务开始</w:t>
            </w:r>
          </w:p>
        </w:tc>
        <w:tc>
          <w:tcPr>
            <w:tcW w:type="dxa" w:w="17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T+1</w:t>
            </w:r>
          </w:p>
        </w:tc>
      </w:tr>
      <w:tr>
        <w:tc>
          <w:tcPr>
            <w:tcW w:type="dxa" w:w="9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26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软件系统运维服务</w:t>
            </w:r>
          </w:p>
        </w:tc>
        <w:tc>
          <w:tcPr>
            <w:tcW w:type="dxa" w:w="29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运维服务完成</w:t>
            </w:r>
          </w:p>
        </w:tc>
        <w:tc>
          <w:tcPr>
            <w:tcW w:type="dxa" w:w="17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T+365</w:t>
            </w:r>
          </w:p>
        </w:tc>
      </w:tr>
    </w:tbl>
    <w:p>
      <w:pPr>
        <w:pStyle w:val="null3"/>
        <w:ind w:left="705"/>
      </w:pPr>
      <w:r>
        <w:rPr>
          <w:sz w:val="21"/>
          <w:b/>
        </w:rPr>
        <w:t xml:space="preserve">5.1.3. </w:t>
      </w:r>
      <w:r>
        <w:rPr>
          <w:sz w:val="21"/>
          <w:b/>
        </w:rPr>
        <w:t>组织实施要求</w:t>
      </w:r>
    </w:p>
    <w:p>
      <w:pPr>
        <w:pStyle w:val="null3"/>
        <w:ind w:firstLine="420"/>
        <w:jc w:val="left"/>
      </w:pPr>
      <w:r>
        <w:rPr>
          <w:sz w:val="21"/>
        </w:rPr>
        <w:t>为使项目按质、按量、按时及有序实施，投标人应建立完善、稳定的项目团队、内部组织管理方式及管理机构、协调机制、技术基础，支撑保障要求及其他相关要求。在机制保障方面，成立组织实施小组和项目专家组的双轨制的组织模式。在项目日常管理和条件保障方面，从行政组织、后勤保障和支撑条件各方面创造良好的服务环境，确保项目的顺利实施。</w:t>
      </w:r>
    </w:p>
    <w:p>
      <w:pPr>
        <w:pStyle w:val="null3"/>
        <w:ind w:left="705"/>
      </w:pPr>
      <w:r>
        <w:rPr>
          <w:sz w:val="21"/>
          <w:b/>
        </w:rPr>
        <w:t xml:space="preserve">5.1.4. </w:t>
      </w:r>
      <w:r>
        <w:rPr>
          <w:sz w:val="21"/>
          <w:b/>
        </w:rPr>
        <w:t>文档管理要求</w:t>
      </w:r>
    </w:p>
    <w:p>
      <w:pPr>
        <w:pStyle w:val="null3"/>
        <w:ind w:firstLine="420"/>
        <w:jc w:val="left"/>
      </w:pPr>
      <w:r>
        <w:rPr>
          <w:sz w:val="21"/>
        </w:rPr>
        <w:t>投标人应在项目完成时，将本项目所有文档、资料汇集成册交付给采购人，所有文件要求用中文书写或有完整的中文注释。验收后，投标人按国家、省以及采购人档案管理要求，向采购人提供装订成册的纸质文档至少</w:t>
      </w:r>
      <w:r>
        <w:rPr>
          <w:sz w:val="21"/>
          <w:u w:val="single"/>
        </w:rPr>
        <w:t>1</w:t>
      </w:r>
      <w:r>
        <w:rPr>
          <w:sz w:val="21"/>
        </w:rPr>
        <w:t>套，电子文档</w:t>
      </w:r>
      <w:r>
        <w:rPr>
          <w:sz w:val="21"/>
          <w:u w:val="single"/>
        </w:rPr>
        <w:t>1</w:t>
      </w:r>
      <w:r>
        <w:rPr>
          <w:sz w:val="21"/>
        </w:rPr>
        <w:t>套。</w:t>
      </w:r>
    </w:p>
    <w:p>
      <w:pPr>
        <w:pStyle w:val="null3"/>
        <w:ind w:left="705"/>
      </w:pPr>
      <w:r>
        <w:rPr>
          <w:sz w:val="21"/>
          <w:b/>
        </w:rPr>
        <w:t xml:space="preserve">5.1.5. </w:t>
      </w:r>
      <w:r>
        <w:rPr>
          <w:sz w:val="21"/>
          <w:b/>
        </w:rPr>
        <w:t>质量保证要求</w:t>
      </w:r>
    </w:p>
    <w:p>
      <w:pPr>
        <w:pStyle w:val="null3"/>
        <w:ind w:firstLine="420"/>
        <w:jc w:val="left"/>
      </w:pPr>
      <w:r>
        <w:rPr>
          <w:sz w:val="21"/>
        </w:rPr>
        <w:t>为保证本项目能按时高质的顺利完成，规避项目风险或将风险降至最低程度，投标人应建立项目质量管理体系，包括但不限于质量目标、质量指标、岗位责任、问题处理计划、质量评价、整改完善等内容。</w:t>
      </w:r>
    </w:p>
    <w:p>
      <w:pPr>
        <w:pStyle w:val="null3"/>
        <w:ind w:left="570"/>
      </w:pPr>
      <w:r>
        <w:rPr>
          <w:sz w:val="21"/>
        </w:rPr>
        <w:t xml:space="preserve">5.2. </w:t>
      </w:r>
      <w:r>
        <w:rPr>
          <w:sz w:val="21"/>
        </w:rPr>
        <w:t>验收标准</w:t>
      </w:r>
    </w:p>
    <w:p>
      <w:pPr>
        <w:pStyle w:val="null3"/>
        <w:ind w:firstLine="420"/>
        <w:jc w:val="left"/>
      </w:pPr>
      <w:r>
        <w:rPr>
          <w:sz w:val="21"/>
        </w:rPr>
        <w:t>中标方应按照采购人项目管理规定推进项目，产品安装、调试完毕，软件试用后，由中标方提出验收申请，采购人应于中标方提出验收申请后组织验收。采购人验收合格后应当出具验收报告，需要其他管理机构验收的由验收机构出具验收报告。</w:t>
      </w:r>
    </w:p>
    <w:p>
      <w:pPr>
        <w:pStyle w:val="null3"/>
        <w:ind w:left="570"/>
      </w:pPr>
      <w:r>
        <w:rPr>
          <w:sz w:val="21"/>
        </w:rPr>
        <w:t xml:space="preserve">5.3. </w:t>
      </w:r>
      <w:r>
        <w:rPr>
          <w:sz w:val="21"/>
        </w:rPr>
        <w:t>其他要求</w:t>
      </w:r>
    </w:p>
    <w:p>
      <w:pPr>
        <w:pStyle w:val="null3"/>
        <w:ind w:left="705"/>
      </w:pPr>
      <w:r>
        <w:rPr>
          <w:sz w:val="21"/>
          <w:b/>
        </w:rPr>
        <w:t xml:space="preserve">5.3.1. </w:t>
      </w:r>
      <w:r>
        <w:rPr>
          <w:sz w:val="21"/>
          <w:b/>
        </w:rPr>
        <w:t>标准规范要求</w:t>
      </w:r>
    </w:p>
    <w:p>
      <w:pPr>
        <w:pStyle w:val="null3"/>
        <w:ind w:firstLine="420"/>
        <w:jc w:val="left"/>
      </w:pPr>
      <w:r>
        <w:rPr>
          <w:sz w:val="21"/>
        </w:rPr>
        <w:t>（1）.《广东省省级政务信息化项目管理办法》（粤府办〔2020〕9号）</w:t>
      </w:r>
    </w:p>
    <w:p>
      <w:pPr>
        <w:pStyle w:val="null3"/>
        <w:ind w:firstLine="420"/>
        <w:jc w:val="left"/>
      </w:pPr>
      <w:r>
        <w:rPr>
          <w:sz w:val="21"/>
        </w:rPr>
        <w:t>（2）.《广东省省级政务信息化服务项目立项审批细则》（粤政数〔2020〕12号）</w:t>
      </w:r>
    </w:p>
    <w:p>
      <w:pPr>
        <w:pStyle w:val="null3"/>
        <w:ind w:firstLine="420"/>
        <w:jc w:val="left"/>
      </w:pPr>
      <w:r>
        <w:rPr>
          <w:sz w:val="21"/>
        </w:rPr>
        <w:t>（3）.《广东省省级政务信息化服务预算编制标准（运维服务分册）》</w:t>
      </w:r>
    </w:p>
    <w:p>
      <w:pPr>
        <w:pStyle w:val="null3"/>
        <w:ind w:firstLine="420"/>
        <w:jc w:val="left"/>
      </w:pPr>
      <w:r>
        <w:rPr>
          <w:sz w:val="21"/>
        </w:rPr>
        <w:t>（4）.《广东省省级政务信息化服务预算编制标准（业务运营服务）》</w:t>
      </w:r>
    </w:p>
    <w:p>
      <w:pPr>
        <w:pStyle w:val="null3"/>
        <w:ind w:firstLine="420"/>
        <w:jc w:val="left"/>
      </w:pPr>
      <w:r>
        <w:rPr>
          <w:sz w:val="21"/>
        </w:rPr>
        <w:t>（5）.《广东省省级政务信息化服务预算编制标准（第三方配套服务）》</w:t>
      </w:r>
    </w:p>
    <w:p>
      <w:pPr>
        <w:pStyle w:val="null3"/>
        <w:ind w:left="705"/>
      </w:pPr>
      <w:r>
        <w:rPr>
          <w:sz w:val="21"/>
          <w:b/>
        </w:rPr>
        <w:t xml:space="preserve">5.3.2. </w:t>
      </w:r>
      <w:r>
        <w:rPr>
          <w:sz w:val="21"/>
          <w:b/>
        </w:rPr>
        <w:t>服务响应要求</w:t>
      </w:r>
    </w:p>
    <w:p>
      <w:pPr>
        <w:pStyle w:val="null3"/>
        <w:ind w:firstLine="420"/>
        <w:jc w:val="left"/>
      </w:pPr>
      <w:r>
        <w:rPr>
          <w:sz w:val="21"/>
        </w:rPr>
        <w:t>服务方式包括：热线电话服务、远程服务和现场服务等。</w:t>
      </w:r>
    </w:p>
    <w:p>
      <w:pPr>
        <w:pStyle w:val="null3"/>
        <w:ind w:firstLine="420"/>
        <w:jc w:val="left"/>
      </w:pPr>
      <w:r>
        <w:rPr>
          <w:sz w:val="21"/>
        </w:rPr>
        <w:t>对于基础设施运行维护，提供7×24小时热线电话服务，出现故障时快速响应，响应时间&lt; 30分钟，对于远程或电话无法解决的问题，安排技术人员现场处理，重大故障提供故障分析报告。</w:t>
      </w:r>
    </w:p>
    <w:p>
      <w:pPr>
        <w:pStyle w:val="null3"/>
        <w:ind w:firstLine="420"/>
        <w:jc w:val="left"/>
      </w:pPr>
      <w:r>
        <w:rPr>
          <w:sz w:val="21"/>
        </w:rPr>
        <w:t>对于软件系统运行维护，提供7×24小时热线电话服务，出现故障时，快速受理服务请求，业务系统根据不同的故障等级在不同时间内进行响应，出现故障时快速响应，根据系统等级和故障等级划分标准进行响应，对于远程或电话无法解决的问题，安排技术人员现场处理，重大故障提供故障分析报告。</w:t>
      </w:r>
    </w:p>
    <w:p>
      <w:pPr>
        <w:pStyle w:val="null3"/>
        <w:ind w:left="705"/>
      </w:pPr>
      <w:r>
        <w:rPr>
          <w:sz w:val="21"/>
          <w:b/>
        </w:rPr>
        <w:t xml:space="preserve">5.3.3. </w:t>
      </w:r>
      <w:r>
        <w:rPr>
          <w:sz w:val="21"/>
          <w:b/>
        </w:rPr>
        <w:t>保密要求</w:t>
      </w:r>
    </w:p>
    <w:p>
      <w:pPr>
        <w:pStyle w:val="null3"/>
        <w:ind w:firstLine="420"/>
        <w:jc w:val="left"/>
      </w:pPr>
      <w:r>
        <w:rPr>
          <w:sz w:val="21"/>
        </w:rPr>
        <w:t>1.</w:t>
      </w:r>
      <w:r>
        <w:rPr>
          <w:sz w:val="21"/>
        </w:rPr>
        <w:t>投标人应签订保密协议，对其因身份、职务、职业或技术关系而知悉的采购人商业秘密和党政机关保密信息应严格保守，保证不被披露或使用，包括意外或过失。</w:t>
      </w:r>
    </w:p>
    <w:p>
      <w:pPr>
        <w:pStyle w:val="null3"/>
        <w:ind w:firstLine="420"/>
        <w:jc w:val="left"/>
      </w:pPr>
      <w:r>
        <w:rPr>
          <w:sz w:val="21"/>
        </w:rPr>
        <w:t>2.</w:t>
      </w:r>
      <w:r>
        <w:rPr>
          <w:sz w:val="21"/>
        </w:rPr>
        <w:t>投标人不得以竞争为目的、或出于私利、或为第三人谋利而擅自保存、披露、使用采购人商业秘密和党政机关保密信息；不得直接或间接地向无关人员泄露采购人的商业秘密和党政机关保密信息；不得向不承担保密义务的任何第三人披露采购人的商业秘密和党政机关保密信息。投标人在从事政府项目时，不得擅自记录、复制、拍摄、摘抄、收藏在工作中涉及的保密信息，严禁将涉及政府项目的任何资料、数据透露或以其他方式提供给项目以外的其他方或投标人内部与该项目无关的任何人员。</w:t>
      </w:r>
    </w:p>
    <w:p>
      <w:pPr>
        <w:pStyle w:val="null3"/>
        <w:ind w:firstLine="420"/>
        <w:jc w:val="left"/>
      </w:pPr>
      <w:r>
        <w:rPr>
          <w:sz w:val="21"/>
        </w:rPr>
        <w:t>3.</w:t>
      </w:r>
      <w:r>
        <w:rPr>
          <w:sz w:val="21"/>
        </w:rPr>
        <w:t>投标人对于工作期间知悉采购人的商业秘密和党政机关保密信息（包括业务信息在内）或工作过程中接触到的政府机关文件（包括内部发文、各类通知及会议记录等）的内容，同样承担保密责任，严禁将政府机关内部会议、谈话内容泄露给无关人员；不得翻阅与工作无关的文件和资料。</w:t>
      </w:r>
    </w:p>
    <w:p>
      <w:pPr>
        <w:pStyle w:val="null3"/>
        <w:ind w:firstLine="420"/>
        <w:jc w:val="left"/>
      </w:pPr>
      <w:r>
        <w:rPr>
          <w:sz w:val="21"/>
        </w:rPr>
        <w:t>4.</w:t>
      </w:r>
      <w:r>
        <w:rPr>
          <w:sz w:val="21"/>
        </w:rPr>
        <w:t>严禁泄露在工作中接触到的政府机关科技研究、发明、装备器材及其技术资料和政府工作信息。</w:t>
      </w:r>
    </w:p>
    <w:p>
      <w:pPr>
        <w:pStyle w:val="null3"/>
        <w:ind w:left="705"/>
      </w:pPr>
      <w:r>
        <w:rPr>
          <w:sz w:val="21"/>
          <w:b/>
        </w:rPr>
        <w:t xml:space="preserve">5.3.4. </w:t>
      </w:r>
      <w:r>
        <w:rPr>
          <w:sz w:val="21"/>
          <w:b/>
        </w:rPr>
        <w:t>监理要求</w:t>
      </w:r>
    </w:p>
    <w:p>
      <w:pPr>
        <w:pStyle w:val="null3"/>
        <w:ind w:firstLine="420"/>
        <w:jc w:val="left"/>
      </w:pPr>
      <w:r>
        <w:rPr>
          <w:sz w:val="21"/>
        </w:rPr>
        <w:t>投标人须承诺，在项目开展过程中接受采购人指定的咨询监理机构的监理。（供应商投标时提供承诺函，可参考“投标文件格式”中《承诺函》格式）</w:t>
      </w:r>
    </w:p>
    <w:p>
      <w:pPr>
        <w:pStyle w:val="null3"/>
        <w:ind w:left="420"/>
      </w:pPr>
      <w:r>
        <w:rPr>
          <w:sz w:val="21"/>
        </w:rPr>
        <w:t xml:space="preserve">6. </w:t>
      </w:r>
      <w:r>
        <w:rPr>
          <w:sz w:val="21"/>
        </w:rPr>
        <w:t>付款方式</w:t>
      </w:r>
    </w:p>
    <w:p>
      <w:pPr>
        <w:pStyle w:val="null3"/>
        <w:ind w:firstLine="420"/>
        <w:jc w:val="left"/>
      </w:pPr>
      <w:r>
        <w:rPr>
          <w:sz w:val="21"/>
        </w:rPr>
        <w:t>本项目计划分3期支付，具体支付方式和时间如下：</w:t>
      </w:r>
    </w:p>
    <w:p>
      <w:pPr>
        <w:pStyle w:val="null3"/>
        <w:ind w:firstLine="420"/>
        <w:jc w:val="left"/>
      </w:pPr>
      <w:r>
        <w:rPr>
          <w:sz w:val="21"/>
        </w:rPr>
        <w:t>首期款：签订合同后15个工作日内，中标人书面提出支付申请函及拟支付金额等额的符合采购人财务管理要求的相应发票，采购人确认后启动首期款支付流程，约占合同总金额的60%。</w:t>
      </w:r>
    </w:p>
    <w:p>
      <w:pPr>
        <w:pStyle w:val="null3"/>
        <w:ind w:firstLine="420"/>
        <w:jc w:val="left"/>
      </w:pPr>
      <w:r>
        <w:rPr>
          <w:sz w:val="21"/>
        </w:rPr>
        <w:t>进度款：按照</w:t>
      </w:r>
      <w:r>
        <w:rPr>
          <w:sz w:val="21"/>
          <w:u w:val="single"/>
        </w:rPr>
        <w:t>项目签订合同后第6个月时</w:t>
      </w:r>
      <w:r>
        <w:rPr>
          <w:sz w:val="21"/>
        </w:rPr>
        <w:t>，中标人书面提出支付申请函及拟支付金额等额的符合采购人财务管理要求的相应发票，采购人确认后启动进度款支付流程，约占合同总金额的</w:t>
      </w:r>
      <w:r>
        <w:rPr>
          <w:sz w:val="21"/>
          <w:u w:val="single"/>
        </w:rPr>
        <w:t>30</w:t>
      </w:r>
      <w:r>
        <w:rPr>
          <w:sz w:val="21"/>
        </w:rPr>
        <w:t>%。</w:t>
      </w:r>
    </w:p>
    <w:p>
      <w:pPr>
        <w:pStyle w:val="null3"/>
        <w:ind w:firstLine="420"/>
        <w:jc w:val="left"/>
      </w:pPr>
      <w:r>
        <w:rPr>
          <w:sz w:val="21"/>
        </w:rPr>
        <w:t>3</w:t>
      </w:r>
      <w:r>
        <w:rPr>
          <w:sz w:val="21"/>
        </w:rPr>
        <w:t>．尾款：项目验收后10个工作日内，中标人书面提出支付申请函及拟支付金额等额的符合采购人财务管理要求的相应发票，采购人确认后启动尾款支付流程，约占合同总金额的</w:t>
      </w:r>
      <w:r>
        <w:rPr>
          <w:sz w:val="21"/>
          <w:u w:val="single"/>
        </w:rPr>
        <w:t>10</w:t>
      </w:r>
      <w:r>
        <w:rPr>
          <w:sz w:val="21"/>
        </w:rPr>
        <w:t>%。</w:t>
      </w:r>
    </w:p>
    <w:p>
      <w:pPr>
        <w:pStyle w:val="null3"/>
        <w:ind w:firstLine="420"/>
        <w:jc w:val="left"/>
      </w:pPr>
      <w:r>
        <w:rPr>
          <w:sz w:val="21"/>
        </w:rPr>
        <w:t>项目实际支付总金额按采购成交总金额计算，项目支付计划按合同约定执行，对于满足合同约定支付条件的，采购人应当自收到发票后10日内将资金支付到合同约定的中标人账户，不得以机构变动、人员更替、政策调整等为由延迟付款，不得将采购文件和合同中未规定的义务作为向中标人付款的条件。</w:t>
      </w:r>
    </w:p>
    <w:p>
      <w:pPr>
        <w:pStyle w:val="null3"/>
        <w:ind w:firstLine="420"/>
        <w:jc w:val="both"/>
      </w:pPr>
      <w:r>
        <w:rPr>
          <w:sz w:val="21"/>
        </w:rPr>
        <w:t xml:space="preserve">7. </w:t>
      </w:r>
      <w:r>
        <w:rPr>
          <w:sz w:val="21"/>
        </w:rPr>
        <w:t>其它要求</w:t>
      </w:r>
    </w:p>
    <w:p>
      <w:pPr>
        <w:pStyle w:val="null3"/>
        <w:jc w:val="both"/>
      </w:pPr>
      <w:r>
        <w:rPr>
          <w:sz w:val="21"/>
        </w:rPr>
        <w:t>★供应商须保证，如中标，投标文件所提供的材料，如果有效期（包括需要年审、继续教育等完成后才能执业的行政许可、人员证书等情形）未能覆盖项目（包组）合同履行期的，将提前按规定办理延期手续，确保合同顺利履行。（供应商投标时提供承诺函，可参考“投标文件格式”中《承诺函》格式）</w:t>
      </w:r>
    </w:p>
    <w:p>
      <w:pPr>
        <w:pStyle w:val="null3"/>
      </w:pPr>
      <w:r>
        <w:rPr/>
        <w:t>采购包1（广东省生态环境厅固体废物环境监管信息平台运维运营（2024年）项目运维服务）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本项目委托服务期限以合同签订之日为服务起始时间，服务期为12个月。</w:t>
            </w:r>
          </w:p>
        </w:tc>
      </w:tr>
      <w:tr>
        <w:tc>
          <w:tcPr>
            <w:tcW w:type="dxa" w:w="4153"/>
          </w:tcPr>
          <w:p>
            <w:pPr>
              <w:pStyle w:val="null3"/>
            </w:pPr>
            <w:r>
              <w:rPr/>
              <w:t>标的提供的地点</w:t>
            </w:r>
          </w:p>
        </w:tc>
        <w:tc>
          <w:tcPr>
            <w:tcW w:type="dxa" w:w="4153"/>
          </w:tcPr>
          <w:p>
            <w:pPr>
              <w:pStyle w:val="null3"/>
            </w:pPr>
            <w:r>
              <w:rPr/>
              <w:t>广东省固体废物和化学品环境中心</w:t>
            </w:r>
          </w:p>
        </w:tc>
      </w:tr>
      <w:tr>
        <w:tc>
          <w:tcPr>
            <w:tcW w:type="dxa" w:w="4153"/>
          </w:tcPr>
          <w:p>
            <w:pPr>
              <w:pStyle w:val="null3"/>
            </w:pPr>
            <w:r>
              <w:rPr/>
              <w:t>付款方式</w:t>
            </w:r>
          </w:p>
        </w:tc>
        <w:tc>
          <w:tcPr>
            <w:tcW w:type="dxa" w:w="4153"/>
          </w:tcPr>
          <w:p>
            <w:pPr>
              <w:pStyle w:val="null3"/>
            </w:pPr>
            <w:r>
              <w:rPr/>
              <w:t>1期：支付比例100%,详见用户需求书“6.付款方式”</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1期：详见用户需求书“5.2.验收标准”</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其他运行维护服务</w:t>
            </w:r>
          </w:p>
        </w:tc>
        <w:tc>
          <w:tcPr>
            <w:tcW w:type="dxa" w:w="933"/>
          </w:tcPr>
          <w:p>
            <w:pPr>
              <w:pStyle w:val="null3"/>
              <w:jc w:val="left"/>
            </w:pPr>
            <w:r>
              <w:rPr/>
              <w:t>平台运维</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628,000.00</w:t>
            </w:r>
          </w:p>
        </w:tc>
        <w:tc>
          <w:tcPr>
            <w:tcW w:type="dxa" w:w="933"/>
          </w:tcPr>
          <w:p>
            <w:pPr>
              <w:pStyle w:val="null3"/>
              <w:jc w:val="right"/>
            </w:pPr>
            <w:r>
              <w:rPr/>
              <w:t>628,000.00</w:t>
            </w:r>
          </w:p>
        </w:tc>
        <w:tc>
          <w:tcPr>
            <w:tcW w:type="dxa" w:w="840"/>
          </w:tcPr>
          <w:p>
            <w:pPr>
              <w:pStyle w:val="null3"/>
            </w:pPr>
            <w:r>
              <w:rPr/>
              <w:t>软件和信息技术服务业</w:t>
            </w:r>
          </w:p>
        </w:tc>
        <w:tc>
          <w:tcPr>
            <w:tcW w:type="dxa" w:w="933"/>
          </w:tcPr>
          <w:p>
            <w:pPr>
              <w:pStyle w:val="null3"/>
            </w:pPr>
            <w:r>
              <w:rPr/>
              <w:t>详见附表一</w:t>
            </w:r>
          </w:p>
        </w:tc>
      </w:tr>
    </w:tbl>
    <w:p>
      <w:pPr>
        <w:pStyle w:val="null3"/>
      </w:pPr>
      <w:r>
        <w:rPr>
          <w:b/>
        </w:rPr>
        <w:t>附表</w:t>
      </w:r>
      <w:r>
        <w:rPr>
          <w:b/>
        </w:rPr>
        <w:t>一</w:t>
      </w:r>
      <w:r>
        <w:rPr>
          <w:b/>
        </w:rPr>
        <w:t>：</w:t>
      </w:r>
      <w:r>
        <w:rPr>
          <w:b/>
        </w:rPr>
        <w:t>平台运维</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ind w:firstLine="420"/>
              <w:jc w:val="both"/>
            </w:pPr>
            <w:r>
              <w:rPr>
                <w:sz w:val="21"/>
              </w:rPr>
              <w:t>★本项不允许合同分包。如供应商在投标/响应文件中未出现《分包协议意向书》，则视为未采取合同分包。</w:t>
            </w: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21"/>
              </w:rPr>
              <w:t>★供应商须保证，如中标，投标文件所提供的材料，如果有效期（包括需要年审、继续教育等完成后才能执业的行政许可、人员证书等情形）未能覆盖项目（包组）合同履行期的，将提前按规定办理延期手续，确保合同顺利履行。（供应商投标时提供承诺函，可参考“投标文件格式”中《承诺函》格式）</w:t>
            </w:r>
          </w:p>
        </w:tc>
      </w:tr>
      <w:tr>
        <w:tc>
          <w:tcPr>
            <w:tcW w:type="dxa" w:w="2076"/>
          </w:tcPr>
          <w:p/>
        </w:tc>
        <w:tc>
          <w:tcPr>
            <w:tcW w:type="dxa" w:w="415"/>
          </w:tcPr>
          <w:p>
            <w:pPr>
              <w:pStyle w:val="null3"/>
            </w:pPr>
            <w:r>
              <w:rPr/>
              <w:t>3</w:t>
            </w:r>
          </w:p>
        </w:tc>
        <w:tc>
          <w:tcPr>
            <w:tcW w:type="dxa" w:w="5814"/>
          </w:tcPr>
          <w:p>
            <w:pPr>
              <w:pStyle w:val="null3"/>
            </w:pPr>
            <w:r>
              <w:rPr/>
              <w:t>其他需求详见用户需求书。</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广东省固体废物和化学品环境中心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采购机构代理服务收费标准：按委托代理协议约定。</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向采购人收取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采购包1：面向中小企业，以联合体形式预留，预留比例：40%。</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广东省政府采购中心</w:t>
      </w:r>
      <w:r>
        <w:rPr/>
        <w:t>代收。具体操作要求详见</w:t>
      </w:r>
      <w:r>
        <w:rPr/>
        <w:t>广东省政府采购中心</w:t>
      </w:r>
      <w:r>
        <w:rPr/>
        <w:t>有关指引，递交事宜请自行咨询</w:t>
      </w:r>
      <w:r>
        <w:rPr/>
        <w:t>广东省政府采购中心</w:t>
      </w:r>
      <w:r>
        <w:rPr/>
        <w:t>；请各投标人在投标文件递交截止时间前按须知前附表规定的金额递交至</w:t>
      </w:r>
      <w:r>
        <w:rPr/>
        <w:t>广东省政府采购中心</w:t>
      </w:r>
      <w:r>
        <w:rPr/>
        <w:t>，到账情况以开标时</w:t>
      </w:r>
      <w:r>
        <w:rPr/>
        <w:t>广东省政府采购中心</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020-83187085/83196816</w:t>
      </w:r>
    </w:p>
    <w:p>
      <w:pPr>
        <w:pStyle w:val="null3"/>
        <w:ind w:firstLine="480"/>
      </w:pPr>
      <w:r>
        <w:rPr/>
        <w:t>传真：</w:t>
      </w:r>
      <w:r>
        <w:rPr/>
        <w:t>/</w:t>
      </w:r>
    </w:p>
    <w:p>
      <w:pPr>
        <w:pStyle w:val="null3"/>
        <w:ind w:firstLine="480"/>
      </w:pPr>
      <w:r>
        <w:rPr/>
        <w:t>邮箱：</w:t>
      </w:r>
      <w:r>
        <w:rPr/>
        <w:t>gpcgdzgke@gd.gov.cn (推荐使用）</w:t>
      </w:r>
    </w:p>
    <w:p>
      <w:pPr>
        <w:pStyle w:val="null3"/>
        <w:ind w:firstLine="480"/>
      </w:pPr>
      <w:r>
        <w:rPr/>
        <w:t>地址：</w:t>
      </w:r>
      <w:r>
        <w:rPr/>
        <w:t>广州市越秀区越华路112号珠江国际大厦3楼质管科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话：020-83188586、020-83188511、020-83188509、020-83188508</w:t>
      </w:r>
    </w:p>
    <w:p>
      <w:pPr>
        <w:pStyle w:val="null3"/>
      </w:pPr>
      <w:r>
        <w:rPr/>
        <w:t>邮 编：510030</w:t>
      </w:r>
    </w:p>
    <w:p>
      <w:pPr>
        <w:pStyle w:val="null3"/>
      </w:pPr>
      <w:r>
        <w:rPr/>
        <w:t>传 真：020-83357559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东省生态环境厅固体废物环境监管信息平台运维运营（2024年）项目运维服务)：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广东省政府采购中心</w:t>
      </w:r>
      <w:r>
        <w:rPr/>
        <w:t>统一对外发布。</w:t>
      </w:r>
    </w:p>
    <w:p>
      <w:pPr>
        <w:pStyle w:val="null3"/>
        <w:ind w:firstLine="480"/>
      </w:pPr>
      <w:r>
        <w:rPr/>
        <w:t>（2）对</w:t>
      </w:r>
      <w:r>
        <w:rPr/>
        <w:t>广东省政府采购中心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采购包1（广东省生态环境厅固体废物环境监管信息平台运维运营（2024年）项目运维服务）：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采购包1（广东省生态环境厅固体废物环境监管信息平台运维运营（2024年）项目运维服务）：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副本复印件。分支机构投标的，须提供总公司和分公司营业执照副本复印件，总公司出具给分支机构的授权书。（如联合体投标，联合体各方成员均须满足）</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提供相应证明材料。（如联合体投标，联合体各方成员均须满足）</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供应商必须具有良好的商业信誉和健全的财务会计制度（提供以下2种证明材料之一：1. 2023年度经会计师事务所审计的财务状况报告；2. 同时提供①基本开户行出具的资信证明，②《基本存款账号信息》或《开户许可证》）。（如联合体投标，联合体各方成员均须满足）</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按投标（响应）文件格式填报设备及专业技术能力情况。（如联合体投标，联合体各方成员均须满足）</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供应商参加政府采购活动前三年内，在经营活动中没有重大违法记录（可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如联合体投标，联合体各方成员均须满足）（如联合体投标，联合体各方成员均须满足）</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投标截止日当天在“信用中国”网站（www.creditchina.gov.cn）及中国政府采购网（http://www.ccgp.gov.cn/）查询结果为准，如相关失信记录已失效，报价人需提供相关证明资料）。（如联合体投标，联合体各方成员均须满足）</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投标函相关承诺要求内容。（如联合体投标，联合体各方不得与其它供应商存在上述情形）</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本项目接受联合体投标。联合体投标相关规则如下： 本项目以联合体形式预留不少于合同金额40%给中小企业，其中预留不低于合同金额70%给小微企业。供应商须符合以下情形之一： （1）以联合体形式参加投标（响应）的，联合体成员中至少有一方须为小微企业。如联合体成员中未有中型企业的，则小微企业承担部分须达到合同金额的70%。提交《联合体协议书》和《中小企业声明函》。 （2）以联合体形式参加投标（响应）的，联合体成员至少有一方须为小微企业。如联合体成员中有中型企业的，则中小企业承担部分须达到合同金额的40%，其中小微企业承担部分须达到合同金额的70%。提交《联合体协议书》和《中小企业声明函》。 （3）非联合体形式参加投标（响应）的，则供应商须为小微企业。提交《中小企业声明函》。 （注1：参加投标的中小企业须符合本项目采购标的对应行业（软件和信息技术服务业）的政策划分标准。） （注2：中小企业以供应商填写的《中小企业声明函（服务）》（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 （注3：联合体各方不得再单独参加或者与其他供应商另外组成联合体参加本项目的政府采购活动。） 注4：《中小企业声明函》的填写要求见《广东省财政厅关于进一步规范政府采购活动中落实促进中小企业发展政策的通知》（粤财采购〔2024〕11号）的规定，供应商可登陆： https://gdgpo.czt.gd.gov.cn/freecms/site/guangdong/tz/info/2024/15000058.html查阅。</w:t>
            </w:r>
          </w:p>
        </w:tc>
      </w:tr>
    </w:tbl>
    <w:p>
      <w:pPr>
        <w:pStyle w:val="null3"/>
        <w:ind w:firstLine="480"/>
      </w:pPr>
      <w:r>
        <w:rPr/>
        <w:t>表二符合性审查表：</w:t>
      </w:r>
    </w:p>
    <w:p>
      <w:pPr>
        <w:pStyle w:val="null3"/>
      </w:pPr>
      <w:r>
        <w:rPr/>
        <w:t>采购包1（广东省生态环境厅固体废物环境监管信息平台运维运营（2024年）项目运维服务）：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w:t>
            </w:r>
          </w:p>
        </w:tc>
        <w:tc>
          <w:tcPr>
            <w:tcW w:type="dxa" w:w="4238"/>
          </w:tcPr>
          <w:p>
            <w:pPr>
              <w:pStyle w:val="null3"/>
            </w:pPr>
            <w:r>
              <w:rPr/>
              <w:t>投标（报价）总金额是固定价且是唯一的，未超过本项目采购预算。如果评标委员会认为投标人的报价明显低于其他通过符合性审查投标人的报价，有可能影响服务质量或者不能诚信履约的，将要求其在评标现场合理的时间内提供书面成本及分析说明，必要时提交相关证明材料；投标人应能证明其报价合理性。</w:t>
            </w:r>
          </w:p>
        </w:tc>
      </w:tr>
      <w:tr>
        <w:tc>
          <w:tcPr>
            <w:tcW w:type="dxa" w:w="890"/>
          </w:tcPr>
          <w:p>
            <w:pPr>
              <w:pStyle w:val="null3"/>
            </w:pPr>
            <w:r>
              <w:rPr/>
              <w:t>2</w:t>
            </w:r>
          </w:p>
        </w:tc>
        <w:tc>
          <w:tcPr>
            <w:tcW w:type="dxa" w:w="3178"/>
          </w:tcPr>
          <w:p>
            <w:pPr>
              <w:pStyle w:val="null3"/>
            </w:pPr>
            <w:r>
              <w:rPr/>
              <w:t>对标的没有报价漏项</w:t>
            </w:r>
          </w:p>
        </w:tc>
        <w:tc>
          <w:tcPr>
            <w:tcW w:type="dxa" w:w="4238"/>
          </w:tcPr>
          <w:p>
            <w:pPr>
              <w:pStyle w:val="null3"/>
            </w:pPr>
            <w:r>
              <w:rPr/>
              <w:t>对标的没有报价漏项。</w:t>
            </w:r>
          </w:p>
        </w:tc>
      </w:tr>
      <w:tr>
        <w:tc>
          <w:tcPr>
            <w:tcW w:type="dxa" w:w="890"/>
          </w:tcPr>
          <w:p>
            <w:pPr>
              <w:pStyle w:val="null3"/>
            </w:pPr>
            <w:r>
              <w:rPr/>
              <w:t>3</w:t>
            </w:r>
          </w:p>
        </w:tc>
        <w:tc>
          <w:tcPr>
            <w:tcW w:type="dxa" w:w="3178"/>
          </w:tcPr>
          <w:p>
            <w:pPr>
              <w:pStyle w:val="null3"/>
            </w:pPr>
            <w:r>
              <w:rPr/>
              <w:t>提交投标函等</w:t>
            </w:r>
          </w:p>
        </w:tc>
        <w:tc>
          <w:tcPr>
            <w:tcW w:type="dxa" w:w="4238"/>
          </w:tcPr>
          <w:p>
            <w:pPr>
              <w:pStyle w:val="null3"/>
            </w:pPr>
            <w:r>
              <w:rPr/>
              <w:t>提交投标函。投标文件完整，投标内容基本完整，无重大错漏，并按要求签署、盖章。</w:t>
            </w:r>
          </w:p>
        </w:tc>
      </w:tr>
      <w:tr>
        <w:tc>
          <w:tcPr>
            <w:tcW w:type="dxa" w:w="890"/>
          </w:tcPr>
          <w:p>
            <w:pPr>
              <w:pStyle w:val="null3"/>
            </w:pPr>
            <w:r>
              <w:rPr/>
              <w:t>4</w:t>
            </w:r>
          </w:p>
        </w:tc>
        <w:tc>
          <w:tcPr>
            <w:tcW w:type="dxa" w:w="3178"/>
          </w:tcPr>
          <w:p>
            <w:pPr>
              <w:pStyle w:val="null3"/>
            </w:pPr>
            <w:r>
              <w:rPr/>
              <w:t>法定代表人/负责人资格证明书及授权委托书</w:t>
            </w:r>
          </w:p>
        </w:tc>
        <w:tc>
          <w:tcPr>
            <w:tcW w:type="dxa" w:w="4238"/>
          </w:tcPr>
          <w:p>
            <w:pPr>
              <w:pStyle w:val="null3"/>
            </w:pPr>
            <w:r>
              <w:rPr/>
              <w:t>法定代表人/负责人资格证明书及授权委托书，按对应格式文件签署、盖章。</w:t>
            </w:r>
          </w:p>
        </w:tc>
      </w:tr>
      <w:tr>
        <w:tc>
          <w:tcPr>
            <w:tcW w:type="dxa" w:w="890"/>
          </w:tcPr>
          <w:p>
            <w:pPr>
              <w:pStyle w:val="null3"/>
            </w:pPr>
            <w:r>
              <w:rPr/>
              <w:t>5</w:t>
            </w:r>
          </w:p>
        </w:tc>
        <w:tc>
          <w:tcPr>
            <w:tcW w:type="dxa" w:w="3178"/>
          </w:tcPr>
          <w:p>
            <w:pPr>
              <w:pStyle w:val="null3"/>
            </w:pPr>
            <w:r>
              <w:rPr/>
              <w:t>投标文件未含有采购人不可接受的附加条件</w:t>
            </w:r>
          </w:p>
        </w:tc>
        <w:tc>
          <w:tcPr>
            <w:tcW w:type="dxa" w:w="4238"/>
          </w:tcPr>
          <w:p>
            <w:pPr>
              <w:pStyle w:val="null3"/>
            </w:pPr>
            <w:r>
              <w:rPr/>
              <w:t>投标文件未含有采购人不可接受的附加条件。</w:t>
            </w:r>
          </w:p>
        </w:tc>
      </w:tr>
      <w:tr>
        <w:tc>
          <w:tcPr>
            <w:tcW w:type="dxa" w:w="890"/>
          </w:tcPr>
          <w:p>
            <w:pPr>
              <w:pStyle w:val="null3"/>
            </w:pPr>
            <w:r>
              <w:rPr/>
              <w:t>6</w:t>
            </w:r>
          </w:p>
        </w:tc>
        <w:tc>
          <w:tcPr>
            <w:tcW w:type="dxa" w:w="3178"/>
          </w:tcPr>
          <w:p>
            <w:pPr>
              <w:pStyle w:val="null3"/>
            </w:pPr>
            <w:r>
              <w:rPr/>
              <w:t>如有报价修正的</w:t>
            </w:r>
          </w:p>
        </w:tc>
        <w:tc>
          <w:tcPr>
            <w:tcW w:type="dxa" w:w="4238"/>
          </w:tcPr>
          <w:p>
            <w:pPr>
              <w:pStyle w:val="null3"/>
            </w:pPr>
            <w:r>
              <w:rPr/>
              <w:t>如有报价修正的，投标人按规定要求书面确认。</w:t>
            </w:r>
          </w:p>
        </w:tc>
      </w:tr>
      <w:tr>
        <w:tc>
          <w:tcPr>
            <w:tcW w:type="dxa" w:w="890"/>
          </w:tcPr>
          <w:p>
            <w:pPr>
              <w:pStyle w:val="null3"/>
            </w:pPr>
            <w:r>
              <w:rPr/>
              <w:t>7</w:t>
            </w:r>
          </w:p>
        </w:tc>
        <w:tc>
          <w:tcPr>
            <w:tcW w:type="dxa" w:w="3178"/>
          </w:tcPr>
          <w:p>
            <w:pPr>
              <w:pStyle w:val="null3"/>
            </w:pPr>
            <w:r>
              <w:rPr/>
              <w:t>未出现视为投标人串标投标所列的情形</w:t>
            </w:r>
          </w:p>
        </w:tc>
        <w:tc>
          <w:tcPr>
            <w:tcW w:type="dxa" w:w="4238"/>
          </w:tcPr>
          <w:p>
            <w:pPr>
              <w:pStyle w:val="null3"/>
            </w:pPr>
            <w:r>
              <w:rPr/>
              <w:t>未出现视为投标人串标投标所列的情形。</w:t>
            </w:r>
          </w:p>
        </w:tc>
      </w:tr>
      <w:tr>
        <w:tc>
          <w:tcPr>
            <w:tcW w:type="dxa" w:w="890"/>
          </w:tcPr>
          <w:p>
            <w:pPr>
              <w:pStyle w:val="null3"/>
            </w:pPr>
            <w:r>
              <w:rPr/>
              <w:t>8</w:t>
            </w:r>
          </w:p>
        </w:tc>
        <w:tc>
          <w:tcPr>
            <w:tcW w:type="dxa" w:w="3178"/>
          </w:tcPr>
          <w:p>
            <w:pPr>
              <w:pStyle w:val="null3"/>
            </w:pPr>
            <w:r>
              <w:rPr/>
              <w:t>投标有效期为投标截止日起不少于90天</w:t>
            </w:r>
          </w:p>
        </w:tc>
        <w:tc>
          <w:tcPr>
            <w:tcW w:type="dxa" w:w="4238"/>
          </w:tcPr>
          <w:p>
            <w:pPr>
              <w:pStyle w:val="null3"/>
            </w:pPr>
            <w:r>
              <w:rPr/>
              <w:t>投标有效期为投标截止日起不少于90天。</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采购包1(广东省生态环境厅固体废物环境监管信息平台运维运营（2024年）项目运维服务):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商务部分35.0分</w:t>
            </w:r>
          </w:p>
          <w:p>
            <w:pPr>
              <w:pStyle w:val="null3"/>
            </w:pPr>
            <w:r>
              <w:rPr/>
              <w:t>技术部分55.0分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技术总体方案 (10.0分)</w:t>
            </w:r>
            <w:r>
              <w:rPr/>
              <w:t>，（等次分值选择：</w:t>
            </w:r>
            <w:r>
              <w:rPr/>
              <w:t>0.0;</w:t>
            </w:r>
            <w:r>
              <w:rPr/>
              <w:t>2.0;</w:t>
            </w:r>
            <w:r>
              <w:rPr/>
              <w:t>6.0;</w:t>
            </w:r>
            <w:r>
              <w:rPr/>
              <w:t>10.0;</w:t>
            </w:r>
            <w:r>
              <w:rPr/>
              <w:t>）</w:t>
            </w:r>
          </w:p>
        </w:tc>
        <w:tc>
          <w:tcPr>
            <w:tcW w:type="dxa" w:w="5076"/>
          </w:tcPr>
          <w:p>
            <w:pPr>
              <w:pStyle w:val="null3"/>
              <w:jc w:val="left"/>
            </w:pPr>
            <w:r>
              <w:rPr/>
              <w:t>投标人结合当前广东数字政府改革建设情况，根据用户需求“1.1.4.项目总体目标”提供设计技术总体方案： 1)方案完全满足并优于采购需求，得10分； 2)方案完全满足采购需求，得6分； 3)方案不能完全满足采购需求，得2分； 4)未提供的，得0分。</w:t>
            </w:r>
          </w:p>
        </w:tc>
      </w:tr>
      <w:tr>
        <w:tc>
          <w:tcPr>
            <w:tcW w:type="dxa" w:w="922"/>
            <w:gridSpan w:val="2"/>
            <w:vMerge/>
          </w:tcPr>
          <w:p/>
        </w:tc>
        <w:tc>
          <w:tcPr>
            <w:tcW w:type="dxa" w:w="2307"/>
          </w:tcPr>
          <w:p>
            <w:pPr>
              <w:pStyle w:val="null3"/>
              <w:jc w:val="left"/>
            </w:pPr>
            <w:r>
              <w:rPr/>
              <w:t>运行维护服务方案 (15.0分)</w:t>
            </w:r>
            <w:r>
              <w:rPr/>
              <w:t>，（等次分值选择：</w:t>
            </w:r>
            <w:r>
              <w:rPr/>
              <w:t>0.0;</w:t>
            </w:r>
            <w:r>
              <w:rPr/>
              <w:t>4.0;</w:t>
            </w:r>
            <w:r>
              <w:rPr/>
              <w:t>9.0;</w:t>
            </w:r>
            <w:r>
              <w:rPr/>
              <w:t>15.0;</w:t>
            </w:r>
            <w:r>
              <w:rPr/>
              <w:t>）</w:t>
            </w:r>
          </w:p>
        </w:tc>
        <w:tc>
          <w:tcPr>
            <w:tcW w:type="dxa" w:w="5076"/>
          </w:tcPr>
          <w:p>
            <w:pPr>
              <w:pStyle w:val="null3"/>
              <w:jc w:val="left"/>
            </w:pPr>
            <w:r>
              <w:rPr/>
              <w:t>根据用户需求书“4.1. 运行维护服务”，投标人须按照项目采购需求中关于系统业务运维服务要求的内容进行分析响应，提供详细的系统业务运维服务方案；为使项目按质、按量、按时及时有序实施，投标人应建立完善、稳定的项目团队、内部组织管理方式及管理机构，要求提出项目人员配置方案： 1)方案完全满足且优于采购需求的，得15分； 2)完全满足采购需求的，得9分； 3)不能完全满足采购需求的，得4分； 4)未提供的，得0分。</w:t>
            </w:r>
          </w:p>
        </w:tc>
      </w:tr>
      <w:tr>
        <w:tc>
          <w:tcPr>
            <w:tcW w:type="dxa" w:w="922"/>
            <w:gridSpan w:val="2"/>
            <w:vMerge/>
          </w:tcPr>
          <w:p/>
        </w:tc>
        <w:tc>
          <w:tcPr>
            <w:tcW w:type="dxa" w:w="2307"/>
          </w:tcPr>
          <w:p>
            <w:pPr>
              <w:pStyle w:val="null3"/>
              <w:jc w:val="left"/>
            </w:pPr>
            <w:r>
              <w:rPr/>
              <w:t>人员服务方案 (10.0分)</w:t>
            </w:r>
            <w:r>
              <w:rPr/>
              <w:t>，（等次分值选择：</w:t>
            </w:r>
            <w:r>
              <w:rPr/>
              <w:t>0.0;</w:t>
            </w:r>
            <w:r>
              <w:rPr/>
              <w:t>2.0;</w:t>
            </w:r>
            <w:r>
              <w:rPr/>
              <w:t>6.0;</w:t>
            </w:r>
            <w:r>
              <w:rPr/>
              <w:t>10.0;</w:t>
            </w:r>
            <w:r>
              <w:rPr/>
              <w:t>）</w:t>
            </w:r>
          </w:p>
        </w:tc>
        <w:tc>
          <w:tcPr>
            <w:tcW w:type="dxa" w:w="5076"/>
          </w:tcPr>
          <w:p>
            <w:pPr>
              <w:pStyle w:val="null3"/>
              <w:jc w:val="left"/>
            </w:pPr>
            <w:r>
              <w:rPr/>
              <w:t>根据用户需求书“5.1.1服务人员”，投标人应建立完善、稳定的项目团队、内部组织管理方式及管理机构，要求提出项目人员配置方案： 1)方案完全满足且优于采购需求的，得10分； 2)完全满足采购需求的，得6分； 3)不能完全满足采购需求的，得2分； 4)未提供的，得0分。</w:t>
            </w:r>
          </w:p>
        </w:tc>
      </w:tr>
      <w:tr>
        <w:tc>
          <w:tcPr>
            <w:tcW w:type="dxa" w:w="922"/>
            <w:gridSpan w:val="2"/>
            <w:vMerge/>
          </w:tcPr>
          <w:p/>
        </w:tc>
        <w:tc>
          <w:tcPr>
            <w:tcW w:type="dxa" w:w="2307"/>
          </w:tcPr>
          <w:p>
            <w:pPr>
              <w:pStyle w:val="null3"/>
              <w:jc w:val="left"/>
            </w:pPr>
            <w:r>
              <w:rPr/>
              <w:t>进度保障方案 (10.0分)</w:t>
            </w:r>
            <w:r>
              <w:rPr/>
              <w:t>，（等次分值选择：</w:t>
            </w:r>
            <w:r>
              <w:rPr/>
              <w:t>0.0;</w:t>
            </w:r>
            <w:r>
              <w:rPr/>
              <w:t>2.0;</w:t>
            </w:r>
            <w:r>
              <w:rPr/>
              <w:t>6.0;</w:t>
            </w:r>
            <w:r>
              <w:rPr/>
              <w:t>10.0;</w:t>
            </w:r>
            <w:r>
              <w:rPr/>
              <w:t>）</w:t>
            </w:r>
          </w:p>
        </w:tc>
        <w:tc>
          <w:tcPr>
            <w:tcW w:type="dxa" w:w="5076"/>
          </w:tcPr>
          <w:p>
            <w:pPr>
              <w:pStyle w:val="null3"/>
              <w:jc w:val="left"/>
            </w:pPr>
            <w:r>
              <w:rPr/>
              <w:t>根据用户需求书“5.1.2.进度要求”，投标人应根据本项目需求书，制定高效高质的进度保障方案： 1)方案完全满足且优于采购需求的，得10分； 2)完全满足采购需求的，得6分； 3)不能完全满足采购需求的，得2分； 4)未提供的，得0分。</w:t>
            </w:r>
          </w:p>
        </w:tc>
      </w:tr>
      <w:tr>
        <w:tc>
          <w:tcPr>
            <w:tcW w:type="dxa" w:w="922"/>
            <w:gridSpan w:val="2"/>
            <w:vMerge/>
          </w:tcPr>
          <w:p/>
        </w:tc>
        <w:tc>
          <w:tcPr>
            <w:tcW w:type="dxa" w:w="2307"/>
          </w:tcPr>
          <w:p>
            <w:pPr>
              <w:pStyle w:val="null3"/>
              <w:jc w:val="left"/>
            </w:pPr>
            <w:r>
              <w:rPr/>
              <w:t>质量保证方案 (10.0分)</w:t>
            </w:r>
            <w:r>
              <w:rPr/>
              <w:t>，（等次分值选择：</w:t>
            </w:r>
            <w:r>
              <w:rPr/>
              <w:t>0.0;</w:t>
            </w:r>
            <w:r>
              <w:rPr/>
              <w:t>2.0;</w:t>
            </w:r>
            <w:r>
              <w:rPr/>
              <w:t>6.0;</w:t>
            </w:r>
            <w:r>
              <w:rPr/>
              <w:t>10.0;</w:t>
            </w:r>
            <w:r>
              <w:rPr/>
              <w:t>）</w:t>
            </w:r>
          </w:p>
        </w:tc>
        <w:tc>
          <w:tcPr>
            <w:tcW w:type="dxa" w:w="5076"/>
          </w:tcPr>
          <w:p>
            <w:pPr>
              <w:pStyle w:val="null3"/>
              <w:jc w:val="left"/>
            </w:pPr>
            <w:r>
              <w:rPr/>
              <w:t>根据用户需求书“5.1.5.质量保证要求”，投标人根据本项目的特点和目标，制定切实可行的质量保证方案： 1)方案完全满足且优于采购需求的，得10分； 2)完全满足采购需求的，得6分； 3)不能完全满足采购需求的，得2分； 4)未提供的，得0分。</w:t>
            </w:r>
          </w:p>
        </w:tc>
      </w:tr>
      <w:tr>
        <w:tc>
          <w:tcPr>
            <w:tcW w:type="dxa" w:w="922"/>
            <w:gridSpan w:val="2"/>
            <w:vMerge w:val="restart"/>
          </w:tcPr>
          <w:p>
            <w:pPr>
              <w:pStyle w:val="null3"/>
              <w:jc w:val="center"/>
            </w:pPr>
            <w:r>
              <w:rPr/>
              <w:t>商务部分</w:t>
            </w:r>
          </w:p>
        </w:tc>
        <w:tc>
          <w:tcPr>
            <w:tcW w:type="dxa" w:w="2307"/>
          </w:tcPr>
          <w:p>
            <w:pPr>
              <w:pStyle w:val="null3"/>
              <w:jc w:val="left"/>
            </w:pPr>
            <w:r>
              <w:rPr/>
              <w:t>投标人资质情况 (5.0分)</w:t>
            </w:r>
          </w:p>
        </w:tc>
        <w:tc>
          <w:tcPr>
            <w:tcW w:type="dxa" w:w="5076"/>
          </w:tcPr>
          <w:p>
            <w:pPr>
              <w:pStyle w:val="null3"/>
              <w:jc w:val="left"/>
            </w:pPr>
            <w:r>
              <w:rPr/>
              <w:t>投标人具有ISO9001质量管理体系认证证书（认证范围须与信息化相关），得5分。 投标人每具有一个有效证书得5分，最高得5分。 注：（1）提供在有效期内的认证证书复印件及“国家认证认可监督管理委员（http://www.cnca.gov.cn）”的全国认证认可信息公共服务平台上查询到的在有效期的官网截图（查询结果证书状态为撤销、暂停或失效的，不得分），上述证书如因成立时间不足三个月的原因未能获得的，可对应得分。上述材料均需加盖投标人公章，否则视为无效。 （2）投标人为联合体时，联合体任意一方符合对应条件时即可视为该联合体整体符合该条件。</w:t>
            </w:r>
          </w:p>
        </w:tc>
      </w:tr>
      <w:tr>
        <w:tc>
          <w:tcPr>
            <w:tcW w:type="dxa" w:w="922"/>
            <w:gridSpan w:val="2"/>
            <w:vMerge/>
          </w:tcPr>
          <w:p/>
        </w:tc>
        <w:tc>
          <w:tcPr>
            <w:tcW w:type="dxa" w:w="2307"/>
          </w:tcPr>
          <w:p>
            <w:pPr>
              <w:pStyle w:val="null3"/>
              <w:jc w:val="left"/>
            </w:pPr>
            <w:r>
              <w:rPr/>
              <w:t>投标人技术能力 (4.0分)</w:t>
            </w:r>
          </w:p>
        </w:tc>
        <w:tc>
          <w:tcPr>
            <w:tcW w:type="dxa" w:w="5076"/>
          </w:tcPr>
          <w:p>
            <w:pPr>
              <w:pStyle w:val="null3"/>
              <w:jc w:val="left"/>
            </w:pPr>
            <w:r>
              <w:rPr/>
              <w:t>投标人具有项目相关（政务信息化）的软件自主知识产权（软著、专利或其他知识产权形式），每个自主知识产权得1分，本项最高分4分。 注：（1）投标人须提供以上著作权证书复印件，未提供不得分，同一类具备多份证书的只计取一次分值； （2）投标人为联合体时，联合体任意一方符合对应条件时即可视为该联合体整体符合该条件。</w:t>
            </w:r>
          </w:p>
        </w:tc>
      </w:tr>
      <w:tr>
        <w:tc>
          <w:tcPr>
            <w:tcW w:type="dxa" w:w="922"/>
            <w:gridSpan w:val="2"/>
            <w:vMerge/>
          </w:tcPr>
          <w:p/>
        </w:tc>
        <w:tc>
          <w:tcPr>
            <w:tcW w:type="dxa" w:w="2307"/>
          </w:tcPr>
          <w:p>
            <w:pPr>
              <w:pStyle w:val="null3"/>
              <w:jc w:val="left"/>
            </w:pPr>
            <w:r>
              <w:rPr/>
              <w:t>拟投入本项目团队人员 (16.0分)</w:t>
            </w:r>
          </w:p>
        </w:tc>
        <w:tc>
          <w:tcPr>
            <w:tcW w:type="dxa" w:w="5076"/>
          </w:tcPr>
          <w:p>
            <w:pPr>
              <w:pStyle w:val="null3"/>
              <w:jc w:val="left"/>
            </w:pPr>
            <w:r>
              <w:rPr/>
              <w:t>投标人拟安排投入本项目的主要技术人员团队应具备以下资质，具体评分如下： 1、投标人为本项目配备项目经理1名，项目经理须满足以下要求： （1）具有由国家人力资源和社会保障部、工业和信息化部颁发的计算机技术与软件专业技术资格-信息系统项目管理师证书，得4分； （2）具有由国家人力资源和社会保障部、工业和信息化部颁发的计算机技术与软件专业技术资格-系统规划与管理师证书，得4分。 （3）具有由国家人力资源和社会保障部、工业和信息化部颁发的计算机技术与软件专业技术资格-系统分析师，得4分； （4）具有研究生或以上学历的，得4分。 1-4项注：①证书应提供相关证书的复印件或扫描件，不提供不得分； ②学历提供相关证明.文件复印件（提供学历证书复印件如为国(境)外学历学位证书，提供中文翻译及通过教育部学历认证的网上截图或教育部门出具的鉴定证明纸质版扫描件） ③同时提供投标人为上述人员缴纳2024年3月至今任意一个月的社保证明材料（须至少体现养老保险），不提供不得分 ④联合体投标的，可由联合体各方分别派员构成，任何一方人员符合相关条件时，均可计算得分。</w:t>
            </w:r>
          </w:p>
        </w:tc>
      </w:tr>
      <w:tr>
        <w:tc>
          <w:tcPr>
            <w:tcW w:type="dxa" w:w="922"/>
            <w:gridSpan w:val="2"/>
            <w:vMerge/>
          </w:tcPr>
          <w:p/>
        </w:tc>
        <w:tc>
          <w:tcPr>
            <w:tcW w:type="dxa" w:w="2307"/>
          </w:tcPr>
          <w:p>
            <w:pPr>
              <w:pStyle w:val="null3"/>
              <w:jc w:val="left"/>
            </w:pPr>
            <w:r>
              <w:rPr/>
              <w:t>同类业绩 (10.0分)</w:t>
            </w:r>
          </w:p>
        </w:tc>
        <w:tc>
          <w:tcPr>
            <w:tcW w:type="dxa" w:w="5076"/>
          </w:tcPr>
          <w:p>
            <w:pPr>
              <w:pStyle w:val="null3"/>
              <w:jc w:val="left"/>
            </w:pPr>
            <w:r>
              <w:rPr/>
              <w:t>投标人具备信息化平台运维或运营实施经验，提供自2021年1月1日以来的同类项目合同： 每提供一个有效合同得1分，最高得10分。 注：（1）投标人所提供的合同关键页至少包括但不限于合同封面、合同服务内容、合同金额、盖章落款页等，时间以签订合同的时间为准，无或未提供的不得分； （2）投标人为联合体时，投标人为联合体时，联合体任意一方符合对应条件时即可视为该联合体整体符合该条件。</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广东省政府采购</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48"/>
          <w:b/>
          <w:color w:val="222222"/>
        </w:rPr>
        <w:t>合　同　书</w:t>
      </w:r>
    </w:p>
    <w:p>
      <w:pPr>
        <w:pStyle w:val="null3"/>
        <w:shd w:fill="FFFFFF"/>
        <w:spacing w:before="0" w:after="0"/>
        <w:ind w:left="0" w:right="0"/>
        <w:jc w:val="center"/>
      </w:pPr>
      <w:r>
        <w:br/>
      </w:r>
      <w:r>
        <w:br/>
      </w:r>
      <w:r>
        <w:br/>
      </w:r>
      <w:r>
        <w:br/>
      </w:r>
      <w:r>
        <w:br/>
      </w:r>
      <w:r>
        <w:br/>
      </w:r>
      <w:r>
        <w:br/>
      </w:r>
      <w:r>
        <w:br/>
      </w: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采购计划编号：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项目名称：</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jc w:val="both"/>
      </w:pPr>
      <w:r>
        <w:br/>
      </w: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甲方：</w:t>
      </w:r>
      <w:r>
        <w:rPr>
          <w:rFonts w:ascii="宋体" w:hAnsi="宋体" w:cs="宋体" w:eastAsia="宋体"/>
          <w:sz w:val="27"/>
          <w:b/>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color w:val="222222"/>
        </w:rPr>
        <w:t>电话：</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传真</w:t>
      </w:r>
      <w:r>
        <w:rPr>
          <w:rFonts w:ascii="宋体" w:hAnsi="宋体" w:cs="宋体" w:eastAsia="宋体"/>
          <w:sz w:val="27"/>
          <w:color w:val="222222"/>
        </w:rPr>
        <w:t xml:space="preserve"> </w:t>
      </w:r>
      <w:r>
        <w:rPr>
          <w:rFonts w:ascii="宋体" w:hAnsi="宋体" w:cs="宋体" w:eastAsia="宋体"/>
          <w:sz w:val="27"/>
          <w:color w:val="222222"/>
        </w:rPr>
        <w:t>：</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地址：</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b/>
          <w:color w:val="222222"/>
        </w:rPr>
        <w:t>乙方：</w:t>
      </w:r>
      <w:r>
        <w:rPr>
          <w:rFonts w:ascii="宋体" w:hAnsi="宋体" w:cs="宋体" w:eastAsia="宋体"/>
          <w:sz w:val="27"/>
          <w:b/>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color w:val="222222"/>
        </w:rPr>
        <w:t>电话：</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传真：</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地址：</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color w:val="222222"/>
        </w:rPr>
        <w:t xml:space="preserve"> </w:t>
      </w:r>
      <w:r>
        <w:rPr>
          <w:rFonts w:ascii="宋体" w:hAnsi="宋体" w:cs="宋体" w:eastAsia="宋体"/>
          <w:sz w:val="27"/>
          <w:color w:val="222222"/>
        </w:rPr>
        <w:t xml:space="preserve"> </w:t>
      </w:r>
      <w:r>
        <w:rPr>
          <w:rFonts w:ascii="宋体" w:hAnsi="宋体" w:cs="宋体" w:eastAsia="宋体"/>
          <w:sz w:val="27"/>
          <w:color w:val="222222"/>
        </w:rPr>
        <w:t>根据</w:t>
      </w:r>
      <w:r>
        <w:rPr>
          <w:rFonts w:ascii="宋体" w:hAnsi="宋体" w:cs="宋体" w:eastAsia="宋体"/>
          <w:sz w:val="27"/>
          <w:color w:val="222222"/>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项目</w:t>
      </w:r>
      <w:r>
        <w:rPr>
          <w:rFonts w:ascii="宋体" w:hAnsi="宋体" w:cs="宋体" w:eastAsia="宋体"/>
          <w:sz w:val="27"/>
          <w:color w:val="222222"/>
          <w:u w:val="single"/>
        </w:rPr>
        <w:t xml:space="preserve"> </w:t>
      </w:r>
      <w:r>
        <w:rPr>
          <w:rFonts w:ascii="宋体" w:hAnsi="宋体" w:cs="宋体" w:eastAsia="宋体"/>
          <w:sz w:val="27"/>
          <w:color w:val="222222"/>
        </w:rPr>
        <w:t>的采购结果，按照《中华人民共和国政府采购法》，《</w:t>
      </w:r>
      <w:r>
        <w:rPr>
          <w:rFonts w:ascii="宋体" w:hAnsi="宋体" w:cs="宋体" w:eastAsia="宋体"/>
          <w:sz w:val="27"/>
          <w:color w:val="222222"/>
        </w:rPr>
        <w:t>中华人民共和国民法典(合同编)</w:t>
      </w:r>
      <w:r>
        <w:rPr>
          <w:rFonts w:ascii="宋体" w:hAnsi="宋体" w:cs="宋体" w:eastAsia="宋体"/>
          <w:sz w:val="27"/>
          <w:color w:val="222222"/>
        </w:rPr>
        <w:t>》的规定，经双方协商，本着平等互利和诚实信用的原则，一致同意遵守本合同如下。</w:t>
      </w:r>
    </w:p>
    <w:p>
      <w:pPr>
        <w:pStyle w:val="null3"/>
        <w:shd w:fill="FFFFFF"/>
        <w:spacing w:before="0" w:after="0"/>
        <w:ind w:left="0" w:right="0"/>
        <w:jc w:val="both"/>
      </w:pPr>
      <w:r>
        <w:rPr>
          <w:rFonts w:ascii="宋体" w:hAnsi="宋体" w:cs="宋体" w:eastAsia="宋体"/>
          <w:sz w:val="27"/>
          <w:b/>
          <w:color w:val="222222"/>
        </w:rPr>
        <w:t>一、合同金额</w:t>
      </w:r>
    </w:p>
    <w:p>
      <w:pPr>
        <w:pStyle w:val="null3"/>
        <w:shd w:fill="FFFFFF"/>
        <w:spacing w:before="0" w:after="0"/>
        <w:ind w:left="0" w:right="0"/>
        <w:jc w:val="both"/>
      </w:pPr>
      <w:r>
        <w:rPr>
          <w:rFonts w:ascii="宋体" w:hAnsi="宋体" w:cs="宋体" w:eastAsia="宋体"/>
          <w:sz w:val="27"/>
          <w:color w:val="222222"/>
        </w:rPr>
        <w:t>　　合同金额为（大写）：_____________元（￥_________元）人民币。</w:t>
      </w:r>
    </w:p>
    <w:p>
      <w:pPr>
        <w:pStyle w:val="null3"/>
        <w:shd w:fill="FFFFFF"/>
        <w:spacing w:before="0" w:after="0"/>
        <w:ind w:left="0" w:right="0"/>
        <w:jc w:val="both"/>
      </w:pPr>
      <w:r>
        <w:rPr>
          <w:rFonts w:ascii="宋体" w:hAnsi="宋体" w:cs="宋体" w:eastAsia="宋体"/>
          <w:sz w:val="27"/>
          <w:b/>
          <w:color w:val="222222"/>
        </w:rPr>
        <w:t>二、服务范围</w:t>
      </w:r>
    </w:p>
    <w:p>
      <w:pPr>
        <w:pStyle w:val="null3"/>
        <w:shd w:fill="FFFFFF"/>
        <w:spacing w:before="0" w:after="0"/>
        <w:ind w:left="0" w:right="0"/>
        <w:jc w:val="both"/>
      </w:pPr>
      <w:r>
        <w:rPr>
          <w:rFonts w:ascii="宋体" w:hAnsi="宋体" w:cs="宋体" w:eastAsia="宋体"/>
          <w:sz w:val="27"/>
          <w:color w:val="222222"/>
        </w:rPr>
        <w:t>　　甲方聘请乙方提供以下服务：</w:t>
      </w:r>
    </w:p>
    <w:p>
      <w:pPr>
        <w:pStyle w:val="null3"/>
        <w:shd w:fill="FFFFFF"/>
        <w:spacing w:before="0" w:after="0"/>
        <w:ind w:left="0" w:right="0"/>
        <w:jc w:val="both"/>
      </w:pPr>
      <w:r>
        <w:rPr>
          <w:rFonts w:ascii="宋体" w:hAnsi="宋体" w:cs="宋体" w:eastAsia="宋体"/>
          <w:sz w:val="27"/>
          <w:color w:val="222222"/>
        </w:rPr>
        <w:t>　　1．</w:t>
      </w:r>
      <w:r>
        <w:rPr>
          <w:rFonts w:ascii="宋体" w:hAnsi="宋体" w:cs="宋体" w:eastAsia="宋体"/>
          <w:sz w:val="27"/>
          <w:color w:val="222222"/>
          <w:u w:val="single"/>
        </w:rPr>
        <w:t>　　　　　　　　　　　</w:t>
      </w:r>
      <w:r>
        <w:rPr>
          <w:rFonts w:ascii="宋体" w:hAnsi="宋体" w:cs="宋体" w:eastAsia="宋体"/>
          <w:sz w:val="27"/>
          <w:color w:val="222222"/>
        </w:rPr>
        <w:t>。</w:t>
      </w:r>
    </w:p>
    <w:p>
      <w:pPr>
        <w:pStyle w:val="null3"/>
        <w:shd w:fill="FFFFFF"/>
        <w:spacing w:before="0" w:after="0"/>
        <w:ind w:left="0" w:right="0"/>
        <w:jc w:val="both"/>
      </w:pPr>
      <w:r>
        <w:rPr>
          <w:rFonts w:ascii="宋体" w:hAnsi="宋体" w:cs="宋体" w:eastAsia="宋体"/>
          <w:sz w:val="27"/>
          <w:color w:val="222222"/>
        </w:rPr>
        <w:t>　　2．</w:t>
      </w:r>
      <w:r>
        <w:rPr>
          <w:rFonts w:ascii="宋体" w:hAnsi="宋体" w:cs="宋体" w:eastAsia="宋体"/>
          <w:sz w:val="27"/>
          <w:color w:val="222222"/>
          <w:u w:val="single"/>
        </w:rPr>
        <w:t>　　　　　　　　　　　</w:t>
      </w:r>
    </w:p>
    <w:p>
      <w:pPr>
        <w:pStyle w:val="null3"/>
        <w:shd w:fill="FFFFFF"/>
        <w:spacing w:before="0" w:after="0"/>
        <w:ind w:left="0" w:right="0"/>
        <w:jc w:val="both"/>
      </w:pPr>
      <w:r>
        <w:rPr>
          <w:rFonts w:ascii="宋体" w:hAnsi="宋体" w:cs="宋体" w:eastAsia="宋体"/>
          <w:sz w:val="27"/>
          <w:color w:val="222222"/>
        </w:rPr>
        <w:t>……</w:t>
      </w:r>
    </w:p>
    <w:p>
      <w:pPr>
        <w:pStyle w:val="null3"/>
        <w:shd w:fill="FFFFFF"/>
        <w:spacing w:before="0" w:after="0"/>
        <w:ind w:left="0" w:right="0"/>
        <w:jc w:val="both"/>
      </w:pPr>
      <w:r>
        <w:rPr>
          <w:rFonts w:ascii="宋体" w:hAnsi="宋体" w:cs="宋体" w:eastAsia="宋体"/>
          <w:sz w:val="27"/>
          <w:b/>
          <w:color w:val="222222"/>
        </w:rPr>
        <w:t>三、甲方乙方的权利和义务</w:t>
      </w:r>
    </w:p>
    <w:p>
      <w:pPr>
        <w:pStyle w:val="null3"/>
        <w:shd w:fill="FFFFFF"/>
        <w:spacing w:before="0" w:after="0"/>
        <w:ind w:left="0" w:right="0"/>
        <w:jc w:val="both"/>
      </w:pPr>
      <w:r>
        <w:rPr>
          <w:rFonts w:ascii="宋体" w:hAnsi="宋体" w:cs="宋体" w:eastAsia="宋体"/>
          <w:sz w:val="27"/>
          <w:color w:val="222222"/>
        </w:rPr>
        <w:t>　　1.甲方的权利和义务</w:t>
      </w:r>
    </w:p>
    <w:p>
      <w:pPr>
        <w:pStyle w:val="null3"/>
        <w:shd w:fill="FFFFFF"/>
        <w:spacing w:before="0" w:after="0"/>
        <w:ind w:left="0" w:right="0"/>
        <w:jc w:val="both"/>
      </w:pPr>
      <w:r>
        <w:rPr>
          <w:rFonts w:ascii="宋体" w:hAnsi="宋体" w:cs="宋体" w:eastAsia="宋体"/>
          <w:sz w:val="27"/>
          <w:color w:val="222222"/>
        </w:rPr>
        <w:t>　　2.乙方的权利和义务</w:t>
      </w:r>
    </w:p>
    <w:p>
      <w:pPr>
        <w:pStyle w:val="null3"/>
        <w:shd w:fill="FFFFFF"/>
        <w:spacing w:before="0" w:after="0"/>
        <w:ind w:left="0" w:right="0"/>
        <w:jc w:val="both"/>
      </w:pPr>
      <w:r>
        <w:rPr>
          <w:rFonts w:ascii="宋体" w:hAnsi="宋体" w:cs="宋体" w:eastAsia="宋体"/>
          <w:sz w:val="27"/>
          <w:b/>
          <w:color w:val="222222"/>
        </w:rPr>
        <w:t>四、服务期间（项目完成期限）</w:t>
      </w:r>
    </w:p>
    <w:p>
      <w:pPr>
        <w:pStyle w:val="null3"/>
        <w:shd w:fill="FFFFFF"/>
        <w:spacing w:before="0" w:after="0"/>
        <w:ind w:left="0" w:right="0"/>
        <w:jc w:val="both"/>
      </w:pPr>
      <w:r>
        <w:rPr>
          <w:rFonts w:ascii="宋体" w:hAnsi="宋体" w:cs="宋体" w:eastAsia="宋体"/>
          <w:sz w:val="27"/>
          <w:color w:val="222222"/>
        </w:rPr>
        <w:t>　　1.委托服务期间自______年______月至______年______月止。</w:t>
      </w:r>
    </w:p>
    <w:p>
      <w:pPr>
        <w:pStyle w:val="null3"/>
        <w:shd w:fill="FFFFFF"/>
        <w:spacing w:before="0" w:after="0"/>
        <w:ind w:left="0" w:right="0"/>
        <w:jc w:val="both"/>
      </w:pPr>
      <w:r>
        <w:rPr>
          <w:rFonts w:ascii="宋体" w:hAnsi="宋体" w:cs="宋体" w:eastAsia="宋体"/>
          <w:sz w:val="27"/>
          <w:b/>
          <w:color w:val="222222"/>
        </w:rPr>
        <w:t>五、付款方式</w:t>
      </w:r>
    </w:p>
    <w:p>
      <w:pPr>
        <w:pStyle w:val="null3"/>
        <w:shd w:fill="FFFFFF"/>
        <w:spacing w:before="0" w:after="0"/>
        <w:ind w:left="0" w:right="0"/>
        <w:jc w:val="both"/>
      </w:pPr>
      <w:r>
        <w:rPr>
          <w:rFonts w:ascii="宋体" w:hAnsi="宋体" w:cs="宋体" w:eastAsia="宋体"/>
          <w:sz w:val="27"/>
          <w:color w:val="222222"/>
        </w:rPr>
        <w:t>　　由甲方按下列程序在</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rPr>
        <w:t xml:space="preserve"> </w:t>
      </w:r>
      <w:r>
        <w:rPr>
          <w:rFonts w:ascii="宋体" w:hAnsi="宋体" w:cs="宋体" w:eastAsia="宋体"/>
          <w:sz w:val="27"/>
          <w:color w:val="222222"/>
        </w:rPr>
        <w:t>内付款：</w:t>
      </w:r>
    </w:p>
    <w:p>
      <w:pPr>
        <w:pStyle w:val="null3"/>
        <w:shd w:fill="FFFFFF"/>
        <w:spacing w:before="0" w:after="0"/>
        <w:ind w:left="0" w:right="0"/>
        <w:jc w:val="both"/>
      </w:pPr>
      <w:r>
        <w:rPr>
          <w:rFonts w:ascii="宋体" w:hAnsi="宋体" w:cs="宋体" w:eastAsia="宋体"/>
          <w:sz w:val="27"/>
          <w:color w:val="222222"/>
        </w:rPr>
        <w:t>　　1.在合同实施及服务人员到达服务地后__天内，甲方应将第一次付　　款总服务费的__(-%)付给乙方。</w:t>
      </w:r>
    </w:p>
    <w:p>
      <w:pPr>
        <w:pStyle w:val="null3"/>
        <w:shd w:fill="FFFFFF"/>
        <w:spacing w:before="0" w:after="0"/>
        <w:ind w:left="0" w:right="0"/>
        <w:jc w:val="both"/>
      </w:pPr>
      <w:r>
        <w:rPr>
          <w:rFonts w:ascii="宋体" w:hAnsi="宋体" w:cs="宋体" w:eastAsia="宋体"/>
          <w:sz w:val="27"/>
          <w:color w:val="222222"/>
        </w:rPr>
        <w:t>　　2.第二次付款额应为总服务费的__(-%)，甲方应在乙方已经准备好，并递交了服务报告及其它相关文件，而这些报告和文件符合合同附件上的要求并被甲方验收后付给乙方。</w:t>
      </w:r>
    </w:p>
    <w:p>
      <w:pPr>
        <w:pStyle w:val="null3"/>
        <w:shd w:fill="FFFFFF"/>
        <w:spacing w:before="0" w:after="0"/>
        <w:ind w:left="0" w:right="0"/>
        <w:jc w:val="both"/>
      </w:pPr>
      <w:r>
        <w:rPr>
          <w:rFonts w:ascii="宋体" w:hAnsi="宋体" w:cs="宋体" w:eastAsia="宋体"/>
          <w:sz w:val="27"/>
          <w:color w:val="222222"/>
        </w:rPr>
        <w:t>　　3.最后一次付款额应为总服务费的__(-%)，甲方应在乙方递交了服务总结报告和说明并完全履行合同完毕_________日内付给乙方。</w:t>
      </w:r>
    </w:p>
    <w:p>
      <w:pPr>
        <w:pStyle w:val="null3"/>
        <w:shd w:fill="FFFFFF"/>
        <w:spacing w:before="0" w:after="0"/>
        <w:ind w:left="0" w:right="0"/>
        <w:jc w:val="both"/>
      </w:pPr>
      <w:r>
        <w:rPr>
          <w:rFonts w:ascii="宋体" w:hAnsi="宋体" w:cs="宋体" w:eastAsia="宋体"/>
          <w:sz w:val="27"/>
          <w:color w:val="222222"/>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pStyle w:val="null3"/>
        <w:shd w:fill="FFFFFF"/>
        <w:spacing w:before="0" w:after="0"/>
        <w:ind w:left="0" w:right="0"/>
        <w:jc w:val="both"/>
      </w:pPr>
      <w:r>
        <w:rPr>
          <w:rFonts w:ascii="宋体" w:hAnsi="宋体" w:cs="宋体" w:eastAsia="宋体"/>
          <w:sz w:val="27"/>
          <w:b/>
          <w:color w:val="222222"/>
        </w:rPr>
        <w:t>六、知识产权归属</w:t>
      </w:r>
    </w:p>
    <w:p>
      <w:pPr>
        <w:pStyle w:val="null3"/>
        <w:shd w:fill="FFFFFF"/>
        <w:spacing w:before="0" w:after="0"/>
        <w:ind w:left="0" w:right="0"/>
        <w:jc w:val="both"/>
      </w:pPr>
      <w:r>
        <w:rPr>
          <w:rFonts w:ascii="宋体" w:hAnsi="宋体" w:cs="宋体" w:eastAsia="宋体"/>
          <w:sz w:val="27"/>
          <w:b/>
          <w:color w:val="222222"/>
        </w:rPr>
        <w:t>七、保密</w:t>
      </w:r>
    </w:p>
    <w:p>
      <w:pPr>
        <w:pStyle w:val="null3"/>
        <w:shd w:fill="FFFFFF"/>
        <w:spacing w:before="0" w:after="0"/>
        <w:ind w:left="0" w:right="0"/>
        <w:jc w:val="both"/>
      </w:pPr>
      <w:r>
        <w:rPr>
          <w:rFonts w:ascii="宋体" w:hAnsi="宋体" w:cs="宋体" w:eastAsia="宋体"/>
          <w:sz w:val="27"/>
          <w:b/>
          <w:color w:val="222222"/>
        </w:rPr>
        <w:t>八、违约责任与赔偿损失</w:t>
      </w:r>
    </w:p>
    <w:p>
      <w:pPr>
        <w:pStyle w:val="null3"/>
        <w:shd w:fill="FFFFFF"/>
        <w:spacing w:before="0" w:after="0"/>
        <w:ind w:left="0" w:right="0"/>
        <w:jc w:val="both"/>
      </w:pPr>
      <w:r>
        <w:rPr>
          <w:rFonts w:ascii="宋体" w:hAnsi="宋体" w:cs="宋体" w:eastAsia="宋体"/>
          <w:sz w:val="27"/>
          <w:color w:val="222222"/>
        </w:rPr>
        <w:t>　　1.乙方提供的服务不符合本合同规定的，甲方有权拒收，并且乙方须向甲方方支付本合同总价5%的违约金。</w:t>
      </w:r>
    </w:p>
    <w:p>
      <w:pPr>
        <w:pStyle w:val="null3"/>
        <w:shd w:fill="FFFFFF"/>
        <w:spacing w:before="0" w:after="0"/>
        <w:ind w:left="0" w:right="0"/>
        <w:jc w:val="both"/>
      </w:pPr>
      <w:r>
        <w:rPr>
          <w:rFonts w:ascii="宋体" w:hAnsi="宋体" w:cs="宋体" w:eastAsia="宋体"/>
          <w:sz w:val="27"/>
          <w:color w:val="222222"/>
        </w:rPr>
        <w:t>　　2.乙方未能按本合同规定的交货时间提供服务，从逾期之日起每日按本合同总价3‰的数额向甲方支付违约金；逾期半个月以上的，甲方有权终止合同，由此造成的甲方经济损失由乙方承担。</w:t>
      </w:r>
    </w:p>
    <w:p>
      <w:pPr>
        <w:pStyle w:val="null3"/>
        <w:shd w:fill="FFFFFF"/>
        <w:spacing w:before="0" w:after="0"/>
        <w:ind w:left="0" w:right="0"/>
        <w:jc w:val="both"/>
      </w:pPr>
      <w:r>
        <w:rPr>
          <w:rFonts w:ascii="宋体" w:hAnsi="宋体" w:cs="宋体" w:eastAsia="宋体"/>
          <w:sz w:val="27"/>
          <w:color w:val="222222"/>
        </w:rPr>
        <w:t>　　3.甲方无正当理由拒收接受服务，到期拒付服务款项的，甲方向乙方偿付本合同总的5%的违约金。甲方人逾期付款，则每日按本合同总价的3‰向乙方偿付违约金。</w:t>
      </w:r>
    </w:p>
    <w:p>
      <w:pPr>
        <w:pStyle w:val="null3"/>
        <w:shd w:fill="FFFFFF"/>
        <w:spacing w:before="0" w:after="0"/>
        <w:ind w:left="0" w:right="0"/>
        <w:jc w:val="both"/>
      </w:pPr>
      <w:r>
        <w:rPr>
          <w:rFonts w:ascii="宋体" w:hAnsi="宋体" w:cs="宋体" w:eastAsia="宋体"/>
          <w:sz w:val="27"/>
          <w:color w:val="222222"/>
        </w:rPr>
        <w:t>　　4.对于因甲方原因导致变更、中止或者终止政府采购合同的，甲方应当依照以下合同约定对供应商受到的损失予以赔偿或者补偿：</w:t>
      </w:r>
    </w:p>
    <w:p>
      <w:pPr>
        <w:pStyle w:val="null3"/>
        <w:shd w:fill="FFFFFF"/>
        <w:spacing w:before="0" w:after="0"/>
        <w:ind w:left="0" w:right="0"/>
        <w:jc w:val="both"/>
      </w:pP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p>
    <w:p>
      <w:pPr>
        <w:pStyle w:val="null3"/>
        <w:shd w:fill="FFFFFF"/>
        <w:spacing w:before="0" w:after="0"/>
        <w:ind w:left="0" w:right="0"/>
        <w:jc w:val="both"/>
      </w:pPr>
      <w:r>
        <w:rPr>
          <w:rFonts w:ascii="宋体" w:hAnsi="宋体" w:cs="宋体" w:eastAsia="宋体"/>
          <w:sz w:val="27"/>
          <w:color w:val="222222"/>
        </w:rPr>
        <w:t>　　5.其它违约责任按《</w:t>
      </w:r>
      <w:r>
        <w:rPr>
          <w:rFonts w:ascii="宋体" w:hAnsi="宋体" w:cs="宋体" w:eastAsia="宋体"/>
          <w:sz w:val="27"/>
          <w:color w:val="222222"/>
        </w:rPr>
        <w:t>中华人民共和国民法典(合同编)</w:t>
      </w:r>
      <w:r>
        <w:rPr>
          <w:rFonts w:ascii="宋体" w:hAnsi="宋体" w:cs="宋体" w:eastAsia="宋体"/>
          <w:sz w:val="27"/>
          <w:color w:val="222222"/>
        </w:rPr>
        <w:t>》处理。</w:t>
      </w:r>
    </w:p>
    <w:p>
      <w:pPr>
        <w:pStyle w:val="null3"/>
        <w:shd w:fill="FFFFFF"/>
        <w:spacing w:before="0" w:after="0"/>
        <w:ind w:left="0" w:right="0"/>
        <w:jc w:val="both"/>
      </w:pPr>
      <w:r>
        <w:rPr>
          <w:rFonts w:ascii="宋体" w:hAnsi="宋体" w:cs="宋体" w:eastAsia="宋体"/>
          <w:sz w:val="27"/>
          <w:b/>
          <w:color w:val="222222"/>
        </w:rPr>
        <w:t>九、争议的解决</w:t>
      </w:r>
    </w:p>
    <w:p>
      <w:pPr>
        <w:pStyle w:val="null3"/>
        <w:shd w:fill="FFFFFF"/>
        <w:spacing w:before="0" w:after="0"/>
        <w:ind w:left="0" w:right="0" w:firstLine="400"/>
        <w:jc w:val="both"/>
      </w:pPr>
      <w:r>
        <w:rPr>
          <w:rFonts w:ascii="宋体" w:hAnsi="宋体" w:cs="宋体" w:eastAsia="宋体"/>
          <w:sz w:val="27"/>
          <w:color w:val="222222"/>
        </w:rPr>
        <w:t>合同执行过程中发生的任何争议，如双方不能通过友好协商解决，按相关法律法规处理。</w:t>
      </w:r>
      <w:r>
        <w:rPr>
          <w:rFonts w:ascii="helvetica" w:hAnsi="helvetica" w:cs="helvetica" w:eastAsia="helvetica"/>
          <w:sz w:val="27"/>
          <w:color w:val="222222"/>
        </w:rPr>
        <w:t xml:space="preserve"> </w:t>
      </w:r>
      <w:r>
        <w:rPr>
          <w:rFonts w:ascii="宋体" w:hAnsi="宋体" w:cs="宋体" w:eastAsia="宋体"/>
          <w:sz w:val="27"/>
          <w:color w:val="222222"/>
        </w:rPr>
        <w:t xml:space="preserve"> </w:t>
      </w:r>
      <w:r>
        <w:rPr>
          <w:rFonts w:ascii="helvetica" w:hAnsi="helvetica" w:cs="helvetica" w:eastAsia="helvetica"/>
          <w:sz w:val="27"/>
          <w:color w:val="222222"/>
        </w:rPr>
        <w:t xml:space="preserve"> </w:t>
      </w:r>
      <w:r>
        <w:rPr>
          <w:rFonts w:ascii="helvetica" w:hAnsi="helvetica" w:cs="helvetica" w:eastAsia="helvetica"/>
          <w:sz w:val="27"/>
          <w:color w:val="222222"/>
        </w:rPr>
        <w:t xml:space="preserve"> </w:t>
      </w: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十、不可抗力</w:t>
      </w:r>
    </w:p>
    <w:p>
      <w:pPr>
        <w:pStyle w:val="null3"/>
        <w:shd w:fill="FFFFFF"/>
        <w:spacing w:before="0" w:after="0"/>
        <w:ind w:left="0" w:right="0"/>
        <w:jc w:val="both"/>
      </w:pPr>
      <w:r>
        <w:rPr>
          <w:rFonts w:ascii="宋体" w:hAnsi="宋体" w:cs="宋体" w:eastAsia="宋体"/>
          <w:sz w:val="27"/>
          <w:color w:val="222222"/>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shd w:fill="FFFFFF"/>
        <w:spacing w:before="0" w:after="0"/>
        <w:ind w:left="0" w:right="0"/>
        <w:jc w:val="both"/>
      </w:pPr>
      <w:r>
        <w:rPr>
          <w:rFonts w:ascii="宋体" w:hAnsi="宋体" w:cs="宋体" w:eastAsia="宋体"/>
          <w:sz w:val="27"/>
          <w:b/>
          <w:color w:val="222222"/>
        </w:rPr>
        <w:t>十一、税费</w:t>
      </w:r>
    </w:p>
    <w:p>
      <w:pPr>
        <w:pStyle w:val="null3"/>
        <w:shd w:fill="FFFFFF"/>
        <w:spacing w:before="0" w:after="0"/>
        <w:ind w:left="0" w:right="0"/>
        <w:jc w:val="both"/>
      </w:pPr>
      <w:r>
        <w:rPr>
          <w:rFonts w:ascii="宋体" w:hAnsi="宋体" w:cs="宋体" w:eastAsia="宋体"/>
          <w:sz w:val="27"/>
          <w:color w:val="222222"/>
        </w:rPr>
        <w:t>　　在中国境内、外发生的与本合同执行有关的一切税费均由乙方负担。</w:t>
      </w:r>
    </w:p>
    <w:p>
      <w:pPr>
        <w:pStyle w:val="null3"/>
        <w:shd w:fill="FFFFFF"/>
        <w:spacing w:before="0" w:after="0"/>
        <w:ind w:left="0" w:right="0"/>
        <w:jc w:val="both"/>
      </w:pPr>
      <w:r>
        <w:rPr>
          <w:rFonts w:ascii="宋体" w:hAnsi="宋体" w:cs="宋体" w:eastAsia="宋体"/>
          <w:sz w:val="27"/>
          <w:b/>
          <w:color w:val="222222"/>
        </w:rPr>
        <w:t>十二、其它</w:t>
      </w:r>
    </w:p>
    <w:p>
      <w:pPr>
        <w:pStyle w:val="null3"/>
        <w:shd w:fill="FFFFFF"/>
        <w:spacing w:before="0" w:after="0"/>
        <w:ind w:left="0" w:right="0"/>
        <w:jc w:val="both"/>
      </w:pPr>
      <w:r>
        <w:rPr>
          <w:rFonts w:ascii="宋体" w:hAnsi="宋体" w:cs="宋体" w:eastAsia="宋体"/>
          <w:sz w:val="27"/>
          <w:color w:val="222222"/>
        </w:rPr>
        <w:t>　　1.本合同所有附件、招标文件、投标文件、中标通知书均为合同的有效组成部分，与本合同具有同等法律效力。</w:t>
      </w:r>
    </w:p>
    <w:p>
      <w:pPr>
        <w:pStyle w:val="null3"/>
        <w:shd w:fill="FFFFFF"/>
        <w:spacing w:before="0" w:after="0"/>
        <w:ind w:left="0" w:right="0"/>
        <w:jc w:val="both"/>
      </w:pPr>
      <w:r>
        <w:rPr>
          <w:rFonts w:ascii="宋体" w:hAnsi="宋体" w:cs="宋体" w:eastAsia="宋体"/>
          <w:sz w:val="27"/>
          <w:color w:val="222222"/>
        </w:rPr>
        <w:t>　　2.在执行本合同的过程中，所有经双方签署确认的文件（包括会议纪要、补充协议、往来信函）即成为本合同的有效组成部分。</w:t>
      </w:r>
    </w:p>
    <w:p>
      <w:pPr>
        <w:pStyle w:val="null3"/>
        <w:shd w:fill="FFFFFF"/>
        <w:spacing w:before="0" w:after="0"/>
        <w:ind w:left="0" w:right="0"/>
        <w:jc w:val="both"/>
      </w:pPr>
      <w:r>
        <w:rPr>
          <w:rFonts w:ascii="宋体" w:hAnsi="宋体" w:cs="宋体" w:eastAsia="宋体"/>
          <w:sz w:val="27"/>
          <w:color w:val="222222"/>
        </w:rPr>
        <w:t>　　3.如一方地址、电话、传真号码有变更，应在变更当日内书面通知对方，否则，应承担相应责任。</w:t>
      </w:r>
    </w:p>
    <w:p>
      <w:pPr>
        <w:pStyle w:val="null3"/>
        <w:shd w:fill="FFFFFF"/>
        <w:spacing w:before="0" w:after="0"/>
        <w:ind w:left="0" w:right="0"/>
        <w:jc w:val="both"/>
      </w:pPr>
      <w:r>
        <w:rPr>
          <w:rFonts w:ascii="宋体" w:hAnsi="宋体" w:cs="宋体" w:eastAsia="宋体"/>
          <w:sz w:val="27"/>
          <w:color w:val="222222"/>
        </w:rPr>
        <w:t>　　4.除甲方事先书面同意外，乙方不得部分或全部转让其应履行的合同项下的义务。</w:t>
      </w:r>
    </w:p>
    <w:p>
      <w:pPr>
        <w:pStyle w:val="null3"/>
        <w:shd w:fill="FFFFFF"/>
        <w:spacing w:before="0" w:after="0"/>
        <w:ind w:left="0" w:right="0"/>
        <w:jc w:val="both"/>
      </w:pPr>
      <w:r>
        <w:rPr>
          <w:rFonts w:ascii="宋体" w:hAnsi="宋体" w:cs="宋体" w:eastAsia="宋体"/>
          <w:sz w:val="27"/>
          <w:b/>
          <w:color w:val="222222"/>
        </w:rPr>
        <w:t>十三、合同生效</w:t>
      </w:r>
    </w:p>
    <w:p>
      <w:pPr>
        <w:pStyle w:val="null3"/>
        <w:shd w:fill="FFFFFF"/>
        <w:spacing w:before="0" w:after="0"/>
        <w:ind w:left="0" w:right="0"/>
        <w:jc w:val="both"/>
      </w:pPr>
      <w:r>
        <w:rPr>
          <w:rFonts w:ascii="宋体" w:hAnsi="宋体" w:cs="宋体" w:eastAsia="宋体"/>
          <w:sz w:val="27"/>
          <w:color w:val="222222"/>
        </w:rPr>
        <w:t>　　1.本合同在甲乙双方法人代表或其授权代表签字盖章后生效。</w:t>
      </w:r>
    </w:p>
    <w:p>
      <w:pPr>
        <w:pStyle w:val="null3"/>
        <w:shd w:fill="FFFFFF"/>
        <w:spacing w:before="0" w:after="0"/>
        <w:ind w:left="0" w:right="0"/>
        <w:jc w:val="both"/>
      </w:pPr>
      <w:r>
        <w:rPr>
          <w:rFonts w:ascii="宋体" w:hAnsi="宋体" w:cs="宋体" w:eastAsia="宋体"/>
          <w:sz w:val="27"/>
          <w:color w:val="222222"/>
        </w:rPr>
        <w:t>　　2.合同一式</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rPr>
        <w:t xml:space="preserve"> </w:t>
      </w:r>
      <w:r>
        <w:rPr>
          <w:rFonts w:ascii="宋体" w:hAnsi="宋体" w:cs="宋体" w:eastAsia="宋体"/>
          <w:sz w:val="27"/>
          <w:color w:val="222222"/>
        </w:rPr>
        <w:t>份。</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甲方（盖章）：</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乙方（盖章）：</w:t>
      </w:r>
    </w:p>
    <w:p>
      <w:pPr>
        <w:pStyle w:val="null3"/>
        <w:shd w:fill="FFFFFF"/>
        <w:spacing w:before="0" w:after="0"/>
        <w:ind w:left="0" w:right="0"/>
        <w:jc w:val="both"/>
      </w:pPr>
      <w:r>
        <w:rPr>
          <w:rFonts w:ascii="宋体" w:hAnsi="宋体" w:cs="宋体" w:eastAsia="宋体"/>
          <w:sz w:val="27"/>
          <w:b/>
          <w:color w:val="222222"/>
        </w:rPr>
        <w:t>代表：</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代表：</w:t>
      </w:r>
    </w:p>
    <w:p>
      <w:pPr>
        <w:pStyle w:val="null3"/>
        <w:shd w:fill="FFFFFF"/>
        <w:spacing w:before="0" w:after="0"/>
        <w:ind w:left="0" w:right="0"/>
        <w:jc w:val="both"/>
      </w:pPr>
      <w:r>
        <w:rPr>
          <w:rFonts w:ascii="宋体" w:hAnsi="宋体" w:cs="宋体" w:eastAsia="宋体"/>
          <w:sz w:val="27"/>
          <w:color w:val="222222"/>
        </w:rPr>
        <w:t>签订地点：</w:t>
      </w:r>
    </w:p>
    <w:p>
      <w:pPr>
        <w:pStyle w:val="null3"/>
        <w:shd w:fill="FFFFFF"/>
        <w:spacing w:before="0" w:after="0"/>
        <w:ind w:left="0" w:right="0"/>
        <w:jc w:val="both"/>
      </w:pPr>
      <w:r>
        <w:rPr>
          <w:rFonts w:ascii="宋体" w:hAnsi="宋体" w:cs="宋体" w:eastAsia="宋体"/>
          <w:sz w:val="27"/>
          <w:color w:val="222222"/>
        </w:rPr>
        <w:t>签订日期：　　　年　　月　　日</w:t>
      </w:r>
      <w:r>
        <w:rPr>
          <w:rFonts w:ascii="宋体" w:hAnsi="宋体" w:cs="宋体" w:eastAsia="宋体"/>
          <w:sz w:val="27"/>
          <w:color w:val="222222"/>
        </w:rPr>
        <w:t xml:space="preserve"> </w:t>
      </w:r>
      <w:r>
        <w:rPr>
          <w:rFonts w:ascii="宋体" w:hAnsi="宋体" w:cs="宋体" w:eastAsia="宋体"/>
          <w:sz w:val="27"/>
          <w:color w:val="222222"/>
        </w:rPr>
        <w:t xml:space="preserve"> 签订日期：　　　年　　月　　日</w:t>
      </w:r>
    </w:p>
    <w:p>
      <w:pPr>
        <w:pStyle w:val="null3"/>
        <w:shd w:fill="FFFFFF"/>
        <w:spacing w:before="0" w:after="0"/>
        <w:ind w:left="0" w:right="0"/>
        <w:jc w:val="both"/>
      </w:pPr>
      <w:r>
        <w:rPr>
          <w:rFonts w:ascii="宋体" w:hAnsi="宋体" w:cs="宋体" w:eastAsia="宋体"/>
          <w:sz w:val="27"/>
          <w:color w:val="222222"/>
        </w:rPr>
        <w:t>开户名称：</w:t>
      </w:r>
    </w:p>
    <w:p>
      <w:pPr>
        <w:pStyle w:val="null3"/>
        <w:shd w:fill="FFFFFF"/>
        <w:spacing w:before="0" w:after="0"/>
        <w:ind w:left="0" w:right="0"/>
        <w:jc w:val="both"/>
      </w:pPr>
      <w:r>
        <w:rPr>
          <w:rFonts w:ascii="宋体" w:hAnsi="宋体" w:cs="宋体" w:eastAsia="宋体"/>
          <w:sz w:val="27"/>
          <w:color w:val="222222"/>
        </w:rPr>
        <w:t>银行帐号：</w:t>
      </w:r>
    </w:p>
    <w:p>
      <w:pPr>
        <w:pStyle w:val="null3"/>
        <w:shd w:fill="FFFFFF"/>
        <w:spacing w:before="0" w:after="0"/>
        <w:ind w:left="0" w:right="0"/>
        <w:jc w:val="both"/>
      </w:pPr>
      <w:r>
        <w:rPr>
          <w:rFonts w:ascii="宋体" w:hAnsi="宋体" w:cs="宋体" w:eastAsia="宋体"/>
          <w:sz w:val="27"/>
          <w:color w:val="222222"/>
        </w:rPr>
        <w:t>开 户 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440001-2024-44857</w:t>
      </w:r>
    </w:p>
    <w:p>
      <w:pPr>
        <w:pStyle w:val="null3"/>
        <w:jc w:val="center"/>
        <w:outlineLvl w:val="3"/>
      </w:pPr>
      <w:r>
        <w:rPr>
          <w:sz w:val="24"/>
          <w:b/>
        </w:rPr>
        <w:t>采购项目编号：</w:t>
      </w:r>
      <w:r>
        <w:rPr>
          <w:sz w:val="24"/>
          <w:b/>
        </w:rPr>
        <w:t>GPCGD241109FG319J</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广东省政府采购中心</w:t>
      </w:r>
    </w:p>
    <w:p>
      <w:pPr>
        <w:pStyle w:val="null3"/>
        <w:ind w:firstLine="480"/>
      </w:pPr>
      <w:r>
        <w:rPr/>
        <w:t xml:space="preserve"> 你方组织的</w:t>
      </w:r>
      <w:r>
        <w:rPr>
          <w:u w:val="single"/>
        </w:rPr>
        <w:t>“</w:t>
      </w:r>
      <w:r>
        <w:rPr>
          <w:u w:val="single"/>
        </w:rPr>
        <w:t>广东省生态环境厅固体废物环境监管信息平台运维运营（2024年）项目运维服务</w:t>
      </w:r>
      <w:r>
        <w:rPr>
          <w:u w:val="single"/>
        </w:rPr>
        <w:t>”</w:t>
      </w:r>
      <w:r>
        <w:rPr/>
        <w:t>项目的招标[采购项目编号为：</w:t>
      </w:r>
      <w:r>
        <w:rPr>
          <w:u w:val="single"/>
        </w:rPr>
        <w:t>GPCGD241109FG319J</w:t>
      </w:r>
      <w:r>
        <w:rPr/>
        <w:t>]，我方愿参与投标。</w:t>
      </w:r>
    </w:p>
    <w:p>
      <w:pPr>
        <w:pStyle w:val="null3"/>
        <w:ind w:firstLine="480"/>
      </w:pPr>
      <w:r>
        <w:rPr/>
        <w:t>我方确认收到贵方提供的</w:t>
      </w:r>
      <w:r>
        <w:rPr>
          <w:u w:val="single"/>
        </w:rPr>
        <w:t>“</w:t>
      </w:r>
      <w:r>
        <w:rPr>
          <w:u w:val="single"/>
        </w:rPr>
        <w:t>广东省生态环境厅固体废物环境监管信息平台运维运营（2024年）项目运维服务</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广东省生态环境厅固体废物环境监管信息平台运维运营（2024年）项目运维服务</w:t>
      </w:r>
      <w:r>
        <w:rPr/>
        <w:t>”项目采购[采购项目编号为</w:t>
      </w:r>
      <w:r>
        <w:rPr/>
        <w:t>GPCGD241109FG319J</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广东省固体废物和化学品环境中心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广东省政府采购中心</w:t>
      </w:r>
    </w:p>
    <w:p>
      <w:pPr>
        <w:pStyle w:val="null3"/>
        <w:ind w:firstLine="480"/>
      </w:pPr>
      <w:r>
        <w:rPr/>
        <w:t xml:space="preserve"> 如果我方在贵采购代理机构组织的</w:t>
      </w:r>
      <w:r>
        <w:rPr/>
        <w:t>广东省生态环境厅固体废物环境监管信息平台运维运营（2024年）项目运维服务</w:t>
      </w:r>
      <w:r>
        <w:rPr/>
        <w:t>招标中获中标（采购项目编号：</w:t>
      </w:r>
      <w:r>
        <w:rPr/>
        <w:t>GPCGD241109FG319J</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广东省生态环境厅固体废物环境监管信息平台运维运营（2024年）项目运维服务</w:t>
      </w:r>
      <w:r>
        <w:rPr/>
        <w:t>”项目（采购项目编号：</w:t>
      </w:r>
      <w:r>
        <w:rPr/>
        <w:t>GPCGD241109FG319J</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