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440001-2024-45668</w:t>
      </w:r>
    </w:p>
    <w:p>
      <w:pPr>
        <w:pStyle w:val="null3"/>
        <w:jc w:val="center"/>
        <w:outlineLvl w:val="3"/>
      </w:pPr>
      <w:r>
        <w:rPr>
          <w:sz w:val="24"/>
          <w:b/>
        </w:rPr>
        <w:t>采购项目编号：</w:t>
      </w:r>
      <w:r>
        <w:rPr>
          <w:sz w:val="24"/>
          <w:b/>
        </w:rPr>
        <w:t>GPCGD243109HG224J</w:t>
      </w:r>
    </w:p>
    <w:p>
      <w:pPr>
        <w:pStyle w:val="null3"/>
        <w:jc w:val="center"/>
        <w:outlineLvl w:val="3"/>
      </w:pPr>
      <w:r>
        <w:rPr>
          <w:sz w:val="24"/>
          <w:b/>
        </w:rPr>
        <w:t>项目名称：</w:t>
      </w:r>
      <w:r>
        <w:rPr>
          <w:sz w:val="24"/>
          <w:b/>
        </w:rPr>
        <w:t>广东省地图院图形工作站和移动工作站采购（2024年）</w:t>
      </w:r>
    </w:p>
    <w:p>
      <w:pPr>
        <w:pStyle w:val="null3"/>
        <w:jc w:val="center"/>
        <w:outlineLvl w:val="3"/>
      </w:pPr>
      <w:r>
        <w:rPr>
          <w:sz w:val="24"/>
          <w:b/>
        </w:rPr>
        <w:t>采购人：</w:t>
      </w:r>
      <w:r>
        <w:rPr>
          <w:sz w:val="24"/>
          <w:b/>
        </w:rPr>
        <w:t>广东省地图院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广东省地图院</w:t>
      </w:r>
      <w:r>
        <w:rPr/>
        <w:t>的委托，采用</w:t>
      </w:r>
      <w:r>
        <w:rPr/>
        <w:t>公开招标</w:t>
      </w:r>
      <w:r>
        <w:rPr/>
        <w:t>方式组织采购</w:t>
      </w:r>
      <w:r>
        <w:rPr/>
        <w:t>广东省地图院图形工作站和移动工作站采购（2024年）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广东省地图院图形工作站和移动工作站采购（2024年）</w:t>
      </w:r>
    </w:p>
    <w:p>
      <w:pPr>
        <w:pStyle w:val="null3"/>
        <w:ind w:firstLine="480"/>
      </w:pPr>
      <w:r>
        <w:rPr/>
        <w:t>采购计划编号：</w:t>
      </w:r>
      <w:r>
        <w:rPr/>
        <w:t>440001-2024-45668</w:t>
      </w:r>
    </w:p>
    <w:p>
      <w:pPr>
        <w:pStyle w:val="null3"/>
        <w:ind w:firstLine="480"/>
      </w:pPr>
      <w:r>
        <w:rPr/>
        <w:t>采购项目编号：</w:t>
      </w:r>
      <w:r>
        <w:rPr/>
        <w:t>GPCGD243109HG224J</w:t>
      </w:r>
    </w:p>
    <w:p>
      <w:pPr>
        <w:pStyle w:val="null3"/>
        <w:ind w:firstLine="480"/>
      </w:pPr>
      <w:r>
        <w:rPr/>
        <w:t>采购方式：</w:t>
      </w:r>
      <w:r>
        <w:rPr/>
        <w:t>公开招标</w:t>
      </w:r>
    </w:p>
    <w:p>
      <w:pPr>
        <w:pStyle w:val="null3"/>
        <w:ind w:firstLine="480"/>
      </w:pPr>
      <w:r>
        <w:rPr/>
        <w:t>预算金额：</w:t>
      </w:r>
      <w:r>
        <w:rPr/>
        <w:t>1,650,000.00</w:t>
      </w:r>
      <w:r>
        <w:rPr/>
        <w:t>元</w:t>
      </w:r>
    </w:p>
    <w:p>
      <w:pPr>
        <w:pStyle w:val="null3"/>
        <w:outlineLvl w:val="3"/>
      </w:pPr>
      <w:r>
        <w:rPr>
          <w:sz w:val="24"/>
          <w:b/>
        </w:rPr>
        <w:t>2.项目内容及需求情况（采购项目技术规格、参数及要求）</w:t>
      </w:r>
    </w:p>
    <w:p>
      <w:pPr>
        <w:pStyle w:val="null3"/>
      </w:pPr>
      <w:r>
        <w:rPr/>
        <w:t>采购包1(广东省地图院图形工作站和移动工作站采购（2024年）):</w:t>
      </w:r>
    </w:p>
    <w:p>
      <w:pPr>
        <w:pStyle w:val="null3"/>
      </w:pPr>
      <w:r>
        <w:rPr/>
        <w:t>采购包预算金额：1,650,000.00元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图形工作站</w:t>
            </w:r>
          </w:p>
        </w:tc>
        <w:tc>
          <w:tcPr>
            <w:tcW w:type="dxa" w:w="2136"/>
          </w:tcPr>
          <w:p>
            <w:pPr>
              <w:pStyle w:val="null3"/>
            </w:pPr>
            <w:r>
              <w:rPr/>
              <w:t>图形工作站</w:t>
            </w:r>
          </w:p>
        </w:tc>
        <w:tc>
          <w:tcPr>
            <w:tcW w:type="dxa" w:w="1187"/>
          </w:tcPr>
          <w:p>
            <w:pPr>
              <w:pStyle w:val="null3"/>
            </w:pPr>
            <w:r>
              <w:rPr/>
              <w:t>55(台)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移动工作站</w:t>
            </w:r>
          </w:p>
        </w:tc>
        <w:tc>
          <w:tcPr>
            <w:tcW w:type="dxa" w:w="2136"/>
          </w:tcPr>
          <w:p>
            <w:pPr>
              <w:pStyle w:val="null3"/>
            </w:pPr>
            <w:r>
              <w:rPr/>
              <w:t>移动工作站</w:t>
            </w:r>
          </w:p>
        </w:tc>
        <w:tc>
          <w:tcPr>
            <w:tcW w:type="dxa" w:w="1187"/>
          </w:tcPr>
          <w:p>
            <w:pPr>
              <w:pStyle w:val="null3"/>
            </w:pPr>
            <w:r>
              <w:rPr/>
              <w:t>11(台)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合同履行期限：合同生效之日起至2024年12月18日止。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声明（承诺具有依法缴纳税收和社会保障资金的良好记录）；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书面声明（承诺具有良好的商业信誉和健全的财务会计制度）；或提供经会计师事务所审计的投标人2023年度财务状况报告；或同时提供a.基本开户行出具的资信证明，b.《基本存款账号信息》或《开户许可证》。</w:t>
      </w:r>
    </w:p>
    <w:p>
      <w:pPr>
        <w:pStyle w:val="null3"/>
      </w:pPr>
      <w:r>
        <w:rPr/>
        <w:t>4）履行合同所必需的设备和专业技术能力：提供书面声明（承诺具备履行合同所必需的设备和专业技术能力）；或按投标（响应）文件格式填报设备及专业技术能力情况。</w:t>
      </w:r>
    </w:p>
    <w:p>
      <w:pPr>
        <w:pStyle w:val="null3"/>
      </w:pPr>
      <w:r>
        <w:rPr/>
        <w:t>5）参加采购活动前3年内，在经营活动中没有重大违法记录：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采购包1（广东省地图院图形工作站和移动工作站采购（2024年））：</w:t>
      </w:r>
    </w:p>
    <w:p>
      <w:pPr>
        <w:pStyle w:val="null3"/>
      </w:pPr>
      <w:r>
        <w:rPr/>
        <w:t>1)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广东省地图院</w:t>
      </w:r>
    </w:p>
    <w:p>
      <w:pPr>
        <w:pStyle w:val="null3"/>
        <w:ind w:firstLine="480"/>
      </w:pPr>
      <w:r>
        <w:rPr/>
        <w:t xml:space="preserve"> 地址：</w:t>
      </w:r>
      <w:r>
        <w:rPr/>
        <w:t>广州市越秀区环市东路468号1号办公楼</w:t>
      </w:r>
    </w:p>
    <w:p>
      <w:pPr>
        <w:pStyle w:val="null3"/>
        <w:ind w:firstLine="480"/>
      </w:pPr>
      <w:r>
        <w:rPr/>
        <w:t xml:space="preserve"> 联系方式：</w:t>
      </w:r>
      <w:r>
        <w:rPr/>
        <w:t>020-37628337</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采购项目编号：</w:t>
      </w:r>
      <w:r>
        <w:rPr>
          <w:sz w:val="21"/>
        </w:rPr>
        <w:t>GPCGD243109HG224J</w:t>
      </w:r>
    </w:p>
    <w:p>
      <w:pPr>
        <w:pStyle w:val="null3"/>
        <w:ind w:firstLine="420"/>
        <w:jc w:val="left"/>
      </w:pPr>
      <w:r>
        <w:rPr>
          <w:sz w:val="21"/>
        </w:rPr>
        <w:t>2.</w:t>
      </w:r>
      <w:r>
        <w:rPr>
          <w:sz w:val="21"/>
        </w:rPr>
        <w:t>采购项目名称：广东省地图院图形工作站和移动工作站采购（</w:t>
      </w:r>
      <w:r>
        <w:rPr>
          <w:sz w:val="21"/>
        </w:rPr>
        <w:t>2024</w:t>
      </w:r>
      <w:r>
        <w:rPr>
          <w:sz w:val="21"/>
        </w:rPr>
        <w:t>年）</w:t>
      </w:r>
    </w:p>
    <w:p>
      <w:pPr>
        <w:pStyle w:val="null3"/>
        <w:ind w:firstLine="420"/>
        <w:jc w:val="left"/>
      </w:pPr>
      <w:r>
        <w:rPr>
          <w:sz w:val="21"/>
        </w:rPr>
        <w:t>3.</w:t>
      </w:r>
      <w:r>
        <w:rPr>
          <w:sz w:val="21"/>
        </w:rPr>
        <w:t>采购人：广东省地图院</w:t>
      </w:r>
    </w:p>
    <w:p>
      <w:pPr>
        <w:pStyle w:val="null3"/>
        <w:ind w:firstLine="420"/>
        <w:jc w:val="left"/>
      </w:pPr>
      <w:r>
        <w:rPr>
          <w:sz w:val="21"/>
        </w:rPr>
        <w:t>4.</w:t>
      </w:r>
      <w:r>
        <w:rPr>
          <w:sz w:val="21"/>
        </w:rPr>
        <w:t>采购预算：</w:t>
      </w:r>
      <w:r>
        <w:rPr>
          <w:sz w:val="21"/>
        </w:rPr>
        <w:t>165</w:t>
      </w:r>
      <w:r>
        <w:rPr>
          <w:sz w:val="21"/>
        </w:rPr>
        <w:t>万元</w:t>
      </w:r>
    </w:p>
    <w:p>
      <w:pPr>
        <w:pStyle w:val="null3"/>
        <w:ind w:firstLine="420"/>
        <w:jc w:val="left"/>
      </w:pPr>
      <w:r>
        <w:rPr>
          <w:sz w:val="21"/>
        </w:rPr>
        <w:t>5.</w:t>
      </w:r>
      <w:r>
        <w:rPr>
          <w:sz w:val="21"/>
        </w:rPr>
        <w:t>采购方式：公开招标</w:t>
      </w:r>
    </w:p>
    <w:p>
      <w:pPr>
        <w:pStyle w:val="null3"/>
        <w:ind w:firstLine="420"/>
        <w:jc w:val="left"/>
      </w:pPr>
      <w:r>
        <w:rPr>
          <w:sz w:val="21"/>
        </w:rPr>
        <w:t>6.</w:t>
      </w:r>
      <w:r>
        <w:rPr>
          <w:sz w:val="21"/>
        </w:rPr>
        <w:t>项目内容及需求：（采购项目技术规格、参数及要求、需要落实的政府采购政策）</w:t>
      </w:r>
    </w:p>
    <w:tbl>
      <w:tblPr>
        <w:tblW w:w="0" w:type="auto"/>
        <w:tblBorders>
          <w:top w:val="none" w:color="000000" w:sz="4"/>
          <w:left w:val="none" w:color="000000" w:sz="4"/>
          <w:bottom w:val="none" w:color="000000" w:sz="4"/>
          <w:right w:val="none" w:color="000000" w:sz="4"/>
          <w:insideH w:val="none"/>
          <w:insideV w:val="none"/>
        </w:tblBorders>
      </w:tblPr>
      <w:tblGrid>
        <w:gridCol w:w="599"/>
        <w:gridCol w:w="1627"/>
        <w:gridCol w:w="1627"/>
        <w:gridCol w:w="771"/>
        <w:gridCol w:w="1284"/>
        <w:gridCol w:w="1113"/>
        <w:gridCol w:w="1284"/>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采购标的</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分项预算单价（万元）</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分项预算（万元）</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技术规格、参数及要求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A02010107</w:t>
            </w:r>
          </w:p>
          <w:p>
            <w:pPr>
              <w:pStyle w:val="null3"/>
              <w:jc w:val="center"/>
            </w:pPr>
            <w:r>
              <w:rPr>
                <w:sz w:val="21"/>
              </w:rPr>
              <w:t>图形工作站</w:t>
            </w:r>
          </w:p>
          <w:p>
            <w:pPr>
              <w:pStyle w:val="null3"/>
              <w:jc w:val="center"/>
            </w:p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图形工作站</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149.6</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color w:val="000000"/>
              </w:rPr>
              <w:t>详见技术和商务要求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A02010106</w:t>
            </w:r>
          </w:p>
          <w:p>
            <w:pPr>
              <w:pStyle w:val="null3"/>
              <w:jc w:val="center"/>
            </w:pPr>
            <w:r>
              <w:rPr>
                <w:sz w:val="21"/>
              </w:rPr>
              <w:t>移动工作站</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移动工作站</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15.4</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color w:val="000000"/>
              </w:rPr>
              <w:t>详见技术和商务要求</w:t>
            </w:r>
          </w:p>
        </w:tc>
      </w:tr>
    </w:tbl>
    <w:p>
      <w:pPr>
        <w:pStyle w:val="null3"/>
        <w:ind w:firstLine="420"/>
        <w:jc w:val="both"/>
      </w:pPr>
      <w:r>
        <w:rPr>
          <w:sz w:val="21"/>
        </w:rPr>
        <w:t>本项目不接受联合体投标，不允许转包或分包。</w:t>
      </w:r>
    </w:p>
    <w:p>
      <w:pPr>
        <w:pStyle w:val="null3"/>
        <w:ind w:firstLine="420"/>
        <w:jc w:val="both"/>
      </w:pPr>
      <w:r>
        <w:rPr>
          <w:sz w:val="21"/>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1"/>
        </w:rPr>
        <w:t>本项目属于货物类项目，中小企业划分标准所属行业为：工业。</w:t>
      </w:r>
    </w:p>
    <w:p>
      <w:pPr>
        <w:pStyle w:val="null3"/>
        <w:ind w:firstLine="420"/>
        <w:jc w:val="both"/>
      </w:pPr>
      <w:r>
        <w:rPr>
          <w:sz w:val="21"/>
        </w:rPr>
        <w:t>本项目属于非专门面向中小企业采购项目。</w:t>
      </w:r>
    </w:p>
    <w:p>
      <w:pPr>
        <w:pStyle w:val="null3"/>
        <w:jc w:val="center"/>
      </w:pPr>
      <w:r>
        <w:rPr>
          <w:sz w:val="28"/>
          <w:b/>
        </w:rPr>
        <w:t>用户需求书</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2"/>
        <w:jc w:val="both"/>
      </w:pPr>
      <w:r>
        <w:rPr>
          <w:sz w:val="21"/>
          <w:b/>
        </w:rPr>
        <w:t>供应商所投的产品，符合节能产品、环境标志产品政策要求的，按附件中《政策适用性说明》格式提供说明。</w:t>
      </w:r>
    </w:p>
    <w:p>
      <w:pPr>
        <w:pStyle w:val="null3"/>
        <w:ind w:firstLine="422"/>
        <w:jc w:val="both"/>
      </w:pPr>
      <w:r>
        <w:rPr>
          <w:sz w:val="21"/>
          <w:b/>
        </w:rPr>
        <w:t>一、项目背景</w:t>
      </w:r>
    </w:p>
    <w:p>
      <w:pPr>
        <w:pStyle w:val="null3"/>
        <w:ind w:firstLine="420"/>
        <w:jc w:val="both"/>
      </w:pPr>
      <w:r>
        <w:rPr>
          <w:sz w:val="21"/>
        </w:rPr>
        <w:t>为支撑</w:t>
      </w:r>
      <w:r>
        <w:rPr>
          <w:sz w:val="21"/>
        </w:rPr>
        <w:t>2024</w:t>
      </w:r>
      <w:r>
        <w:rPr>
          <w:sz w:val="21"/>
        </w:rPr>
        <w:t>年度省级基础测绘、广东省省级机关事业单位经营使用土地专项清查、广东省地表水资源基础调查监测体系建设、广东省自然资源调查监测图件编制和自然资源确权登记项目的建设，本项目采购</w:t>
      </w:r>
      <w:r>
        <w:rPr>
          <w:sz w:val="21"/>
        </w:rPr>
        <w:t>55</w:t>
      </w:r>
      <w:r>
        <w:rPr>
          <w:sz w:val="21"/>
        </w:rPr>
        <w:t>台图形工作站、</w:t>
      </w:r>
      <w:r>
        <w:rPr>
          <w:sz w:val="21"/>
        </w:rPr>
        <w:t>11</w:t>
      </w:r>
      <w:r>
        <w:rPr>
          <w:sz w:val="21"/>
        </w:rPr>
        <w:t>台移动工作站等货物，为相关项目提供作业装备，支撑相关工作的开展。</w:t>
      </w:r>
    </w:p>
    <w:p>
      <w:pPr>
        <w:pStyle w:val="null3"/>
        <w:ind w:firstLine="422"/>
        <w:jc w:val="both"/>
      </w:pPr>
      <w:r>
        <w:rPr>
          <w:sz w:val="21"/>
          <w:b/>
        </w:rPr>
        <w:t>二、项目预算</w:t>
      </w:r>
    </w:p>
    <w:p>
      <w:pPr>
        <w:pStyle w:val="null3"/>
        <w:ind w:firstLine="420"/>
        <w:jc w:val="both"/>
      </w:pPr>
      <w:r>
        <w:rPr>
          <w:sz w:val="21"/>
        </w:rPr>
        <w:t>本项目总预算为人民币壹佰陆拾伍万元整（¥1650000.00）。</w:t>
      </w:r>
    </w:p>
    <w:p>
      <w:pPr>
        <w:pStyle w:val="null3"/>
        <w:ind w:firstLine="422"/>
        <w:jc w:val="both"/>
      </w:pPr>
      <w:r>
        <w:rPr>
          <w:sz w:val="21"/>
          <w:b/>
        </w:rPr>
        <w:t>三、项目实施期限</w:t>
      </w:r>
    </w:p>
    <w:p>
      <w:pPr>
        <w:pStyle w:val="null3"/>
        <w:ind w:firstLine="420"/>
        <w:jc w:val="both"/>
      </w:pPr>
      <w:r>
        <w:rPr>
          <w:sz w:val="21"/>
        </w:rPr>
        <w:t>合同生效之日起至</w:t>
      </w:r>
      <w:r>
        <w:rPr>
          <w:sz w:val="21"/>
          <w:u w:val="single"/>
        </w:rPr>
        <w:t>2024</w:t>
      </w:r>
      <w:r>
        <w:rPr>
          <w:sz w:val="21"/>
        </w:rPr>
        <w:t>年</w:t>
      </w:r>
      <w:r>
        <w:rPr>
          <w:sz w:val="21"/>
          <w:u w:val="single"/>
        </w:rPr>
        <w:t>12</w:t>
      </w:r>
      <w:r>
        <w:rPr>
          <w:sz w:val="21"/>
        </w:rPr>
        <w:t>月</w:t>
      </w:r>
      <w:r>
        <w:rPr>
          <w:sz w:val="21"/>
          <w:u w:val="single"/>
        </w:rPr>
        <w:t>18</w:t>
      </w:r>
      <w:r>
        <w:rPr>
          <w:sz w:val="21"/>
        </w:rPr>
        <w:t>日止。</w:t>
      </w:r>
    </w:p>
    <w:p>
      <w:pPr>
        <w:pStyle w:val="null3"/>
        <w:ind w:firstLine="420"/>
        <w:jc w:val="both"/>
      </w:pPr>
      <w:r>
        <w:rPr>
          <w:sz w:val="21"/>
          <w:b/>
        </w:rPr>
        <w:t>四、采购标的</w:t>
      </w:r>
    </w:p>
    <w:p>
      <w:pPr>
        <w:pStyle w:val="null3"/>
        <w:ind w:firstLine="422"/>
        <w:jc w:val="both"/>
      </w:pPr>
      <w:r>
        <w:rPr>
          <w:sz w:val="21"/>
          <w:b/>
        </w:rPr>
        <w:t>（一）采购货物标的汇总表</w:t>
      </w:r>
    </w:p>
    <w:tbl>
      <w:tblPr>
        <w:tblW w:w="0" w:type="auto"/>
        <w:tblBorders>
          <w:top w:val="none" w:color="000000" w:sz="4"/>
          <w:left w:val="none" w:color="000000" w:sz="4"/>
          <w:bottom w:val="none" w:color="000000" w:sz="4"/>
          <w:right w:val="none" w:color="000000" w:sz="4"/>
          <w:insideH w:val="none"/>
          <w:insideV w:val="none"/>
        </w:tblBorders>
      </w:tblPr>
      <w:tblGrid>
        <w:gridCol w:w="514"/>
        <w:gridCol w:w="1541"/>
        <w:gridCol w:w="685"/>
        <w:gridCol w:w="685"/>
        <w:gridCol w:w="1199"/>
        <w:gridCol w:w="942"/>
        <w:gridCol w:w="1370"/>
        <w:gridCol w:w="1370"/>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采购标的</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计量单位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分项预算（万元）</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是否核心产品</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是否进口</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技术规格、参数及要求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图形工作站</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149.6</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color w:val="000000"/>
              </w:rPr>
              <w:t>详见采购文件</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移动工作站</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15.4</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color w:val="000000"/>
              </w:rPr>
              <w:t>详见采购文件</w:t>
            </w:r>
          </w:p>
          <w:p>
            <w:pPr>
              <w:pStyle w:val="null3"/>
              <w:jc w:val="center"/>
            </w:pPr>
          </w:p>
        </w:tc>
      </w:tr>
    </w:tbl>
    <w:p>
      <w:pPr>
        <w:pStyle w:val="null3"/>
        <w:jc w:val="both"/>
      </w:pPr>
      <w:r>
        <w:rPr>
          <w:sz w:val="21"/>
        </w:rPr>
        <w:t>★</w:t>
      </w:r>
      <w:r>
        <w:rPr>
          <w:sz w:val="21"/>
          <w:b/>
        </w:rPr>
        <w:t>供应商需根据采购货物标的提供分项报价，报价均含税。无分项报价或分项报价超过分项预算的报价为无效报价，具体预算构成见上表(《采购货物标的汇总表》)。</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1"/>
          <w:b/>
        </w:rPr>
        <w:t>投标时提供承诺，可参照“投标（响应）文件格式”中《承诺函》格式</w:t>
      </w:r>
      <w:r>
        <w:rPr>
          <w:sz w:val="21"/>
        </w:rPr>
        <w:t>）。</w:t>
      </w:r>
    </w:p>
    <w:p>
      <w:pPr>
        <w:pStyle w:val="null3"/>
        <w:ind w:firstLine="422"/>
        <w:jc w:val="both"/>
      </w:pPr>
      <w:r>
        <w:rPr>
          <w:sz w:val="21"/>
          <w:b/>
        </w:rPr>
        <w:t>★投标人须承诺所投设备均符合国家强制性要求。（投标时提供承诺，可参照“投标（响应）文件格式”中《承诺函》格式）。</w:t>
      </w:r>
    </w:p>
    <w:p>
      <w:pPr>
        <w:pStyle w:val="null3"/>
        <w:ind w:firstLine="422"/>
        <w:jc w:val="both"/>
      </w:pPr>
      <w:r>
        <w:rPr>
          <w:sz w:val="21"/>
          <w:b/>
        </w:rPr>
        <w:t>（二）配套服务</w:t>
      </w:r>
    </w:p>
    <w:p>
      <w:pPr>
        <w:pStyle w:val="null3"/>
        <w:ind w:firstLine="420"/>
        <w:jc w:val="both"/>
      </w:pPr>
      <w:r>
        <w:rPr>
          <w:sz w:val="21"/>
        </w:rPr>
        <w:t>安装调试服务和操作系统使用培训服务。</w:t>
      </w:r>
    </w:p>
    <w:p>
      <w:pPr>
        <w:pStyle w:val="null3"/>
        <w:ind w:firstLine="422"/>
        <w:jc w:val="both"/>
      </w:pPr>
      <w:r>
        <w:rPr>
          <w:sz w:val="21"/>
          <w:b/>
        </w:rPr>
        <w:t>五、技术和商务要求</w:t>
      </w:r>
    </w:p>
    <w:p>
      <w:pPr>
        <w:pStyle w:val="null3"/>
        <w:ind w:firstLine="422"/>
        <w:jc w:val="both"/>
      </w:pPr>
      <w:r>
        <w:rPr>
          <w:sz w:val="21"/>
          <w:b/>
        </w:rPr>
        <w:t>1.</w:t>
      </w:r>
      <w:r>
        <w:rPr>
          <w:sz w:val="21"/>
          <w:b/>
        </w:rPr>
        <w:t>技术指标要求</w:t>
      </w:r>
    </w:p>
    <w:p>
      <w:pPr>
        <w:pStyle w:val="null3"/>
        <w:ind w:firstLine="420"/>
        <w:jc w:val="both"/>
      </w:pPr>
      <w:r>
        <w:rPr>
          <w:sz w:val="21"/>
        </w:rPr>
        <w:t>（1）图形工作站</w:t>
      </w:r>
    </w:p>
    <w:tbl>
      <w:tblPr>
        <w:tblW w:w="0" w:type="auto"/>
        <w:tblBorders>
          <w:top w:val="single"/>
          <w:left w:val="single"/>
          <w:bottom w:val="single"/>
          <w:right w:val="single"/>
          <w:insideH w:val="single"/>
          <w:insideV w:val="single"/>
        </w:tblBorders>
      </w:tblPr>
      <w:tblGrid>
        <w:gridCol w:w="424"/>
        <w:gridCol w:w="678"/>
        <w:gridCol w:w="678"/>
        <w:gridCol w:w="1356"/>
        <w:gridCol w:w="5170"/>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指标分类</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一级指标</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二级指标</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处理器架构：兼容X86</w:t>
            </w:r>
          </w:p>
          <w:p>
            <w:pPr>
              <w:pStyle w:val="null3"/>
              <w:jc w:val="left"/>
            </w:pPr>
            <w:r>
              <w:rPr>
                <w:sz w:val="21"/>
                <w:color w:val="000000"/>
              </w:rPr>
              <w:t>物理核心数：≥8核</w:t>
            </w:r>
          </w:p>
          <w:p>
            <w:pPr>
              <w:pStyle w:val="null3"/>
              <w:jc w:val="left"/>
            </w:pPr>
            <w:r>
              <w:rPr>
                <w:sz w:val="21"/>
                <w:color w:val="000000"/>
              </w:rPr>
              <w:t>主频：≥3.0GHz</w:t>
            </w:r>
          </w:p>
          <w:p>
            <w:pPr>
              <w:pStyle w:val="null3"/>
              <w:jc w:val="left"/>
            </w:pPr>
            <w:r>
              <w:rPr>
                <w:sz w:val="21"/>
                <w:color w:val="000000"/>
              </w:rPr>
              <w:t>末级缓存容量：≥16MB三级缓存</w:t>
            </w:r>
          </w:p>
          <w:p>
            <w:pPr>
              <w:pStyle w:val="null3"/>
              <w:jc w:val="left"/>
            </w:pPr>
            <w:r>
              <w:rPr>
                <w:sz w:val="21"/>
                <w:color w:val="000000"/>
              </w:rPr>
              <w:t>线程数：≥16线程</w:t>
            </w:r>
          </w:p>
          <w:p>
            <w:pPr>
              <w:pStyle w:val="null3"/>
              <w:jc w:val="left"/>
            </w:pPr>
            <w:r>
              <w:rPr>
                <w:sz w:val="21"/>
                <w:color w:val="000000"/>
              </w:rPr>
              <w:t>内存最高频率：2933MT/s</w:t>
            </w:r>
          </w:p>
          <w:p>
            <w:pPr>
              <w:pStyle w:val="null3"/>
              <w:jc w:val="left"/>
            </w:pPr>
            <w:r>
              <w:rPr>
                <w:sz w:val="21"/>
                <w:color w:val="000000"/>
              </w:rPr>
              <w:t>通道数：≥2个内存通道</w:t>
            </w:r>
          </w:p>
          <w:p>
            <w:pPr>
              <w:pStyle w:val="null3"/>
              <w:jc w:val="left"/>
            </w:pPr>
            <w:r>
              <w:rPr>
                <w:sz w:val="21"/>
                <w:color w:val="000000"/>
              </w:rPr>
              <w:t>位宽：支持单条x64位宽内存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内存配置容量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支持DDR4或以上内存类型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内存条配置数量(板载内存不涉及)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主板规格</w:t>
            </w:r>
          </w:p>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主板集成模块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集成资源扩展模块、计算处理模块、音频扩展模块等，主板的互联拓扑可通过处理器或交换电路实现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主板支持的 CPU和内存情况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兼容X86架构的CPU,数量：1</w:t>
            </w:r>
          </w:p>
          <w:p>
            <w:pPr>
              <w:pStyle w:val="null3"/>
              <w:jc w:val="left"/>
            </w:pPr>
            <w:r>
              <w:rPr>
                <w:sz w:val="21"/>
                <w:color w:val="000000"/>
              </w:rPr>
              <w:t>内存：具体型号和数量根据实际配置确定，总容量最高支持到256GB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主板其他内置接口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≥4个SATA 3.0接口</w:t>
            </w:r>
          </w:p>
          <w:p>
            <w:pPr>
              <w:pStyle w:val="null3"/>
              <w:jc w:val="left"/>
            </w:pPr>
            <w:r>
              <w:rPr>
                <w:sz w:val="21"/>
                <w:color w:val="000000"/>
              </w:rPr>
              <w:t>≥2个M.2接口（1个M.2 WIFI，1个M.2 SSD）</w:t>
            </w:r>
          </w:p>
          <w:p>
            <w:pPr>
              <w:pStyle w:val="null3"/>
              <w:jc w:val="left"/>
            </w:pPr>
            <w:r>
              <w:rPr>
                <w:sz w:val="21"/>
                <w:color w:val="000000"/>
              </w:rPr>
              <w:t>≥10个USB接口</w:t>
            </w:r>
          </w:p>
          <w:p>
            <w:pPr>
              <w:pStyle w:val="null3"/>
              <w:jc w:val="left"/>
            </w:pPr>
            <w:r>
              <w:rPr>
                <w:sz w:val="21"/>
                <w:color w:val="000000"/>
              </w:rPr>
              <w:t>占用情况根据实际配置确定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单内存插槽最大可支持容量(板载内存不涉及)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内存插槽满配时提供的最高内存总容量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≥128GB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▲主板内置PCIe 插槽数量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支持数量≥3</w:t>
            </w:r>
          </w:p>
          <w:p>
            <w:pPr>
              <w:pStyle w:val="null3"/>
              <w:jc w:val="left"/>
            </w:pPr>
            <w:r>
              <w:rPr>
                <w:sz w:val="21"/>
              </w:rPr>
              <w:t>其中至少包括一个PCIex16和一个PCIex8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w:t>
            </w:r>
            <w:r>
              <w:rPr>
                <w:sz w:val="21"/>
              </w:rPr>
              <w:t>768GB</w:t>
            </w:r>
            <w:r>
              <w:rPr>
                <w:sz w:val="21"/>
              </w:rPr>
              <w:t>，其中</w:t>
            </w:r>
            <w:r>
              <w:rPr>
                <w:sz w:val="21"/>
              </w:rPr>
              <w:t>M.2 SSD</w:t>
            </w:r>
            <w:r>
              <w:rPr>
                <w:sz w:val="21"/>
              </w:rPr>
              <w:t>固态盘容量</w:t>
            </w:r>
            <w:r>
              <w:rPr>
                <w:sz w:val="21"/>
                <w:color w:val="000000"/>
              </w:rPr>
              <w:t>≥</w:t>
            </w:r>
            <w:r>
              <w:rPr>
                <w:sz w:val="21"/>
              </w:rPr>
              <w:t>512GB</w:t>
            </w:r>
            <w:r>
              <w:rPr>
                <w:sz w:val="21"/>
              </w:rPr>
              <w:t>，</w:t>
            </w:r>
            <w:r>
              <w:rPr>
                <w:sz w:val="21"/>
              </w:rPr>
              <w:t>SATA SSD</w:t>
            </w:r>
            <w:r>
              <w:rPr>
                <w:sz w:val="21"/>
              </w:rPr>
              <w:t>固态盘容量</w:t>
            </w:r>
            <w:r>
              <w:rPr>
                <w:sz w:val="21"/>
                <w:color w:val="000000"/>
              </w:rPr>
              <w:t>≥</w:t>
            </w:r>
            <w:r>
              <w:rPr>
                <w:sz w:val="21"/>
              </w:rPr>
              <w:t>256GB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机械硬盘转速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≥7200rpm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固态存储形态</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采用插卡或板载等形态，插卡形态宜符合M.2 或mSATA 等标准尺寸和接口定义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存储设备其他参数要求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）固态盘应符合SJ/T 11654 相关规定；</w:t>
            </w:r>
          </w:p>
          <w:p>
            <w:pPr>
              <w:pStyle w:val="null3"/>
              <w:jc w:val="left"/>
            </w:pPr>
            <w:r>
              <w:rPr>
                <w:sz w:val="21"/>
                <w:color w:val="000000"/>
              </w:rPr>
              <w:t>b</w:t>
            </w:r>
            <w:r>
              <w:rPr>
                <w:sz w:val="21"/>
                <w:color w:val="000000"/>
              </w:rPr>
              <w:t>）机械硬盘准备时间应不大于30s；侧面固定螺丝孔数量可为4孔或6孔；工作状态环境温度应满足5℃</w:t>
            </w:r>
            <w:r>
              <w:rPr>
                <w:sz w:val="21"/>
                <w:color w:val="000000"/>
              </w:rPr>
              <w:t>～</w:t>
            </w:r>
            <w:r>
              <w:rPr>
                <w:sz w:val="21"/>
                <w:color w:val="000000"/>
              </w:rPr>
              <w:t>55</w:t>
            </w:r>
            <w:r>
              <w:rPr>
                <w:sz w:val="21"/>
                <w:color w:val="000000"/>
              </w:rPr>
              <w:t>℃；其它参数应符合GB/T12628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带纠错码(ECC)的GDDR6</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★独立显卡显存位宽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显存位宽≥128bit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显存容量≥8GB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独立显卡接口协议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产品支持PCIe协议版本大于等于4.0的独立显卡接口协议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≥DP；≥HDMI*2 ；自带DP线缆</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★显示屏屏占比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≥3840×2160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显示屏可视角度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水平≥178°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≥27 英寸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显示屏屏幕比例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w:t>
            </w:r>
            <w:r>
              <w:rPr>
                <w:sz w:val="21"/>
                <w:color w:val="000000"/>
              </w:rPr>
              <w:t>：9</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显示器外观颜色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★显示屏防蓝光</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支持防蓝光模式，蓝光加权辐射亮度比应≤0.0012W/(·cd·sr) (瓦每坎特拉每球面度)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★显示屏低频闪</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显示屏应支持低频闪≤-35dB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★显示屏防炫目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显示屏镜面反射率≤10%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键盘按键数目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104</w:t>
            </w:r>
            <w:r>
              <w:rPr>
                <w:sz w:val="21"/>
                <w:color w:val="000000"/>
              </w:rPr>
              <w:t>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摄像头像素</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扬声器功率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扬声器频率范围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有线</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键盘键程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2.3mm</w:t>
            </w:r>
            <w:r>
              <w:rPr>
                <w:sz w:val="21"/>
                <w:color w:val="000000"/>
              </w:rPr>
              <w:t>～4.0mm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键盘按键压力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按键压力应在0.54 N±0.14N</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有线键盘连接线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键盘外观结构、连接方式、主要功能、安全、电磁兼容性、可靠性应符合 GB/T14081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标配USB接口有线鼠标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有线鼠标连接线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鼠标DPI 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 GB/T 26245的相关规定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sz w:val="21"/>
                <w:color w:val="000000"/>
              </w:rPr>
              <w:t>网络设备规格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有线网卡数量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，其中</w:t>
            </w:r>
            <w:r>
              <w:rPr>
                <w:sz w:val="21"/>
              </w:rPr>
              <w:t>1</w:t>
            </w:r>
            <w:r>
              <w:rPr>
                <w:sz w:val="21"/>
              </w:rPr>
              <w:t>张支持SFP+独立网卡，独立网卡网口均为光口（含光模块），网口数量≥2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产品规格</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外部接口规格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★USB接口数量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≥10个USB，其中≥6个USB3.0（整机自带非USB hub扩展）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音频接口数量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前置：1个音频输出，1个麦克风</w:t>
            </w:r>
          </w:p>
          <w:p>
            <w:pPr>
              <w:pStyle w:val="null3"/>
              <w:jc w:val="left"/>
            </w:pPr>
            <w:r>
              <w:rPr>
                <w:sz w:val="21"/>
              </w:rPr>
              <w:t>后置：1组音频输入/输出，1个麦克风</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▲故障诊断模块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内置PORT80</w:t>
            </w:r>
            <w:r>
              <w:rPr>
                <w:sz w:val="21"/>
              </w:rPr>
              <w:t>诊断灯（须承诺中标后与本项目采购人签订合同后2个工作日内提供原厂盖章证明材料）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整机基础规格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整机外观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产品表面不应有凹痕、划伤、裂缝、变形和污染等。表面涂层均匀， 不应起泡、龟裂、脱落和磨损， 金属零部件无锈蚀及其它机械损伤；</w:t>
            </w:r>
          </w:p>
          <w:p>
            <w:pPr>
              <w:pStyle w:val="null3"/>
              <w:jc w:val="left"/>
            </w:pPr>
            <w:r>
              <w:rPr>
                <w:sz w:val="21"/>
                <w:color w:val="000000"/>
              </w:rPr>
              <w:t xml:space="preserve">b) </w:t>
            </w:r>
            <w:r>
              <w:rPr>
                <w:sz w:val="21"/>
                <w:color w:val="000000"/>
              </w:rPr>
              <w:t>产品表面说明功能的文字、符号、标志， 应清晰、端正、牢固；</w:t>
            </w:r>
          </w:p>
          <w:p>
            <w:pPr>
              <w:pStyle w:val="null3"/>
              <w:jc w:val="left"/>
            </w:pPr>
            <w:r>
              <w:rPr>
                <w:sz w:val="21"/>
                <w:color w:val="000000"/>
              </w:rPr>
              <w:t xml:space="preserve">c) </w:t>
            </w:r>
            <w:r>
              <w:rPr>
                <w:sz w:val="21"/>
                <w:color w:val="000000"/>
              </w:rPr>
              <w:t>宜在产品显著位置提供运行状态指示功能，并由生产厂商提供详细参数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整机结构</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机箱应符合 GB/T 4208、GB/T 26246的相关规定；</w:t>
            </w:r>
          </w:p>
          <w:p>
            <w:pPr>
              <w:pStyle w:val="null3"/>
              <w:jc w:val="left"/>
            </w:pPr>
            <w:r>
              <w:rPr>
                <w:sz w:val="21"/>
                <w:color w:val="000000"/>
              </w:rPr>
              <w:t xml:space="preserve">b) </w:t>
            </w:r>
            <w:r>
              <w:rPr>
                <w:sz w:val="21"/>
                <w:color w:val="000000"/>
              </w:rPr>
              <w:t>产品内部结构应符合通用部件的安装需要；</w:t>
            </w:r>
          </w:p>
          <w:p>
            <w:pPr>
              <w:pStyle w:val="null3"/>
              <w:jc w:val="left"/>
            </w:pPr>
            <w:r>
              <w:rPr>
                <w:sz w:val="21"/>
                <w:color w:val="000000"/>
              </w:rPr>
              <w:t xml:space="preserve">c) </w:t>
            </w:r>
            <w:r>
              <w:rPr>
                <w:sz w:val="21"/>
                <w:color w:val="000000"/>
              </w:rPr>
              <w:t>所有输入输出接口应符合相关国家或行业标准；</w:t>
            </w:r>
          </w:p>
          <w:p>
            <w:pPr>
              <w:pStyle w:val="null3"/>
              <w:jc w:val="left"/>
            </w:pPr>
            <w:r>
              <w:rPr>
                <w:sz w:val="21"/>
                <w:color w:val="000000"/>
              </w:rPr>
              <w:t xml:space="preserve">d) </w:t>
            </w:r>
            <w:r>
              <w:rPr>
                <w:sz w:val="21"/>
                <w:color w:val="000000"/>
              </w:rPr>
              <w:t>产品零部件应紧固无松动， 可插拔部件应可靠连接， 开关、按钮和其它控制部件应灵活可靠， 布局应方便使用；</w:t>
            </w:r>
          </w:p>
          <w:p>
            <w:pPr>
              <w:pStyle w:val="null3"/>
              <w:jc w:val="left"/>
            </w:pPr>
            <w:r>
              <w:rPr>
                <w:sz w:val="21"/>
                <w:color w:val="000000"/>
              </w:rPr>
              <w:t xml:space="preserve">e) </w:t>
            </w:r>
            <w:r>
              <w:rPr>
                <w:sz w:val="21"/>
                <w:color w:val="000000"/>
              </w:rPr>
              <w:t>所有I/O连接器及需插接线缆的部位应预留用户操作空间，方便插拔解锁与插拔线缆；</w:t>
            </w:r>
          </w:p>
          <w:p>
            <w:pPr>
              <w:pStyle w:val="null3"/>
              <w:jc w:val="left"/>
            </w:pPr>
            <w:r>
              <w:rPr>
                <w:sz w:val="21"/>
                <w:color w:val="000000"/>
              </w:rPr>
              <w:t xml:space="preserve">f) </w:t>
            </w:r>
            <w:r>
              <w:rPr>
                <w:sz w:val="21"/>
                <w:color w:val="000000"/>
              </w:rPr>
              <w:t>可插拔板卡插槽部位应预留安装、拆卸或更换板卡空间；</w:t>
            </w:r>
          </w:p>
          <w:p>
            <w:pPr>
              <w:pStyle w:val="null3"/>
              <w:jc w:val="left"/>
            </w:pPr>
            <w:r>
              <w:rPr>
                <w:sz w:val="21"/>
                <w:color w:val="000000"/>
              </w:rPr>
              <w:t xml:space="preserve">g) </w:t>
            </w:r>
            <w:r>
              <w:rPr>
                <w:sz w:val="21"/>
                <w:color w:val="000000"/>
              </w:rPr>
              <w:t>拆装可能接触到的金属剪口或金属尖角部位应做防划伤处理，以保证安全;</w:t>
            </w:r>
          </w:p>
          <w:p>
            <w:pPr>
              <w:pStyle w:val="null3"/>
              <w:jc w:val="left"/>
            </w:pPr>
            <w:r>
              <w:rPr>
                <w:sz w:val="21"/>
                <w:color w:val="000000"/>
              </w:rPr>
              <w:t xml:space="preserve">h) </w:t>
            </w:r>
            <w:r>
              <w:rPr>
                <w:sz w:val="21"/>
                <w:color w:val="000000"/>
              </w:rPr>
              <w:t>整机内部走线应规整，固线结构和位置要合理可靠并做防割线处理，需便于理线和插拔操作，走线应不影响系统各主要部件组装和拆卸；</w:t>
            </w:r>
          </w:p>
          <w:p>
            <w:pPr>
              <w:pStyle w:val="null3"/>
              <w:jc w:val="left"/>
            </w:pPr>
            <w:r>
              <w:rPr>
                <w:sz w:val="21"/>
                <w:color w:val="000000"/>
              </w:rPr>
              <w:t xml:space="preserve">i) </w:t>
            </w:r>
            <w:r>
              <w:rPr>
                <w:sz w:val="21"/>
                <w:color w:val="000000"/>
              </w:rPr>
              <w:t>如需通过孔走线， 过线孔应做防割线处理；</w:t>
            </w:r>
          </w:p>
          <w:p>
            <w:pPr>
              <w:pStyle w:val="null3"/>
              <w:jc w:val="left"/>
            </w:pPr>
            <w:r>
              <w:rPr>
                <w:sz w:val="21"/>
                <w:color w:val="000000"/>
              </w:rPr>
              <w:t xml:space="preserve">j) </w:t>
            </w:r>
            <w:r>
              <w:rPr>
                <w:sz w:val="21"/>
                <w:color w:val="000000"/>
              </w:rPr>
              <w:t>各插头位置和插拔方向应合理， 应做到插拔无障碍设计， 具备防呆设计，有效避免误操作；</w:t>
            </w:r>
          </w:p>
          <w:p>
            <w:pPr>
              <w:pStyle w:val="null3"/>
              <w:jc w:val="left"/>
            </w:pPr>
            <w:r>
              <w:rPr>
                <w:sz w:val="21"/>
                <w:color w:val="000000"/>
              </w:rPr>
              <w:t xml:space="preserve">k) </w:t>
            </w:r>
            <w:r>
              <w:rPr>
                <w:sz w:val="21"/>
                <w:color w:val="000000"/>
              </w:rPr>
              <w:t>各主要部件拆装无障碍， 使用常规工具拆装， 无特殊拆装工具需求；</w:t>
            </w:r>
          </w:p>
          <w:p>
            <w:pPr>
              <w:pStyle w:val="null3"/>
              <w:jc w:val="left"/>
            </w:pPr>
            <w:r>
              <w:rPr>
                <w:sz w:val="21"/>
                <w:color w:val="000000"/>
              </w:rPr>
              <w:t xml:space="preserve">I) </w:t>
            </w:r>
            <w:r>
              <w:rPr>
                <w:sz w:val="21"/>
                <w:color w:val="000000"/>
              </w:rPr>
              <w:t>各主要部件拆装步骤要少， 各自拆装需避免相互干扰；</w:t>
            </w:r>
          </w:p>
          <w:p>
            <w:pPr>
              <w:pStyle w:val="null3"/>
              <w:jc w:val="left"/>
            </w:pPr>
            <w:r>
              <w:rPr>
                <w:sz w:val="21"/>
                <w:color w:val="000000"/>
              </w:rPr>
              <w:t xml:space="preserve">m) </w:t>
            </w:r>
            <w:r>
              <w:rPr>
                <w:sz w:val="21"/>
                <w:color w:val="000000"/>
              </w:rPr>
              <w:t>对于整机或零部件外表面为高亮面的，应粘贴保护膜，保护膜需粘贴牢固，运输、组装等过程不易脱落，撕下无残留；</w:t>
            </w:r>
          </w:p>
          <w:p>
            <w:pPr>
              <w:pStyle w:val="null3"/>
              <w:jc w:val="left"/>
            </w:pPr>
            <w:r>
              <w:rPr>
                <w:sz w:val="21"/>
                <w:color w:val="000000"/>
              </w:rPr>
              <w:t xml:space="preserve">n) </w:t>
            </w:r>
            <w:r>
              <w:rPr>
                <w:sz w:val="21"/>
                <w:color w:val="000000"/>
              </w:rPr>
              <w:t>其它要求应符合 GB/T 9813.1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机箱防护要求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机箱应符合 GB/T 4208 中 IP20 防护要求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整机噪音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产品工作在空闲状态下，产品的声功率级应不超过4.5 Bel</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整机散热</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在环境温度25℃及处理器满载情况下，产品表面温度应符合下列要求：</w:t>
            </w:r>
          </w:p>
          <w:p>
            <w:pPr>
              <w:pStyle w:val="null3"/>
              <w:jc w:val="left"/>
            </w:pPr>
            <w:r>
              <w:rPr>
                <w:sz w:val="21"/>
                <w:color w:val="000000"/>
              </w:rPr>
              <w:t xml:space="preserve">a) </w:t>
            </w:r>
            <w:r>
              <w:rPr>
                <w:sz w:val="21"/>
                <w:color w:val="000000"/>
              </w:rPr>
              <w:t>出风口在机箱后面板情况下， 出风口温度不高于55℃；</w:t>
            </w:r>
          </w:p>
          <w:p>
            <w:pPr>
              <w:pStyle w:val="null3"/>
              <w:jc w:val="left"/>
            </w:pPr>
            <w:r>
              <w:rPr>
                <w:sz w:val="21"/>
                <w:color w:val="000000"/>
              </w:rPr>
              <w:t xml:space="preserve">b) </w:t>
            </w:r>
            <w:r>
              <w:rPr>
                <w:sz w:val="21"/>
                <w:color w:val="000000"/>
              </w:rPr>
              <w:t>可触及面温度小于45℃；</w:t>
            </w:r>
          </w:p>
          <w:p>
            <w:pPr>
              <w:pStyle w:val="null3"/>
              <w:jc w:val="left"/>
            </w:pPr>
            <w:r>
              <w:rPr>
                <w:sz w:val="21"/>
                <w:color w:val="000000"/>
              </w:rPr>
              <w:t xml:space="preserve">c) </w:t>
            </w:r>
            <w:r>
              <w:rPr>
                <w:sz w:val="21"/>
                <w:color w:val="000000"/>
              </w:rPr>
              <w:t>显示器表面温度： 显示屏温度不高于 38℃，显示屏上下灯带位置温度(如涉及) 不高于40℃， 出风口温度不高于 45℃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整机能效限定值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产品能效限定值应达到 GB 28380-2012标准中能效等级 2 级及以上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机身颜色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黑色商务色系</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机箱尺寸容量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25L</w:t>
            </w:r>
            <w:r>
              <w:rPr>
                <w:sz w:val="21"/>
              </w:rPr>
              <w:t>≤机箱</w:t>
            </w:r>
            <w:r>
              <w:rPr>
                <w:sz w:val="21"/>
              </w:rPr>
              <w:t>体积</w:t>
            </w:r>
            <w:r>
              <w:rPr>
                <w:sz w:val="21"/>
              </w:rPr>
              <w:t>≤30L</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物理核数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≥8核，≥16线程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主频</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末级缓存容量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支持的内存最高速率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内存读写速率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≥4096×2160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★显卡显示芯片核心频率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≥1900MHz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★显存等效频率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★显卡可支持多屏同时显示数量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支持4块屏幕同时显示，分辨率应不低于4096×2160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★显示屏刷新率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★显示屏位深</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★显示屏色域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≥99% sRGB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★显示屏色准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△E ≤3</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★显示屏响应时间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≤6ms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★显示屏亮度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≥350 尼特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★显示屏亮度一致性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★显示屏对比度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 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显示屏其他参数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 SJ/T 11292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最高速率应不低于 1000Mbps, 应支持10Mbps、100Mbps、1000Mbps 速率自适应</w:t>
            </w:r>
          </w:p>
          <w:p>
            <w:pPr>
              <w:pStyle w:val="null3"/>
              <w:jc w:val="left"/>
            </w:pPr>
            <w:r>
              <w:rPr>
                <w:sz w:val="21"/>
              </w:rPr>
              <w:t>支持SFP+的独立网卡网口速率均不少于10GE</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内存扩展接口(板载内存不涉及)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主板USB瞬间过流保护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支持瞬间过流保护功能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主板防静电保护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支持防静电保护功能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I/O</w:t>
            </w:r>
            <w:r>
              <w:rPr>
                <w:sz w:val="21"/>
                <w:color w:val="000000"/>
              </w:rPr>
              <w:t>接口功能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基于标准USB接口外设连接功能、基于音频输入输出接口的音频扩展功能、基于PCIe接口板卡扩展功能、基于HDMI/VGA/Type-C/DVI/DP等接口外接显示器扩展功能、基于存储接口对产品进行增容功能等。工作站I/O接口应具备外接标准USB设备、显示器、音频设备等内外部设备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显卡外接显示接口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显卡支持DP显示接口, 并与显示器接口相匹配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显示器应与显卡外接显示接口匹配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显示器支架</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显示器应提供显示器支架，宜支持屏幕旋转、支架可升降等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显示器参数调节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提供OSD 选单按钮用于调节色彩、模式等；</w:t>
            </w:r>
          </w:p>
          <w:p>
            <w:pPr>
              <w:pStyle w:val="null3"/>
              <w:jc w:val="left"/>
            </w:pPr>
            <w:r>
              <w:rPr>
                <w:sz w:val="21"/>
                <w:color w:val="000000"/>
              </w:rPr>
              <w:t xml:space="preserve">b) </w:t>
            </w:r>
            <w:r>
              <w:rPr>
                <w:sz w:val="21"/>
                <w:color w:val="000000"/>
              </w:rPr>
              <w:t>支持色温、亮度、对比度调节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可选配SATA固态存储/SATA硬磁盘等存储部件提供存储功能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支持网络连接、网络开启/关闭功能；</w:t>
            </w:r>
          </w:p>
          <w:p>
            <w:pPr>
              <w:pStyle w:val="null3"/>
              <w:jc w:val="left"/>
            </w:pPr>
            <w:r>
              <w:rPr>
                <w:sz w:val="21"/>
                <w:color w:val="000000"/>
              </w:rPr>
              <w:t>b)</w:t>
            </w:r>
            <w:r>
              <w:rPr>
                <w:sz w:val="21"/>
                <w:color w:val="000000"/>
              </w:rPr>
              <w:t>支持访问网络和数据交换功能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数据传输</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支持数据传输能力，并提供数据流量和异常日志记录功能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支持RJ45 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网络设备拆装</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若配备的网络设备应支持物理拆装，包括无线网卡和蓝牙模块等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支持3.5mm孔径3段式或4段式接口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至少支持VGA、HDMI、DVI、DP、Type-C中1种显示接口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HDMI</w:t>
            </w:r>
            <w:r>
              <w:rPr>
                <w:sz w:val="21"/>
                <w:color w:val="000000"/>
              </w:rPr>
              <w:t>、DP、Type-C显示接口要求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提供HDMI或DP 或Type-C作为显示接口， 应支持音频和视频同步输出</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电源线适配能力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电源适配器电线组件应符合GB/T15934的要求， 可拆线的插头和连接器可以不做要求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操作系统及软件功能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中文信息处理要求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18030的相关规定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操作系统备份及还原功能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支持操作系统备份及还原功能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固件备份还原能力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支持备份及还原固件的功能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操作系统及驱动升级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BIOS </w:t>
            </w:r>
            <w:r>
              <w:rPr>
                <w:sz w:val="21"/>
                <w:color w:val="000000"/>
              </w:rPr>
              <w:t>支持关闭通讯接口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支持BIOS 关闭以太网及USB 接口功能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固件查看信息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支持查看固件版本、内存信息、主板信息、处理器信息和系统时间信息等功能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固件设置启动顺序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支持设置启动顺序功能，并按照设置的启动顺序启动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固件设置口令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支持设置口令、修改口令、验证口令功能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固件设置网络引导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支持网络引导启动和关闭功能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TBW</w:t>
            </w:r>
            <w:r>
              <w:rPr>
                <w:sz w:val="21"/>
                <w:color w:val="000000"/>
              </w:rPr>
              <w:t>≥80TB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通电时间≥5万小时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显示屏屏幕失效点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 9813.2 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键盘鼠标线材寿命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键盘鼠标所用线材经±60°弯折不低于 3000次，功能、外观完好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风扇寿命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整机可靠</w:t>
            </w:r>
          </w:p>
          <w:p>
            <w:pPr>
              <w:pStyle w:val="null3"/>
              <w:jc w:val="center"/>
            </w:pPr>
            <w:r>
              <w:rPr>
                <w:sz w:val="21"/>
                <w:color w:val="000000"/>
              </w:rPr>
              <w:t>性要求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电磁兼容性要求的抗扰度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9254.2 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环境条件要求的气候环境适应性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环境条件要求的振动适应性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环境条件要求的冲击适应性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环境条件要求的碰撞适应性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环境条件要求的运输包装件跌落适应性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MTBF </w:t>
            </w:r>
            <w:r>
              <w:rPr>
                <w:sz w:val="21"/>
                <w:color w:val="000000"/>
              </w:rPr>
              <w:t>测试</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MTBF(m1)</w:t>
            </w:r>
            <w:r>
              <w:rPr>
                <w:sz w:val="21"/>
                <w:color w:val="000000"/>
              </w:rPr>
              <w:t>≥25万小时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常用软件兼容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应支持流式软件、版式软件、浏览器、邮件客户端、解压软件、多媒体、图形图像处理等常用软件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数据库兼容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中间件兼容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平台软件兼容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兼容3个及以上厂商云计算及大数据平台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w:t>
            </w:r>
          </w:p>
          <w:p>
            <w:pPr>
              <w:pStyle w:val="null3"/>
              <w:jc w:val="center"/>
            </w:pPr>
            <w:r>
              <w:rPr>
                <w:sz w:val="21"/>
                <w:color w:val="000000"/>
              </w:rPr>
              <w:t>输要求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标志、包装、运输和贮存</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GB/T9813.1 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配置检查工具</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提供自检测试工具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服务响应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供应商提供电话、电子邮件、远程连接等多种形式政企专线7*24在线服务；</w:t>
            </w:r>
          </w:p>
          <w:p>
            <w:pPr>
              <w:pStyle w:val="null3"/>
              <w:jc w:val="left"/>
            </w:pPr>
            <w:r>
              <w:rPr>
                <w:sz w:val="21"/>
              </w:rPr>
              <w:t>b)</w:t>
            </w:r>
            <w:r>
              <w:rPr>
                <w:sz w:val="21"/>
              </w:rPr>
              <w:t>供应商提供同城4h、异地12h 技术响应服务，2 个工作日解决问题，对于未能解决的问题和故障应提供可行的升级方案，并提供周转设备或更换设备；</w:t>
            </w:r>
          </w:p>
          <w:p>
            <w:pPr>
              <w:pStyle w:val="null3"/>
              <w:jc w:val="left"/>
            </w:pPr>
            <w:r>
              <w:rPr>
                <w:sz w:val="21"/>
              </w:rPr>
              <w:t>c)</w:t>
            </w:r>
            <w:r>
              <w:rPr>
                <w:sz w:val="21"/>
              </w:rPr>
              <w:t>建立全国技术服务体系和服务团体，符合专业服务体系标准要求，提供原厂中文服务；</w:t>
            </w:r>
          </w:p>
          <w:p>
            <w:pPr>
              <w:pStyle w:val="null3"/>
              <w:jc w:val="left"/>
            </w:pPr>
            <w:r>
              <w:rPr>
                <w:sz w:val="21"/>
              </w:rPr>
              <w:t>d)</w:t>
            </w:r>
            <w:r>
              <w:rPr>
                <w:sz w:val="21"/>
              </w:rPr>
              <w:t>服务周期内提供产品的维修、换件和升级服务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服务周期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支持产品延保≥3年。</w:t>
            </w:r>
          </w:p>
          <w:p>
            <w:pPr>
              <w:pStyle w:val="null3"/>
              <w:jc w:val="left"/>
            </w:pPr>
            <w:r>
              <w:rPr>
                <w:sz w:val="21"/>
                <w:color w:val="000000"/>
              </w:rPr>
              <w:t>提供每年延保服务报价。</w:t>
            </w:r>
          </w:p>
          <w:p>
            <w:pPr>
              <w:pStyle w:val="null3"/>
              <w:jc w:val="left"/>
            </w:pPr>
            <w:r>
              <w:rPr>
                <w:sz w:val="21"/>
                <w:color w:val="000000"/>
              </w:rPr>
              <w:t>提供备件服务能力≥6年（自购买之日起）。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预装操作系统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预装符合桌面操作系统政府采购需求标准、通过安全可靠测评的正版统信UOS V20操作系统（内核版本5.10），并提供不小于一年升级服务。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培训服务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典型问题解决手册</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供应商提供典型问题解决说明文档或视频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厂家升级软件与扩容服务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供应商提供上门升级部件/软件的增值服务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整机质量服务要求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免费服务周期（含换件和维修）≥3年，免费服务周期内硬盘损坏更换免回收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合格证书要求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供应商提供产品合格证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开箱组装/使用指导要求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供应商提供开箱组装/使用指导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驱动下载服务要求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供应商提供驱动光盘或下载方式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兼容适配软件下载服务要求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供应商提供兼容适配软件下载渠道(光盘、网站)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供应链合规性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产品部件保障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保障产品主要部件提供不少于6年的备件服务能力(自购买之日起)，或提供可兼容原设备的升级换代产品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供应链质量</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抗干扰性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当产品部件出现供应风险时，供应商应通知采购人并提供风险应对方案确保产品的服务保障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供应能力证明</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供应商提供供应链稳定承诺书，确保产品的部件在产品服务周期内稳定供货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关键部件安全要求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和操作系统等关键部件应符合安全可靠测评要求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整机安全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密码算法实现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芯片应符合GM/T 0008的相关规定,或芯片密码模块应符合 GB/T 37092 或GM/T 0028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信息安全基本要求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应符合 GB/T 39276 的5.2的规定；</w:t>
            </w:r>
          </w:p>
          <w:p>
            <w:pPr>
              <w:pStyle w:val="null3"/>
              <w:jc w:val="left"/>
            </w:pPr>
            <w:r>
              <w:rPr>
                <w:sz w:val="21"/>
                <w:color w:val="000000"/>
              </w:rPr>
              <w:t xml:space="preserve">b) </w:t>
            </w:r>
            <w:r>
              <w:rPr>
                <w:sz w:val="21"/>
                <w:color w:val="000000"/>
              </w:rPr>
              <w:t>生产厂商应建立漏洞跟踪表， 保证产品版本涉及到的漏洞(如驱动程序等)可查看；</w:t>
            </w:r>
          </w:p>
          <w:p>
            <w:pPr>
              <w:pStyle w:val="null3"/>
              <w:jc w:val="left"/>
            </w:pPr>
            <w:r>
              <w:rPr>
                <w:sz w:val="21"/>
                <w:color w:val="000000"/>
              </w:rPr>
              <w:t xml:space="preserve">c) </w:t>
            </w:r>
            <w:r>
              <w:rPr>
                <w:sz w:val="21"/>
                <w:color w:val="000000"/>
              </w:rPr>
              <w:t>产品不得包含已知的恶意代码或漏洞，不存在未声明的指令、功能、接口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固件安全启动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支持固件安全启动功能，固件启动过程中只有通过启动校验才能正常启动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限用物质的限量要求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26572 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“★”条款说明：供应商在投标时出具关于所提供的“图形工作站”是否满足采购文件要求的承诺函（上述“★”指标应逐项响应，可参照“格式”中承诺函》格式）。</w:t>
            </w:r>
          </w:p>
          <w:p>
            <w:pPr>
              <w:pStyle w:val="null3"/>
              <w:jc w:val="left"/>
            </w:pPr>
            <w:r>
              <w:rPr>
                <w:sz w:val="21"/>
                <w:color w:val="000000"/>
              </w:rPr>
              <w:t>提醒：</w:t>
            </w:r>
            <w:r>
              <w:rPr>
                <w:sz w:val="21"/>
                <w:color w:val="000000"/>
              </w:rPr>
              <w:t>供应商应实事求是响应本项目所列要求，如有虚假承诺，采购人将以供应商违反《中华人民共和国政府采购法》第七十七条</w:t>
            </w:r>
            <w:r>
              <w:rPr>
                <w:sz w:val="21"/>
                <w:color w:val="333333"/>
                <w:shd w:fill="FFFFFF" w:val="clear"/>
              </w:rPr>
              <w:t>第一款规定“</w:t>
            </w:r>
            <w:r>
              <w:rPr>
                <w:sz w:val="21"/>
                <w:color w:val="333333"/>
                <w:shd w:fill="FFFFFF" w:val="clear"/>
              </w:rPr>
              <w:t>提供虚假材料谋取中标、成交的</w:t>
            </w:r>
            <w:r>
              <w:rPr>
                <w:sz w:val="21"/>
                <w:color w:val="333333"/>
                <w:shd w:fill="FFFFFF" w:val="clear"/>
              </w:rPr>
              <w:t>”情况</w:t>
            </w:r>
            <w:r>
              <w:rPr>
                <w:sz w:val="21"/>
                <w:color w:val="000000"/>
              </w:rPr>
              <w:t>上报政府采购监管部门，供应商将被列入不良行为记录名单，在一至三年内禁止参加政府采购活动。</w:t>
            </w:r>
          </w:p>
        </w:tc>
      </w:tr>
    </w:tbl>
    <w:p>
      <w:pPr>
        <w:pStyle w:val="null3"/>
        <w:ind w:firstLine="420"/>
        <w:jc w:val="both"/>
      </w:pPr>
      <w:r>
        <w:rPr>
          <w:sz w:val="21"/>
        </w:rPr>
        <w:t>（2）移动工作站</w:t>
      </w:r>
    </w:p>
    <w:tbl>
      <w:tblPr>
        <w:tblW w:w="0" w:type="auto"/>
        <w:tblBorders>
          <w:top w:val="single"/>
          <w:left w:val="single"/>
          <w:bottom w:val="single"/>
          <w:right w:val="single"/>
          <w:insideH w:val="single"/>
          <w:insideV w:val="single"/>
        </w:tblBorders>
      </w:tblPr>
      <w:tblGrid>
        <w:gridCol w:w="424"/>
        <w:gridCol w:w="678"/>
        <w:gridCol w:w="678"/>
        <w:gridCol w:w="1356"/>
        <w:gridCol w:w="5170"/>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指标分类</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一级指标</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二级指标</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处理器架构：兼容X86</w:t>
            </w:r>
          </w:p>
          <w:p>
            <w:pPr>
              <w:pStyle w:val="null3"/>
              <w:jc w:val="left"/>
            </w:pPr>
            <w:r>
              <w:rPr>
                <w:sz w:val="21"/>
                <w:color w:val="000000"/>
              </w:rPr>
              <w:t>物理核心数：≥8核</w:t>
            </w:r>
          </w:p>
          <w:p>
            <w:pPr>
              <w:pStyle w:val="null3"/>
              <w:jc w:val="left"/>
            </w:pPr>
            <w:r>
              <w:rPr>
                <w:sz w:val="21"/>
                <w:color w:val="000000"/>
              </w:rPr>
              <w:t>主频：≥2.3GHz，</w:t>
            </w:r>
            <w:r>
              <w:rPr>
                <w:sz w:val="21"/>
              </w:rPr>
              <w:t>支持睿频加速功能，支持超线程技术</w:t>
            </w:r>
          </w:p>
          <w:p>
            <w:pPr>
              <w:pStyle w:val="null3"/>
              <w:jc w:val="left"/>
            </w:pPr>
            <w:r>
              <w:rPr>
                <w:sz w:val="21"/>
                <w:color w:val="000000"/>
              </w:rPr>
              <w:t>末级缓存容量：≥16MB三级缓存</w:t>
            </w:r>
          </w:p>
          <w:p>
            <w:pPr>
              <w:pStyle w:val="null3"/>
              <w:jc w:val="left"/>
            </w:pPr>
            <w:r>
              <w:rPr>
                <w:sz w:val="21"/>
                <w:color w:val="000000"/>
              </w:rPr>
              <w:t>线程数：≥16线程</w:t>
            </w:r>
          </w:p>
          <w:p>
            <w:pPr>
              <w:pStyle w:val="null3"/>
              <w:jc w:val="left"/>
            </w:pPr>
            <w:r>
              <w:rPr>
                <w:sz w:val="21"/>
                <w:color w:val="000000"/>
              </w:rPr>
              <w:t>功耗：≥25W</w:t>
            </w:r>
          </w:p>
          <w:p>
            <w:pPr>
              <w:pStyle w:val="null3"/>
              <w:jc w:val="left"/>
            </w:pPr>
            <w:r>
              <w:rPr>
                <w:sz w:val="21"/>
                <w:color w:val="000000"/>
              </w:rPr>
              <w:t>内存最高频率：2933MT/s</w:t>
            </w:r>
          </w:p>
          <w:p>
            <w:pPr>
              <w:pStyle w:val="null3"/>
              <w:jc w:val="left"/>
            </w:pPr>
            <w:r>
              <w:rPr>
                <w:sz w:val="21"/>
                <w:color w:val="000000"/>
              </w:rPr>
              <w:t>通道数：≥2个内存通道</w:t>
            </w:r>
          </w:p>
          <w:p>
            <w:pPr>
              <w:pStyle w:val="null3"/>
              <w:jc w:val="left"/>
            </w:pPr>
            <w:r>
              <w:rPr>
                <w:sz w:val="21"/>
                <w:color w:val="000000"/>
              </w:rPr>
              <w:t>位宽：支持单条x64位宽内存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内存配置容量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支持DDR4或以上内存类型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内存条配置数量(板载内存不涉及)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主板规格</w:t>
            </w:r>
          </w:p>
          <w:p>
            <w:pPr>
              <w:pStyle w:val="null3"/>
              <w:jc w:val="center"/>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主板集成模块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集成资源扩展模块、计算处理模块、音频扩展模块等，主板的互联拓扑可通过处理器或交换电路实现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主板支持的 CPU和内存情况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兼容X86架构的CPU,数量：1</w:t>
            </w:r>
          </w:p>
          <w:p>
            <w:pPr>
              <w:pStyle w:val="null3"/>
              <w:jc w:val="left"/>
            </w:pPr>
            <w:r>
              <w:rPr>
                <w:sz w:val="21"/>
                <w:color w:val="000000"/>
              </w:rPr>
              <w:t>内存：具体型号和数量根据实际配置确定，总容量最高支持到32GB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★主板其他内置接口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≥2个USB 3.0接口</w:t>
            </w:r>
          </w:p>
          <w:p>
            <w:pPr>
              <w:pStyle w:val="null3"/>
              <w:jc w:val="left"/>
            </w:pPr>
            <w:r>
              <w:rPr>
                <w:sz w:val="21"/>
              </w:rPr>
              <w:t>≥2个USB Type-C接口(其中一个支持屏幕扩展)</w:t>
            </w:r>
          </w:p>
          <w:p>
            <w:pPr>
              <w:pStyle w:val="null3"/>
              <w:jc w:val="left"/>
            </w:pPr>
            <w:r>
              <w:rPr>
                <w:sz w:val="21"/>
              </w:rPr>
              <w:t>≥1个HDMI type-A（HDMI 2.0）接口</w:t>
            </w:r>
          </w:p>
          <w:p>
            <w:pPr>
              <w:pStyle w:val="null3"/>
              <w:jc w:val="left"/>
            </w:pPr>
            <w:r>
              <w:rPr>
                <w:sz w:val="21"/>
              </w:rPr>
              <w:t>≥1个3.5mm Audio Jack</w:t>
            </w:r>
          </w:p>
          <w:p>
            <w:pPr>
              <w:pStyle w:val="null3"/>
              <w:jc w:val="left"/>
            </w:pPr>
            <w:r>
              <w:rPr>
                <w:sz w:val="21"/>
              </w:rPr>
              <w:t>占用情况根据实际配置确定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单内存插槽最大可支持容量(板载内存不涉及)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内存插槽满配时提供的最高内存总容量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存储设备规格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C00000"/>
                <w:shd w:fill="C0C0C0" w:val="clear"/>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★固态存储容量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固态存储形态</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采用插卡形态，支持M.2标准尺寸和接口协议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★存储设备扩展盘位</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存储设备其他参数要求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）固态盘应符合SJ/T 11654相关规定；</w:t>
            </w:r>
          </w:p>
          <w:p>
            <w:pPr>
              <w:pStyle w:val="null3"/>
              <w:jc w:val="left"/>
            </w:pPr>
            <w:r>
              <w:rPr>
                <w:sz w:val="21"/>
                <w:color w:val="000000"/>
              </w:rPr>
              <w:t>b</w:t>
            </w:r>
            <w:r>
              <w:rPr>
                <w:sz w:val="21"/>
                <w:color w:val="000000"/>
              </w:rPr>
              <w:t>）如有机械硬盘，机械硬盘准备时间应不大于30s；侧面固定螺丝孔数量可为4孔或6孔；工作状态环境温度应满足 5℃～55℃；其它参数应符合GB/T12628的相关规定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LPDDR4X</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▲独立显卡显存位宽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显存位宽≥64位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▲独立显卡显存容量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显存容量≥4GB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▲独立显卡接口协议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产品支持PCIe协议版本大于等于3.0的独立显卡接口协议（须承诺中标后与采购人签订合同后</w:t>
            </w:r>
            <w:r>
              <w:rPr>
                <w:sz w:val="21"/>
              </w:rPr>
              <w:t>2</w:t>
            </w:r>
            <w:r>
              <w:rPr>
                <w:sz w:val="21"/>
              </w:rPr>
              <w:t>个工作日内</w:t>
            </w:r>
            <w:r>
              <w:rPr>
                <w:sz w:val="21"/>
              </w:rPr>
              <w:t>提供原厂盖章证明材料）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显示屏屏占比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≥1920x1080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≥14 英寸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显示屏屏幕比例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w:t>
            </w:r>
            <w:r>
              <w:rPr>
                <w:sz w:val="21"/>
                <w:color w:val="000000"/>
              </w:rPr>
              <w:t>：10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显示屏防蓝光</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支持防蓝光模式，蓝光加权辐射亮度比应≤0.0012W/(·cd·sr) (瓦每坎特拉每球面度)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显示屏低频闪</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显示屏应支持低频闪≤-35dB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显示屏防炫目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显示屏镜面反射率≤10%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触控板数量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键盘按键数目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62 </w:t>
            </w:r>
            <w:r>
              <w:rPr>
                <w:sz w:val="21"/>
                <w:color w:val="000000"/>
              </w:rPr>
              <w:t>键/84 键/105键等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摄像头像素</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≥1280</w:t>
            </w:r>
            <w:r>
              <w:rPr>
                <w:sz w:val="21"/>
                <w:color w:val="000000"/>
              </w:rPr>
              <w:t>×</w:t>
            </w:r>
            <w:r>
              <w:rPr>
                <w:sz w:val="21"/>
                <w:color w:val="000000"/>
              </w:rPr>
              <w:t>720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color w:val="000000"/>
              </w:rPr>
              <w:t>扬声器功率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≥1瓦/个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color w:val="000000"/>
              </w:rPr>
              <w:t>扬声器频率范围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100Hz-20kHz</w:t>
            </w:r>
            <w:r>
              <w:rPr>
                <w:sz w:val="21"/>
                <w:color w:val="000000"/>
              </w:rPr>
              <w:t>，其中 100Hz-200Hz：35dB 及以上；200Hz-12kHz：55dB及以上，12kHz-18kHz：35dB 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★内置扬声器总谐波失真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总谐波失真在300Hz-7kHz频率范围内宜不高于 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★内置扬声器最大声压级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最大声压级在粉红噪声播放场景下，工作距离处声压级宜不低于70dB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键盘键程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0.9mm</w:t>
            </w:r>
            <w:r>
              <w:rPr>
                <w:sz w:val="21"/>
                <w:color w:val="000000"/>
              </w:rPr>
              <w:t>～2.3mm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键盘按键压力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按键压力应在0.54 N±0.14N</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标配USB接口有线鼠标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有线鼠标连接线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鼠标DPI 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其它参数应符合GB/T 26245的相关规定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★触控板尺寸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≥70mm×50mm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★触控板材质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采用麦拉片或玻璃等材质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板载千兆RJ45接口有线网络，支持1000/100/10M自适应</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无线网卡及天线数量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USB </w:t>
            </w:r>
            <w:r>
              <w:rPr>
                <w:sz w:val="21"/>
                <w:color w:val="000000"/>
              </w:rPr>
              <w:t>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≥2个USB 3.0接口</w:t>
            </w:r>
          </w:p>
          <w:p>
            <w:pPr>
              <w:pStyle w:val="null3"/>
              <w:jc w:val="left"/>
            </w:pPr>
            <w:r>
              <w:rPr>
                <w:sz w:val="21"/>
                <w:color w:val="000000"/>
              </w:rPr>
              <w:t>≥2个USB Type-C接口</w:t>
            </w:r>
          </w:p>
          <w:p>
            <w:pPr>
              <w:pStyle w:val="null3"/>
              <w:jc w:val="left"/>
            </w:pPr>
            <w:r>
              <w:rPr>
                <w:sz w:val="21"/>
                <w:color w:val="000000"/>
              </w:rPr>
              <w:t>≥1个HDMI type-A（HDMI 2.0）接口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★输入充电接口数量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整机基础规格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整机外观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产品表面不应有凹痕、划伤、裂缝、变形和污染等。表面涂层均匀， 不应起泡、龟裂、脱落和磨损， 金属零部件无锈蚀及其它机械损伤；</w:t>
            </w:r>
          </w:p>
          <w:p>
            <w:pPr>
              <w:pStyle w:val="null3"/>
              <w:jc w:val="left"/>
            </w:pPr>
            <w:r>
              <w:rPr>
                <w:sz w:val="21"/>
                <w:color w:val="000000"/>
              </w:rPr>
              <w:t xml:space="preserve">b) </w:t>
            </w:r>
            <w:r>
              <w:rPr>
                <w:sz w:val="21"/>
                <w:color w:val="000000"/>
              </w:rPr>
              <w:t>产品表面说明功能的文字、符号、标志， 应清晰、端正、牢固；</w:t>
            </w:r>
          </w:p>
          <w:p>
            <w:pPr>
              <w:pStyle w:val="null3"/>
              <w:jc w:val="left"/>
            </w:pPr>
            <w:r>
              <w:rPr>
                <w:sz w:val="21"/>
                <w:color w:val="000000"/>
              </w:rPr>
              <w:t xml:space="preserve">c) </w:t>
            </w:r>
            <w:r>
              <w:rPr>
                <w:sz w:val="21"/>
                <w:color w:val="000000"/>
              </w:rPr>
              <w:t>宜在产品显著位置提供运行状态指示功能，并由生产厂商提供详细参数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整机结构</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产品应符合GB/T 4208的相关规定；</w:t>
            </w:r>
          </w:p>
          <w:p>
            <w:pPr>
              <w:pStyle w:val="null3"/>
              <w:jc w:val="left"/>
            </w:pPr>
            <w:r>
              <w:rPr>
                <w:sz w:val="21"/>
                <w:color w:val="000000"/>
              </w:rPr>
              <w:t xml:space="preserve">b) </w:t>
            </w:r>
            <w:r>
              <w:rPr>
                <w:sz w:val="21"/>
                <w:color w:val="000000"/>
              </w:rPr>
              <w:t>产品内部结构应符合通用部件的安装需要；</w:t>
            </w:r>
          </w:p>
          <w:p>
            <w:pPr>
              <w:pStyle w:val="null3"/>
              <w:jc w:val="left"/>
            </w:pPr>
            <w:r>
              <w:rPr>
                <w:sz w:val="21"/>
                <w:color w:val="000000"/>
              </w:rPr>
              <w:t xml:space="preserve">c) </w:t>
            </w:r>
            <w:r>
              <w:rPr>
                <w:sz w:val="21"/>
                <w:color w:val="000000"/>
              </w:rPr>
              <w:t>所有输入输出接口应符合相关国家或行业标准；</w:t>
            </w:r>
          </w:p>
          <w:p>
            <w:pPr>
              <w:pStyle w:val="null3"/>
              <w:jc w:val="left"/>
            </w:pPr>
            <w:r>
              <w:rPr>
                <w:sz w:val="21"/>
                <w:color w:val="000000"/>
              </w:rPr>
              <w:t xml:space="preserve">d) </w:t>
            </w:r>
            <w:r>
              <w:rPr>
                <w:sz w:val="21"/>
                <w:color w:val="000000"/>
              </w:rPr>
              <w:t>产品零部件应紧固无松动，可插拔部件应可靠连接， 开关、按钮和其它控制部件应灵活可靠， 布局应方便使用；</w:t>
            </w:r>
          </w:p>
          <w:p>
            <w:pPr>
              <w:pStyle w:val="null3"/>
              <w:jc w:val="left"/>
            </w:pPr>
            <w:r>
              <w:rPr>
                <w:sz w:val="21"/>
                <w:color w:val="000000"/>
              </w:rPr>
              <w:t xml:space="preserve">e) </w:t>
            </w:r>
            <w:r>
              <w:rPr>
                <w:sz w:val="21"/>
                <w:color w:val="000000"/>
              </w:rPr>
              <w:t>所有I/O连接器及需插接线缆的部位应预留用户操作空间，方便插拔解锁与插拔线缆；</w:t>
            </w:r>
          </w:p>
          <w:p>
            <w:pPr>
              <w:pStyle w:val="null3"/>
              <w:jc w:val="left"/>
            </w:pPr>
            <w:r>
              <w:rPr>
                <w:sz w:val="21"/>
                <w:color w:val="000000"/>
              </w:rPr>
              <w:t xml:space="preserve">f) </w:t>
            </w:r>
            <w:r>
              <w:rPr>
                <w:sz w:val="21"/>
                <w:color w:val="000000"/>
              </w:rPr>
              <w:t>可插拔板卡插槽部位应预留安装、拆卸或更换板卡空间；</w:t>
            </w:r>
          </w:p>
          <w:p>
            <w:pPr>
              <w:pStyle w:val="null3"/>
              <w:jc w:val="left"/>
            </w:pPr>
            <w:r>
              <w:rPr>
                <w:sz w:val="21"/>
                <w:color w:val="000000"/>
              </w:rPr>
              <w:t xml:space="preserve">g) </w:t>
            </w:r>
            <w:r>
              <w:rPr>
                <w:sz w:val="21"/>
                <w:color w:val="000000"/>
              </w:rPr>
              <w:t>拆装可能接触到的金属剪口或金属尖角部位应做防划伤处理，以保证安全;</w:t>
            </w:r>
          </w:p>
          <w:p>
            <w:pPr>
              <w:pStyle w:val="null3"/>
              <w:jc w:val="left"/>
            </w:pPr>
            <w:r>
              <w:rPr>
                <w:sz w:val="21"/>
                <w:color w:val="000000"/>
              </w:rPr>
              <w:t xml:space="preserve">h) </w:t>
            </w:r>
            <w:r>
              <w:rPr>
                <w:sz w:val="21"/>
                <w:color w:val="000000"/>
              </w:rPr>
              <w:t>整机内部走线应规整，固线结构和位置要合理可靠并做防割线处理，需便于理线和插拔操作，走线应不影响系统各主要部件组装和拆卸；</w:t>
            </w:r>
          </w:p>
          <w:p>
            <w:pPr>
              <w:pStyle w:val="null3"/>
              <w:jc w:val="left"/>
            </w:pPr>
            <w:r>
              <w:rPr>
                <w:sz w:val="21"/>
                <w:color w:val="000000"/>
              </w:rPr>
              <w:t xml:space="preserve">i) </w:t>
            </w:r>
            <w:r>
              <w:rPr>
                <w:sz w:val="21"/>
                <w:color w:val="000000"/>
              </w:rPr>
              <w:t>如需通过孔走线， 过线孔应做防割线处理；</w:t>
            </w:r>
          </w:p>
          <w:p>
            <w:pPr>
              <w:pStyle w:val="null3"/>
              <w:jc w:val="left"/>
            </w:pPr>
            <w:r>
              <w:rPr>
                <w:sz w:val="21"/>
                <w:color w:val="000000"/>
              </w:rPr>
              <w:t xml:space="preserve">j) </w:t>
            </w:r>
            <w:r>
              <w:rPr>
                <w:sz w:val="21"/>
                <w:color w:val="000000"/>
              </w:rPr>
              <w:t>各插头位置和插拔方向应合理， 应做到插拔无障碍设计， 具备防呆设计，有效避免误操作；</w:t>
            </w:r>
          </w:p>
          <w:p>
            <w:pPr>
              <w:pStyle w:val="null3"/>
              <w:jc w:val="left"/>
            </w:pPr>
            <w:r>
              <w:rPr>
                <w:sz w:val="21"/>
                <w:color w:val="000000"/>
              </w:rPr>
              <w:t xml:space="preserve">k) </w:t>
            </w:r>
            <w:r>
              <w:rPr>
                <w:sz w:val="21"/>
                <w:color w:val="000000"/>
              </w:rPr>
              <w:t>各主要部件拆装无障碍， 使用常规工具拆装， 无特殊拆装工具需求；</w:t>
            </w:r>
          </w:p>
          <w:p>
            <w:pPr>
              <w:pStyle w:val="null3"/>
              <w:jc w:val="left"/>
            </w:pPr>
            <w:r>
              <w:rPr>
                <w:sz w:val="21"/>
                <w:color w:val="000000"/>
              </w:rPr>
              <w:t xml:space="preserve">I) </w:t>
            </w:r>
            <w:r>
              <w:rPr>
                <w:sz w:val="21"/>
                <w:color w:val="000000"/>
              </w:rPr>
              <w:t>各主要部件拆装步骤要少，各自拆装需避免相互干扰；</w:t>
            </w:r>
          </w:p>
          <w:p>
            <w:pPr>
              <w:pStyle w:val="null3"/>
              <w:jc w:val="left"/>
            </w:pPr>
            <w:r>
              <w:rPr>
                <w:sz w:val="21"/>
                <w:color w:val="000000"/>
              </w:rPr>
              <w:t xml:space="preserve">m) </w:t>
            </w:r>
            <w:r>
              <w:rPr>
                <w:sz w:val="21"/>
                <w:color w:val="000000"/>
              </w:rPr>
              <w:t>对于整机或零部件外表面为高亮面的，应粘贴保护膜，保护膜需粘贴牢固，运输、组装等过程不易脱落，撕下无残留；</w:t>
            </w:r>
          </w:p>
          <w:p>
            <w:pPr>
              <w:pStyle w:val="null3"/>
              <w:jc w:val="left"/>
            </w:pPr>
            <w:r>
              <w:rPr>
                <w:sz w:val="21"/>
                <w:color w:val="000000"/>
              </w:rPr>
              <w:t xml:space="preserve">n) </w:t>
            </w:r>
            <w:r>
              <w:rPr>
                <w:sz w:val="21"/>
                <w:color w:val="000000"/>
              </w:rPr>
              <w:t>显示屏的开合机械寿命应能承受至少15000次的显示屏开合，显示屏机械转轴的扭力应保持初始状态下扭力的75%以上；</w:t>
            </w:r>
          </w:p>
          <w:p>
            <w:pPr>
              <w:pStyle w:val="null3"/>
              <w:jc w:val="left"/>
            </w:pPr>
            <w:r>
              <w:rPr>
                <w:sz w:val="21"/>
                <w:color w:val="000000"/>
              </w:rPr>
              <w:t>o</w:t>
            </w:r>
            <w:r>
              <w:rPr>
                <w:sz w:val="21"/>
                <w:color w:val="000000"/>
              </w:rPr>
              <w:t>）其它要求应符合GB/T 9813.2的相关规定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整机噪音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w:t>
            </w:r>
            <w:r>
              <w:rPr>
                <w:sz w:val="21"/>
                <w:color w:val="000000"/>
              </w:rPr>
              <w:t>摄氏度环温条件：空闲≤38dBA，满载≤45dBA</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整机散热</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产品在环境温度25℃且运行在满载的状态下，可触及面温度范围内应不高于45℃，各表面温度应符合以下要求：</w:t>
            </w:r>
          </w:p>
          <w:p>
            <w:pPr>
              <w:pStyle w:val="null3"/>
              <w:jc w:val="left"/>
            </w:pPr>
            <w:r>
              <w:rPr>
                <w:sz w:val="21"/>
                <w:color w:val="000000"/>
              </w:rPr>
              <w:t>a)</w:t>
            </w:r>
            <w:r>
              <w:rPr>
                <w:sz w:val="21"/>
                <w:color w:val="000000"/>
              </w:rPr>
              <w:t>键帽温度不高于38℃；</w:t>
            </w:r>
          </w:p>
          <w:p>
            <w:pPr>
              <w:pStyle w:val="null3"/>
              <w:jc w:val="left"/>
            </w:pPr>
            <w:r>
              <w:rPr>
                <w:sz w:val="21"/>
                <w:color w:val="000000"/>
              </w:rPr>
              <w:t>b)</w:t>
            </w:r>
            <w:r>
              <w:rPr>
                <w:sz w:val="21"/>
                <w:color w:val="000000"/>
              </w:rPr>
              <w:t>键盘间隙温度不高于40℃；</w:t>
            </w:r>
          </w:p>
          <w:p>
            <w:pPr>
              <w:pStyle w:val="null3"/>
              <w:jc w:val="left"/>
            </w:pPr>
            <w:r>
              <w:rPr>
                <w:sz w:val="21"/>
                <w:color w:val="000000"/>
              </w:rPr>
              <w:t>c)</w:t>
            </w:r>
            <w:r>
              <w:rPr>
                <w:sz w:val="21"/>
                <w:color w:val="000000"/>
              </w:rPr>
              <w:t>掌托温度不高于38℃；</w:t>
            </w:r>
          </w:p>
          <w:p>
            <w:pPr>
              <w:pStyle w:val="null3"/>
              <w:jc w:val="left"/>
            </w:pPr>
            <w:r>
              <w:rPr>
                <w:sz w:val="21"/>
                <w:color w:val="000000"/>
              </w:rPr>
              <w:t>d)</w:t>
            </w:r>
            <w:r>
              <w:rPr>
                <w:sz w:val="21"/>
                <w:color w:val="000000"/>
              </w:rPr>
              <w:t>触控板温度不高于38℃；</w:t>
            </w:r>
          </w:p>
          <w:p>
            <w:pPr>
              <w:pStyle w:val="null3"/>
              <w:jc w:val="left"/>
            </w:pPr>
            <w:r>
              <w:rPr>
                <w:sz w:val="21"/>
                <w:color w:val="000000"/>
              </w:rPr>
              <w:t>e)</w:t>
            </w:r>
            <w:r>
              <w:rPr>
                <w:sz w:val="21"/>
                <w:color w:val="000000"/>
              </w:rPr>
              <w:t>底壳温度不高于45℃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整机能效限定值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产品能效限定值应达到GB 28380-2012标准中能效等级2级及以上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★整机重量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≤2.2kg</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★整机厚度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≤22mm（不含脚垫）</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机身材质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塑料/金属等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机身颜色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灰色</w:t>
            </w:r>
            <w:r>
              <w:rPr>
                <w:sz w:val="21"/>
              </w:rPr>
              <w:t>/</w:t>
            </w: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电池规格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电池额定能量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≥65Wh</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电池充放电次数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≥500 次（常温下500次充放电后电池容量应不低于原始容量的 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▲快速充电功能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支持快速充电功能，USB PD</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★电池安全要求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符合GB 31241的规定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物理核数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主频</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末级缓存容量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支持的内存最高速率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内存读写速率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≥1920x1200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显卡显示芯片核心频率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≥1000MHz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显存等效频率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显卡可支持多屏同时显示数量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支持不少于2块屏幕同时显示，分辨率应不低于1920x1200@60Hz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显示屏刷新率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显示屏位深</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显示屏色域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≥99% sRGB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显示屏色准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△E ≤ 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显示屏响应时间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≤30ms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显示屏亮度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≥250尼特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显示屏亮度一致性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显示屏对比度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≥1500： 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显示屏其他参数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其它参数应符合SJ/T 11292的相关规定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最高速率应不低于1000Mbps,应支持10Mbps、100Mbps、1000Mbps速率自适应</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支持无线网络通信技术协议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支持WiFi5.0及以上协议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89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无线网卡频宽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电源适配器性能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★电源适配器电源效率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在20%/50%/100%负载下效率均应不低于87%</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待机性能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★满载待机性能（LTP）</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≥1.5 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内存扩展接口(板载内存不涉及)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主板USB瞬间过流保护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支持瞬间过流保护功能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主板防静电保护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支持防静电保护功能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I/O</w:t>
            </w:r>
            <w:r>
              <w:rPr>
                <w:sz w:val="21"/>
                <w:color w:val="000000"/>
              </w:rPr>
              <w:t>接口功能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内置或通过扩展坞支持数据传输接口、视频接口、音频接口、网络接口、电源接口等各类标准接口产品应集成键盘、触控板输入部件，同时应具备接入键盘、鼠标、写字板等外设的能力，宜支持触摸屏、语音交互、手写笔等人机交互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显卡外接显示接口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显卡支持HDMI显示接口, 并与显示器接口相匹配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支持显示屏，同时应支持外接显示器。显示屏和外接显示器应支持多屏同时显示，显示模式应支持复制模式和扩展模式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外设功能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99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★摄像头物理隐私保护开关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支持物理隐私保护开关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支持信息存储功能，包括支持易失性存储功能和非易失性存储功能。为提升存储性能和降低存储功耗，非易失性存储宜支持固态存储设备，如 SSD/UFS。</w:t>
            </w:r>
          </w:p>
          <w:p>
            <w:pPr>
              <w:pStyle w:val="null3"/>
              <w:jc w:val="left"/>
            </w:pPr>
            <w:r>
              <w:rPr>
                <w:sz w:val="21"/>
                <w:color w:val="000000"/>
              </w:rPr>
              <w:t>产品应支持外出接口可以与独立的存储设备进行数据交互</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支持网络连接、网络开启/关闭功能；</w:t>
            </w:r>
          </w:p>
          <w:p>
            <w:pPr>
              <w:pStyle w:val="null3"/>
              <w:jc w:val="left"/>
            </w:pPr>
            <w:r>
              <w:rPr>
                <w:sz w:val="21"/>
                <w:color w:val="000000"/>
              </w:rPr>
              <w:t>b)</w:t>
            </w:r>
            <w:r>
              <w:rPr>
                <w:sz w:val="21"/>
                <w:color w:val="000000"/>
              </w:rPr>
              <w:t>支持访问网络和数据交换功能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支持2.4GHz、5GHz双频段</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数据传输</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支持数据传输能力，并提供数据流量和异常日志记录功能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★物理开关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支持网络设备物理开关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★蓝牙协议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支持蓝牙模块，蓝牙协议不低于5.0版本</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支持RJ45 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★无线网卡标准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符合GB15629.11所有部分</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网络设备拆装</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配备的网络设备应支持物理拆装，包括无线网卡和蓝牙模块等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109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不少于1个，宜支持3.5mm孔径的3段式或4段式接口。若支持4段式接口，宜支持线序的自动识别及切换功能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至少支持VGA、HDMI、DVI、DP、Type-C中1种显示接口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HDMI</w:t>
            </w:r>
            <w:r>
              <w:rPr>
                <w:sz w:val="21"/>
                <w:color w:val="000000"/>
              </w:rPr>
              <w:t>、DP、Type-C显示接口要求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若提供HDMI 或DP 或Type-C 作为显示接口， 应支持音频和视频同步输出</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★输入充电接口类型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DC in</w:t>
            </w:r>
            <w:r>
              <w:rPr>
                <w:sz w:val="21"/>
                <w:color w:val="000000"/>
              </w:rPr>
              <w:t>或 Type-C接口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电源线适配能力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15934-2008</w:t>
            </w:r>
          </w:p>
          <w:p>
            <w:pPr>
              <w:pStyle w:val="null3"/>
              <w:jc w:val="left"/>
            </w:pPr>
            <w:r>
              <w:rPr>
                <w:sz w:val="21"/>
                <w:color w:val="000000"/>
              </w:rPr>
              <w:t>对于可拆线插头GB15934不做要求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操作系统及软件功能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中文信息处理要求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18030的相关规定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操作系统备份及还原功能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支持操作系统备份及还原功能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固件备份还原能力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支持备份及还原固件的功能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操作系统及驱动升级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BIOS </w:t>
            </w:r>
            <w:r>
              <w:rPr>
                <w:sz w:val="21"/>
                <w:color w:val="000000"/>
              </w:rPr>
              <w:t>支持关闭通讯接口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支持BIOS关闭以太网及USB接口功能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固件查看信息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支持查看固件版本、内存信息、主板信息、处理器信息和系统时间信息等功能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固件设置启动顺序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支持设置启动顺序功能，并按照设置的启动顺序启动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固件设置口令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支持设置口令、修改口令、验证口令功能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固件设置网络引导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支持网络引导启动和关闭功能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生物识别功能生物识别功能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★指纹识别</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w:t>
            </w:r>
            <w:r>
              <w:rPr>
                <w:sz w:val="21"/>
              </w:rPr>
              <w:t>指纹识别模块，</w:t>
            </w:r>
            <w:r>
              <w:rPr>
                <w:sz w:val="21"/>
                <w:color w:val="000000"/>
              </w:rPr>
              <w:t>指纹识别功能符合 GB/T 37742 的相</w:t>
            </w:r>
          </w:p>
          <w:p>
            <w:pPr>
              <w:pStyle w:val="null3"/>
              <w:jc w:val="left"/>
            </w:pPr>
            <w:r>
              <w:rPr>
                <w:sz w:val="21"/>
                <w:color w:val="000000"/>
              </w:rPr>
              <w:t>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TBW </w:t>
            </w:r>
            <w:r>
              <w:rPr>
                <w:sz w:val="21"/>
                <w:color w:val="000000"/>
              </w:rPr>
              <w:t>≥80TB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通电时间≥5万小时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显示屏屏幕失效点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 9813.2的要求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键盘鼠标线材寿命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键盘鼠标所用线材经±60°弯折不低于3000次，功能、外观完好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风扇寿命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整机可靠</w:t>
            </w:r>
          </w:p>
          <w:p>
            <w:pPr>
              <w:pStyle w:val="null3"/>
              <w:jc w:val="center"/>
            </w:pPr>
            <w:r>
              <w:rPr>
                <w:sz w:val="21"/>
                <w:color w:val="000000"/>
              </w:rPr>
              <w:t>性要求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电磁兼容性要求的抗扰度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符合GB/T9254.2的规定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环境条件要求的气候环境适应性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环境条件要求的振动适应性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环境条件要求的冲击适应性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环境条件要求的碰撞适应性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环境条件要求的运输包装件跌落适应性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MTBF </w:t>
            </w:r>
            <w:r>
              <w:rPr>
                <w:sz w:val="21"/>
                <w:color w:val="000000"/>
              </w:rPr>
              <w:t>测试</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MTBF</w:t>
            </w:r>
            <w:r>
              <w:rPr>
                <w:sz w:val="21"/>
                <w:color w:val="000000"/>
              </w:rPr>
              <w:t>≥20万小时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常用软件兼容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支持流式软件、版式软件、浏览器、邮件客户端、解压软件、多媒体、图形图像处理等常用软件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数据库兼容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中间件兼容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平台软件兼容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兼容3个及以上厂商云计算及大数据平台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w:t>
            </w:r>
          </w:p>
          <w:p>
            <w:pPr>
              <w:pStyle w:val="null3"/>
              <w:jc w:val="center"/>
            </w:pPr>
            <w:r>
              <w:rPr>
                <w:sz w:val="21"/>
                <w:color w:val="000000"/>
              </w:rPr>
              <w:t>输要求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标志、包装、运输和贮存</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GB/T9813.2和商品包装政府采购需求标准的相关规定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配置检查工具</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提供自检测试工具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服务响应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供应商提供电话、电子邮件、远程连接等多种形式政企专线 7*24 在线服务；</w:t>
            </w:r>
          </w:p>
          <w:p>
            <w:pPr>
              <w:pStyle w:val="null3"/>
              <w:jc w:val="left"/>
            </w:pPr>
            <w:r>
              <w:rPr>
                <w:sz w:val="21"/>
              </w:rPr>
              <w:t>b)</w:t>
            </w:r>
            <w:r>
              <w:rPr>
                <w:sz w:val="21"/>
              </w:rPr>
              <w:t>供应商提供同城4h、异地12h 技术响应服务，2 个工作日解决问题，对于未能解决的问题和故障应提供可行的升级方案，并提供周转设备或更换设备；</w:t>
            </w:r>
          </w:p>
          <w:p>
            <w:pPr>
              <w:pStyle w:val="null3"/>
              <w:jc w:val="left"/>
            </w:pPr>
            <w:r>
              <w:rPr>
                <w:sz w:val="21"/>
              </w:rPr>
              <w:t>c)</w:t>
            </w:r>
            <w:r>
              <w:rPr>
                <w:sz w:val="21"/>
              </w:rPr>
              <w:t>建立全国技术服务体系和服务团体，符合专业服务体系标准要求，提供原厂中文服务；</w:t>
            </w:r>
          </w:p>
          <w:p>
            <w:pPr>
              <w:pStyle w:val="null3"/>
              <w:jc w:val="left"/>
            </w:pPr>
            <w:r>
              <w:rPr>
                <w:sz w:val="21"/>
              </w:rPr>
              <w:t>d)</w:t>
            </w:r>
            <w:r>
              <w:rPr>
                <w:sz w:val="21"/>
              </w:rPr>
              <w:t>服务周期内提供产品的维修、换件和升级服务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服务周期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支持产品延保≥3年。</w:t>
            </w:r>
          </w:p>
          <w:p>
            <w:pPr>
              <w:pStyle w:val="null3"/>
              <w:jc w:val="left"/>
            </w:pPr>
            <w:r>
              <w:rPr>
                <w:sz w:val="21"/>
                <w:color w:val="000000"/>
              </w:rPr>
              <w:t>提供每年延保服务报价。</w:t>
            </w:r>
          </w:p>
          <w:p>
            <w:pPr>
              <w:pStyle w:val="null3"/>
              <w:jc w:val="left"/>
            </w:pPr>
            <w:r>
              <w:rPr>
                <w:sz w:val="21"/>
                <w:color w:val="000000"/>
              </w:rPr>
              <w:t>提供备件服务能力≥6年（自购买之日起）。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预装操作系统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预装符合桌面操作系统政府采购需求标准的正版统信UOS V20操作系统，并提供不小于一年升级服务。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培训服务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典型问题解决手册</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供应商提供典型问题解决说明文档或视频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厂家升级软件与扩容服务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供应商提供上门升级部件/软件的增值服务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整机质量服务要求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免费服务周期（含换件和维修）≥3年，免费服务周期内硬盘损坏更换免回收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合格证书要求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供应商提供产品合格证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开箱组装/使用指导要求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供应商提供开箱组装/使用指导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驱动下载服务要求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供应商提供驱动光盘或下载方式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兼容适配软件下载服务要求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供应商提供兼容适配软件下载渠道(光盘、网站)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供应链合规性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产品部件保障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保障产品主要部件提供不少于6年的备件服务能力(自购买之日起)，或提供可兼容原设备的升级换代产品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供应链质量</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抗干扰性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当产品部件出现供应风险时，供应商应通知采购人并提供风险应对方案确保产品的服务保障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供应能力证明</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供应商提供供应链稳定承诺书，确保产品的部件在产品服务周期内稳定供货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关键部件安全要求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和操作系统等关键部件应当符合安全可靠测评要求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安全要求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整机安全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密码算法实现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芯片应符合GM/T 0008的相关规定，或芯片密码模块应符合GB/T 37092或GM/T 0028的相关规定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信息安全基本要求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应符合GB/T 39276的5.2的规定；</w:t>
            </w:r>
          </w:p>
          <w:p>
            <w:pPr>
              <w:pStyle w:val="null3"/>
              <w:jc w:val="left"/>
            </w:pPr>
            <w:r>
              <w:rPr>
                <w:sz w:val="21"/>
                <w:color w:val="000000"/>
              </w:rPr>
              <w:t xml:space="preserve">b) </w:t>
            </w:r>
            <w:r>
              <w:rPr>
                <w:sz w:val="21"/>
                <w:color w:val="000000"/>
              </w:rPr>
              <w:t>生产厂商应建立漏洞跟踪表， 保证产品版本涉及到的漏洞(如驱动程序等)可查看；</w:t>
            </w:r>
          </w:p>
          <w:p>
            <w:pPr>
              <w:pStyle w:val="null3"/>
              <w:jc w:val="left"/>
            </w:pPr>
            <w:r>
              <w:rPr>
                <w:sz w:val="21"/>
                <w:color w:val="000000"/>
              </w:rPr>
              <w:t xml:space="preserve">c) </w:t>
            </w:r>
            <w:r>
              <w:rPr>
                <w:sz w:val="21"/>
                <w:color w:val="000000"/>
              </w:rPr>
              <w:t>产品不得包含已知的恶意代码或漏洞，不存在未声明的指令、功能、接口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固件安全启动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支持固件安全启动功能，固件启动过程中只有通过启动校验才能正常启动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shd w:fill="C0C0C0" w:val="clear"/>
              </w:rPr>
              <w:t>162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限用物质的限量要求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26572 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“★”条款说明：供应商在投标时出具关于所提供的“移动工作站”是否满足采购文件要求的承诺函（上述“★”指标应逐项响应，可参照“格式”中承诺函》格式）。</w:t>
            </w:r>
          </w:p>
          <w:p>
            <w:pPr>
              <w:pStyle w:val="null3"/>
              <w:jc w:val="left"/>
            </w:pPr>
            <w:r>
              <w:rPr>
                <w:sz w:val="21"/>
                <w:color w:val="000000"/>
              </w:rPr>
              <w:t>提醒：</w:t>
            </w:r>
            <w:r>
              <w:rPr>
                <w:sz w:val="21"/>
                <w:color w:val="000000"/>
              </w:rPr>
              <w:t>供应商应实事求是响应本项目所列要求，如有虚假承诺，采购人将以供应商违反《中华人民共和国政府采购法》第七十七条</w:t>
            </w:r>
            <w:r>
              <w:rPr>
                <w:sz w:val="21"/>
                <w:color w:val="333333"/>
                <w:shd w:fill="FFFFFF" w:val="clear"/>
              </w:rPr>
              <w:t>第一款规定“</w:t>
            </w:r>
            <w:r>
              <w:rPr>
                <w:sz w:val="21"/>
                <w:color w:val="333333"/>
                <w:shd w:fill="FFFFFF" w:val="clear"/>
              </w:rPr>
              <w:t>提供虚假材料谋取中标、成交的</w:t>
            </w:r>
            <w:r>
              <w:rPr>
                <w:sz w:val="21"/>
                <w:color w:val="333333"/>
                <w:shd w:fill="FFFFFF" w:val="clear"/>
              </w:rPr>
              <w:t>”情况</w:t>
            </w:r>
            <w:r>
              <w:rPr>
                <w:sz w:val="21"/>
                <w:color w:val="000000"/>
              </w:rPr>
              <w:t>上报政府采购监管部门，供应商将被列入不良行为记录名单，在一至三年内禁止参加政府采购活动。</w:t>
            </w:r>
          </w:p>
        </w:tc>
      </w:tr>
    </w:tbl>
    <w:p>
      <w:pPr>
        <w:pStyle w:val="null3"/>
        <w:jc w:val="both"/>
      </w:pPr>
      <w:r>
        <w:rPr>
          <w:sz w:val="21"/>
          <w:b/>
        </w:rPr>
        <w:t>2.</w:t>
      </w:r>
      <w:r>
        <w:rPr>
          <w:sz w:val="21"/>
          <w:b/>
        </w:rPr>
        <w:t>货物要求</w:t>
      </w:r>
    </w:p>
    <w:p>
      <w:pPr>
        <w:pStyle w:val="null3"/>
        <w:ind w:firstLine="420"/>
        <w:jc w:val="both"/>
      </w:pPr>
      <w:r>
        <w:rPr>
          <w:sz w:val="21"/>
        </w:rPr>
        <w:t>（1）货物为全新、未使用过的原装合格正品，无污染，表面无划损，无任何缺陷隐患、质量瑕疵，完全符合生产厂家且不低于国家规定的质量、规格和性能的要求。</w:t>
      </w:r>
    </w:p>
    <w:p>
      <w:pPr>
        <w:pStyle w:val="null3"/>
        <w:ind w:firstLine="420"/>
        <w:jc w:val="both"/>
      </w:pPr>
      <w:r>
        <w:rPr>
          <w:sz w:val="21"/>
        </w:rPr>
        <w:t>（2）货物的生产、销售均符合法律法规的规定，产品须按国家标准或行业标准取得生产、销售等相关证书或者许可，保证货物在中国境内可依常规安全合法使用。</w:t>
      </w:r>
    </w:p>
    <w:p>
      <w:pPr>
        <w:pStyle w:val="null3"/>
        <w:ind w:firstLine="420"/>
        <w:jc w:val="both"/>
      </w:pPr>
      <w:r>
        <w:rPr>
          <w:sz w:val="21"/>
        </w:rPr>
        <w:t>（3）供应商系合法取得货物的处分权，有权将货物出售给采购人，供应商的销售行为不损害任何第三方的合法权益（包括但不限于第三方所享有的著作权、专利权、商标权等知识产权），保证不会有任何第三方因本合同的订立和履行向采购人主张权利。</w:t>
      </w:r>
    </w:p>
    <w:p>
      <w:pPr>
        <w:pStyle w:val="null3"/>
        <w:ind w:firstLine="420"/>
        <w:jc w:val="both"/>
      </w:pPr>
      <w:r>
        <w:rPr>
          <w:sz w:val="21"/>
        </w:rPr>
        <w:t>如第三方以采购人技术侵犯其知识产权或者其他权利为由向采购人主张权利，由此所产生的一切损害赔偿、补偿以及其他合理损失(包括但不限于诉讼费、律师费)等均由供应商承担。</w:t>
      </w:r>
    </w:p>
    <w:p>
      <w:pPr>
        <w:pStyle w:val="null3"/>
        <w:ind w:firstLine="420"/>
        <w:jc w:val="both"/>
      </w:pPr>
      <w:r>
        <w:rPr>
          <w:sz w:val="21"/>
        </w:rPr>
        <w:t>（4）货物应当附有如下文件资料及物品：包括但不限于质量合格证书、保修证书、产品使用说明书及其他应随产品一同装箱的配件、技术资料等。</w:t>
      </w:r>
    </w:p>
    <w:p>
      <w:pPr>
        <w:pStyle w:val="null3"/>
        <w:ind w:firstLine="420"/>
        <w:jc w:val="both"/>
      </w:pPr>
      <w:r>
        <w:rPr>
          <w:sz w:val="21"/>
        </w:rPr>
        <w:t>（5）货物包装：货物应当采用原制造商提供的标准包装。如果货物本身的包装不能满足运输、存储要求的，供应商应当在保证原包装完好的情形下增加和改善包装方式以满足相应要求。每个独立的包装应当附有装箱单。</w:t>
      </w:r>
    </w:p>
    <w:p>
      <w:pPr>
        <w:pStyle w:val="null3"/>
        <w:ind w:firstLine="420"/>
        <w:jc w:val="both"/>
      </w:pPr>
      <w:r>
        <w:rPr>
          <w:sz w:val="21"/>
        </w:rPr>
        <w:t>（6）标示于货物、产品质量检验合格证、装箱单及包装之上的批号、序列号、证号、装箱号等编号应当一致，或者能够相互关联印证，并与制造商确定的编码规则和存档记录一致，可供溯源。</w:t>
      </w:r>
    </w:p>
    <w:p>
      <w:pPr>
        <w:pStyle w:val="null3"/>
        <w:ind w:firstLine="422"/>
        <w:jc w:val="both"/>
      </w:pPr>
      <w:r>
        <w:rPr>
          <w:sz w:val="21"/>
          <w:b/>
        </w:rPr>
        <w:t>3.</w:t>
      </w:r>
      <w:r>
        <w:rPr>
          <w:sz w:val="21"/>
          <w:b/>
        </w:rPr>
        <w:t>质保期及售后服务</w:t>
      </w:r>
    </w:p>
    <w:p>
      <w:pPr>
        <w:pStyle w:val="null3"/>
        <w:ind w:firstLine="420"/>
        <w:jc w:val="both"/>
      </w:pPr>
      <w:r>
        <w:rPr>
          <w:sz w:val="21"/>
        </w:rPr>
        <w:t>（1）质量保障期：本项目通过验收之日起不少于3年（以中标供应商投标时响应的质保期为准），费用包含在报价中。</w:t>
      </w:r>
    </w:p>
    <w:p>
      <w:pPr>
        <w:pStyle w:val="null3"/>
        <w:ind w:firstLine="420"/>
        <w:jc w:val="both"/>
      </w:pPr>
      <w:r>
        <w:rPr>
          <w:sz w:val="21"/>
        </w:rPr>
        <w:t>（2）质量保障服务内容：质保期内需对本项目所有软硬件设备及其集成功能提供维修维护服务(含备件)，硬盘损坏更换免回收，所有设备维修服务均为上门服务，由此产生的费用包含在此次投标总报价中。</w:t>
      </w:r>
    </w:p>
    <w:p>
      <w:pPr>
        <w:pStyle w:val="null3"/>
        <w:ind w:firstLine="420"/>
        <w:jc w:val="both"/>
      </w:pPr>
      <w:r>
        <w:rPr>
          <w:sz w:val="21"/>
        </w:rPr>
        <w:t>（3）质量保障服务要求：在质量保障服务期内，对所采购的所有软硬件设备提供技术支持和服务，不得另加收费。</w:t>
      </w:r>
    </w:p>
    <w:p>
      <w:pPr>
        <w:pStyle w:val="null3"/>
        <w:ind w:firstLine="420"/>
        <w:jc w:val="both"/>
      </w:pPr>
      <w:r>
        <w:rPr>
          <w:sz w:val="21"/>
        </w:rPr>
        <w:t>（4）质量保障期内，如因设备质量问题导致设备停止使用超过24小时的，质量保障期相应顺延。如果设备停止使用时间累计超过30个自然日的，则</w:t>
      </w:r>
      <w:r>
        <w:rPr>
          <w:sz w:val="21"/>
        </w:rPr>
        <w:t>质量保证期从0开始</w:t>
      </w:r>
      <w:r>
        <w:rPr>
          <w:sz w:val="21"/>
        </w:rPr>
        <w:t>重新计算；如果设备停止使用时间累计超过60个自然日的，则需将故障设备更换为同型号同配置的全新设备，更换的设备质保期从0开始重新计算。</w:t>
      </w:r>
    </w:p>
    <w:p>
      <w:pPr>
        <w:pStyle w:val="null3"/>
        <w:ind w:firstLine="420"/>
        <w:jc w:val="both"/>
      </w:pPr>
      <w:r>
        <w:rPr>
          <w:sz w:val="21"/>
        </w:rPr>
        <w:t>（5）质量保障期内，如果出现紧急技术问题，供应商提供同城4小时、异地12小时技术响应服务（服务响应以现场为主，远程协助），2个工作日解决问题，对于未能解决的问题和故障应提供可行的升级方案，并提供周转设备或更换</w:t>
      </w:r>
      <w:r>
        <w:rPr>
          <w:sz w:val="21"/>
        </w:rPr>
        <w:t>全新设备，更换的设备免费质保期从0开始重新计算</w:t>
      </w:r>
      <w:r>
        <w:rPr>
          <w:sz w:val="21"/>
        </w:rPr>
        <w:t>；</w:t>
      </w:r>
    </w:p>
    <w:p>
      <w:pPr>
        <w:pStyle w:val="null3"/>
        <w:ind w:firstLine="420"/>
        <w:jc w:val="both"/>
      </w:pPr>
      <w:r>
        <w:rPr>
          <w:sz w:val="21"/>
        </w:rPr>
        <w:t>（6）供应商提供电话、电子邮件、远程连接等多种形式政企专线，以保证能够提供每天24小时、每周7天的响应服务(“7x24小时响应服务”)。</w:t>
      </w:r>
    </w:p>
    <w:p>
      <w:pPr>
        <w:pStyle w:val="null3"/>
        <w:ind w:firstLine="422"/>
        <w:jc w:val="both"/>
      </w:pPr>
      <w:r>
        <w:rPr>
          <w:sz w:val="21"/>
          <w:b/>
        </w:rPr>
        <w:t>4.</w:t>
      </w:r>
      <w:r>
        <w:rPr>
          <w:sz w:val="21"/>
          <w:b/>
        </w:rPr>
        <w:t>技术服务要求</w:t>
      </w:r>
    </w:p>
    <w:p>
      <w:pPr>
        <w:pStyle w:val="null3"/>
        <w:ind w:firstLine="420"/>
        <w:jc w:val="both"/>
      </w:pPr>
      <w:r>
        <w:rPr>
          <w:sz w:val="21"/>
        </w:rPr>
        <w:t>供应商需在投标文件中对以下技术服务要求全部给予响应。</w:t>
      </w:r>
    </w:p>
    <w:p>
      <w:pPr>
        <w:pStyle w:val="null3"/>
        <w:ind w:firstLine="420"/>
        <w:jc w:val="both"/>
      </w:pPr>
      <w:r>
        <w:rPr>
          <w:sz w:val="21"/>
        </w:rPr>
        <w:t>需提供包括但不限于售后服务体系，售后服务流程，应急预案等方案，做出详细说明。</w:t>
      </w:r>
    </w:p>
    <w:p>
      <w:pPr>
        <w:pStyle w:val="null3"/>
        <w:ind w:firstLine="420"/>
        <w:jc w:val="both"/>
      </w:pPr>
      <w:r>
        <w:rPr>
          <w:sz w:val="21"/>
        </w:rPr>
        <w:t>技术服务人员：供应商须指派固定的团队为本项目提供专业服务，服务团队成员不得少于2人，现场实施工程师应具有丰富的项目经验，指派专人担任项目负责人，负责本项目协调管理工作。</w:t>
      </w:r>
    </w:p>
    <w:p>
      <w:pPr>
        <w:pStyle w:val="null3"/>
        <w:ind w:firstLine="420"/>
        <w:jc w:val="both"/>
      </w:pPr>
      <w:r>
        <w:rPr>
          <w:sz w:val="21"/>
        </w:rPr>
        <w:t>供应商需在验收合格后10个自然日内对采购人提供设备使用方面的现场培训，特别是针对配套提供的国产操作系统的使用、升级、故障排除、组网等培训，培训时间不少于2天，并提供相应的培训资料给甲方。培训人员应具有相应的技术水平和培训经验，以保证培训效果。因培训产生的费用已包含在报价中，供应商不得另加收费。</w:t>
      </w:r>
    </w:p>
    <w:p>
      <w:pPr>
        <w:pStyle w:val="null3"/>
        <w:ind w:firstLine="420"/>
        <w:jc w:val="both"/>
      </w:pPr>
      <w:r>
        <w:rPr>
          <w:sz w:val="21"/>
        </w:rPr>
        <w:t>如需调整服务团队成员，须书面向采购人提出申请，说明申请理由，经采购人书面同意方可调整团队人员，调入人员的资历和从业经验不低于调出人员，否则视为违约行为，采购人有权终止服务合同。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82"/>
        <w:jc w:val="both"/>
      </w:pPr>
      <w:r>
        <w:rPr>
          <w:sz w:val="27"/>
          <w:b/>
          <w:color w:val="222222"/>
        </w:rPr>
        <w:t>附件：政策适用性说明</w:t>
      </w:r>
    </w:p>
    <w:p>
      <w:pPr>
        <w:pStyle w:val="null3"/>
      </w:pPr>
      <w:r>
        <w:rPr>
          <w:sz w:val="21"/>
          <w:b/>
          <w:color w:val="222222"/>
        </w:rPr>
        <w:t>（代替本招标文件第六章《格式文件与要求》中的格式四文件，不再使用格式四文件）</w:t>
      </w:r>
    </w:p>
    <w:p>
      <w:pPr>
        <w:pStyle w:val="null3"/>
      </w:pPr>
      <w:r>
        <w:rPr>
          <w:sz w:val="24"/>
          <w:b/>
          <w:shd w:fill="FFFFFF" w:val="clear"/>
        </w:rPr>
        <w:t>政策适用性说明</w:t>
      </w:r>
    </w:p>
    <w:p>
      <w:pPr>
        <w:pStyle w:val="null3"/>
        <w:jc w:val="center"/>
      </w:pPr>
      <w:r>
        <w:rPr>
          <w:sz w:val="21"/>
          <w:shd w:fill="FFFFFF" w:val="clear"/>
        </w:rPr>
        <w:t>供应商所投的产品，符合节能产品、环境标志产品政策要求的，按以下格式提供说明。</w:t>
      </w:r>
    </w:p>
    <w:p>
      <w:pPr>
        <w:pStyle w:val="null3"/>
        <w:ind w:left="360"/>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42"/>
        <w:gridCol w:w="1236"/>
        <w:gridCol w:w="2444"/>
        <w:gridCol w:w="1673"/>
        <w:gridCol w:w="233"/>
        <w:gridCol w:w="1746"/>
        <w:gridCol w:w="233"/>
      </w:tblGrid>
      <w:tr>
        <w:tc>
          <w:tcPr>
            <w:tcW w:type="dxa" w:w="742"/>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23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p>
            <w:pPr>
              <w:pStyle w:val="null3"/>
              <w:jc w:val="center"/>
            </w:pPr>
          </w:p>
        </w:tc>
        <w:tc>
          <w:tcPr>
            <w:tcW w:type="dxa" w:w="244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167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1979"/>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p>
            <w:pPr>
              <w:pStyle w:val="null3"/>
              <w:jc w:val="center"/>
            </w:pP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8074"/>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（一）强制节能产品</w:t>
            </w: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74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4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7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79"/>
            <w:gridSpan w:val="2"/>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74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4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7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79"/>
            <w:gridSpan w:val="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8074"/>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74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4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7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79"/>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74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4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7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79"/>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609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节能产品价格合计</w:t>
            </w:r>
          </w:p>
        </w:tc>
        <w:tc>
          <w:tcPr>
            <w:tcW w:type="dxa" w:w="1979"/>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33"/>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742"/>
            <w:tcBorders>
              <w:top w:val="none" w:color="000000" w:sz="4"/>
              <w:right w:val="none" w:color="000000" w:sz="4"/>
            </w:tcBorders>
            <w:shd w:fill="FFFFFF"/>
            <w:tcMar>
              <w:top w:type="dxa" w:w="0"/>
              <w:left w:type="dxa" w:w="105"/>
              <w:bottom w:type="dxa" w:w="0"/>
              <w:right w:type="dxa" w:w="105"/>
            </w:tcMar>
            <w:vAlign w:val="top"/>
          </w:tcPr>
          <w:p>
            <w:pPr>
              <w:pStyle w:val="null3"/>
            </w:pPr>
          </w:p>
        </w:tc>
        <w:tc>
          <w:tcPr>
            <w:tcW w:type="dxa" w:w="12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44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167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3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1979"/>
            <w:gridSpan w:val="2"/>
            <w:tcBorders>
              <w:top w:val="none" w:color="000000" w:sz="4"/>
              <w:left w:val="none" w:color="000000" w:sz="4"/>
            </w:tcBorders>
            <w:shd w:fill="FFFFFF"/>
            <w:tcMar>
              <w:top w:type="dxa" w:w="0"/>
              <w:left w:type="dxa" w:w="105"/>
              <w:bottom w:type="dxa" w:w="0"/>
              <w:right w:type="dxa" w:w="105"/>
            </w:tcMar>
            <w:vAlign w:val="top"/>
          </w:tcPr>
          <w:p/>
        </w:tc>
      </w:tr>
      <w:tr>
        <w:tc>
          <w:tcPr>
            <w:tcW w:type="dxa" w:w="742"/>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36"/>
            <w:tcBorders>
              <w:top w:val="none" w:color="000000" w:sz="4"/>
              <w:left w:val="none" w:color="000000" w:sz="4"/>
              <w:bottom w:val="none" w:color="000000" w:sz="4"/>
              <w:right w:val="none" w:color="000000" w:sz="4"/>
            </w:tcBorders>
            <w:shd w:fill="FFFFFF"/>
          </w:tcPr>
          <w:p>
            <w:pPr>
              <w:pStyle w:val="null3"/>
            </w:pPr>
            <w:r>
              <w:rPr/>
              <w:t xml:space="preserve"> </w:t>
            </w:r>
          </w:p>
        </w:tc>
        <w:tc>
          <w:tcPr>
            <w:tcW w:type="dxa" w:w="2444"/>
            <w:tcBorders>
              <w:top w:val="none" w:color="000000" w:sz="4"/>
              <w:left w:val="none" w:color="000000" w:sz="4"/>
              <w:bottom w:val="none" w:color="000000" w:sz="4"/>
              <w:right w:val="none" w:color="000000" w:sz="4"/>
            </w:tcBorders>
            <w:shd w:fill="FFFFFF"/>
          </w:tcPr>
          <w:p>
            <w:pPr>
              <w:pStyle w:val="null3"/>
            </w:pPr>
            <w:r>
              <w:rPr/>
              <w:t xml:space="preserve"> </w:t>
            </w:r>
          </w:p>
        </w:tc>
        <w:tc>
          <w:tcPr>
            <w:tcW w:type="dxa" w:w="1673"/>
            <w:tcBorders>
              <w:top w:val="none" w:color="000000" w:sz="4"/>
              <w:left w:val="none" w:color="000000" w:sz="4"/>
              <w:bottom w:val="none" w:color="000000" w:sz="4"/>
              <w:right w:val="none" w:color="000000" w:sz="4"/>
            </w:tcBorders>
            <w:shd w:fill="FFFFFF"/>
          </w:tcPr>
          <w:p>
            <w:pPr>
              <w:pStyle w:val="null3"/>
            </w:pPr>
            <w:r>
              <w:rPr/>
              <w:t xml:space="preserve"> </w:t>
            </w:r>
          </w:p>
        </w:tc>
        <w:tc>
          <w:tcPr>
            <w:tcW w:type="dxa" w:w="23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46"/>
            <w:tcBorders>
              <w:top w:val="none" w:color="000000" w:sz="4"/>
              <w:left w:val="none" w:color="000000" w:sz="4"/>
              <w:bottom w:val="none" w:color="000000" w:sz="4"/>
              <w:right w:val="none" w:color="000000" w:sz="4"/>
            </w:tcBorders>
            <w:shd w:fill="FFFFFF"/>
          </w:tcPr>
          <w:p>
            <w:pPr>
              <w:pStyle w:val="null3"/>
            </w:pPr>
            <w:r>
              <w:rPr/>
              <w:t xml:space="preserve"> </w:t>
            </w:r>
          </w:p>
        </w:tc>
        <w:tc>
          <w:tcPr>
            <w:tcW w:type="dxa" w:w="233"/>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firstLine="480"/>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45"/>
        <w:gridCol w:w="1604"/>
        <w:gridCol w:w="1784"/>
        <w:gridCol w:w="2624"/>
        <w:gridCol w:w="1949"/>
      </w:tblGrid>
      <w:tr>
        <w:tc>
          <w:tcPr>
            <w:tcW w:type="dxa" w:w="345"/>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60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产品名称</w:t>
            </w:r>
          </w:p>
        </w:tc>
        <w:tc>
          <w:tcPr>
            <w:tcW w:type="dxa" w:w="178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pPr>
            <w:r>
              <w:rPr>
                <w:sz w:val="21"/>
              </w:rPr>
              <w:t>对应《环境标志产品政府采购品目清单》的品目序号</w:t>
            </w:r>
          </w:p>
          <w:p>
            <w:pPr>
              <w:pStyle w:val="null3"/>
            </w:pPr>
          </w:p>
        </w:tc>
        <w:tc>
          <w:tcPr>
            <w:tcW w:type="dxa" w:w="262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产品报价（元）</w:t>
            </w:r>
          </w:p>
          <w:p>
            <w:pPr>
              <w:pStyle w:val="null3"/>
            </w:pPr>
          </w:p>
        </w:tc>
      </w:tr>
      <w:tr>
        <w:tc>
          <w:tcPr>
            <w:tcW w:type="dxa" w:w="34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6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34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2</w:t>
            </w:r>
          </w:p>
        </w:tc>
        <w:tc>
          <w:tcPr>
            <w:tcW w:type="dxa" w:w="16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34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6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357"/>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left="360"/>
        <w:jc w:val="both"/>
      </w:pPr>
      <w:r>
        <w:rPr>
          <w:sz w:val="21"/>
          <w:shd w:fill="FFFFFF" w:val="clear"/>
        </w:rPr>
        <w:t>备注：</w:t>
      </w:r>
    </w:p>
    <w:p>
      <w:pPr>
        <w:pStyle w:val="null3"/>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pPr>
      <w:r>
        <w:rPr>
          <w:sz w:val="21"/>
          <w:shd w:fill="FFFFFF" w:val="clear"/>
        </w:rPr>
        <w:t xml:space="preserve">2. </w:t>
      </w:r>
      <w:r>
        <w:rPr>
          <w:sz w:val="21"/>
          <w:shd w:fill="FFFFFF" w:val="clear"/>
        </w:rPr>
        <w:t>供应商在《关于印发环境标志产品政府采购品目清单的通知》（财库〔</w:t>
      </w:r>
      <w:r>
        <w:rPr>
          <w:sz w:val="21"/>
          <w:shd w:fill="FFFFFF" w:val="clear"/>
        </w:rPr>
        <w:t>2019</w:t>
      </w:r>
      <w:r>
        <w:rPr>
          <w:sz w:val="21"/>
          <w:shd w:fill="FFFFFF" w:val="clear"/>
        </w:rPr>
        <w:t>〕</w:t>
      </w:r>
      <w:r>
        <w:rPr>
          <w:sz w:val="21"/>
          <w:shd w:fill="FFFFFF" w:val="clear"/>
        </w:rPr>
        <w:t>18</w:t>
      </w:r>
      <w:r>
        <w:rPr>
          <w:sz w:val="21"/>
          <w:shd w:fill="FFFFFF" w:val="clear"/>
        </w:rPr>
        <w:t>号）、《关于印发节能产品政府采购品目清单的通知》（财库〔</w:t>
      </w:r>
      <w:r>
        <w:rPr>
          <w:sz w:val="21"/>
          <w:shd w:fill="FFFFFF" w:val="clear"/>
        </w:rPr>
        <w:t>2019</w:t>
      </w:r>
      <w:r>
        <w:rPr>
          <w:sz w:val="21"/>
          <w:shd w:fill="FFFFFF" w:val="clear"/>
        </w:rPr>
        <w:t>〕</w:t>
      </w:r>
      <w:r>
        <w:rPr>
          <w:sz w:val="21"/>
          <w:shd w:fill="FFFFFF" w:val="clear"/>
        </w:rPr>
        <w:t>19</w:t>
      </w:r>
      <w:r>
        <w:rPr>
          <w:sz w:val="21"/>
          <w:shd w:fill="FFFFFF" w:val="clear"/>
        </w:rPr>
        <w:t>号）中可以查到对应的清单目录。如后续有更新的，则以更新后的文件为准。</w:t>
      </w:r>
    </w:p>
    <w:p>
      <w:pPr>
        <w:pStyle w:val="null3"/>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w:t>
      </w:r>
      <w:r>
        <w:rPr>
          <w:sz w:val="21"/>
          <w:shd w:fill="FFFFFF" w:val="clear"/>
        </w:rPr>
        <w:t>2019</w:t>
      </w:r>
      <w:r>
        <w:rPr>
          <w:sz w:val="21"/>
          <w:shd w:fill="FFFFFF" w:val="clear"/>
        </w:rPr>
        <w:t>年第</w:t>
      </w:r>
      <w:r>
        <w:rPr>
          <w:sz w:val="21"/>
          <w:shd w:fill="FFFFFF" w:val="clear"/>
        </w:rPr>
        <w:t>16</w:t>
      </w:r>
      <w:r>
        <w:rPr>
          <w:sz w:val="21"/>
          <w:shd w:fill="FFFFFF" w:val="clear"/>
        </w:rPr>
        <w:t>号）中查询。如后续有更新的，则以更新后的文件为准。</w:t>
      </w:r>
    </w:p>
    <w:p>
      <w:pPr>
        <w:pStyle w:val="null3"/>
      </w:pPr>
      <w:r>
        <w:rPr/>
        <w:t>采购包1（广东省地图院图形工作站和移动工作站采购（2024年））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合同生效之日起至2024年12月18日止。</w:t>
            </w:r>
          </w:p>
        </w:tc>
      </w:tr>
      <w:tr>
        <w:tc>
          <w:tcPr>
            <w:tcW w:type="dxa" w:w="4153"/>
          </w:tcPr>
          <w:p>
            <w:pPr>
              <w:pStyle w:val="null3"/>
            </w:pPr>
            <w:r>
              <w:rPr/>
              <w:t>标的提供的地点</w:t>
            </w:r>
          </w:p>
        </w:tc>
        <w:tc>
          <w:tcPr>
            <w:tcW w:type="dxa" w:w="4153"/>
          </w:tcPr>
          <w:p>
            <w:pPr>
              <w:pStyle w:val="null3"/>
            </w:pPr>
            <w:r>
              <w:rPr/>
              <w:t>广东省广州市越秀区环市东路468号1号办公楼。</w:t>
            </w:r>
          </w:p>
        </w:tc>
      </w:tr>
      <w:tr>
        <w:tc>
          <w:tcPr>
            <w:tcW w:type="dxa" w:w="4153"/>
          </w:tcPr>
          <w:p>
            <w:pPr>
              <w:pStyle w:val="null3"/>
            </w:pPr>
            <w:r>
              <w:rPr/>
              <w:t>付款方式</w:t>
            </w:r>
          </w:p>
        </w:tc>
        <w:tc>
          <w:tcPr>
            <w:tcW w:type="dxa" w:w="4153"/>
          </w:tcPr>
          <w:p>
            <w:pPr>
              <w:pStyle w:val="null3"/>
            </w:pPr>
            <w:r>
              <w:rPr/>
              <w:t>1期：支付比例50%,本项目签订合同生效后，采购人在收到供应商提供本项目招标文件要求的所有原厂盖章证明材料和税务部门认可的有效增值税普通发票之日起10个工作日内，向供应商支付中标价款总额的50%；</w:t>
            </w:r>
          </w:p>
          <w:p>
            <w:pPr>
              <w:pStyle w:val="null3"/>
            </w:pPr>
            <w:r>
              <w:rPr/>
              <w:t>2期：支付比例50%,本项目通过验收和提交所有约定成果后，采购人在收到供应商提供的税务部门认可的有效增值税普通发票之日起10个工作日内，向供应商支付中标价款总额的50%。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1期：1.装箱单(包括但不限于质量合格证书、保修证书、产品使用说明书及其他应随产品一同装箱的配件、技术资料等)。 2.验收应在中标供应商、采购人双方共同参加下进行，验收按国家有关的规定、规范、项目采购文件及中标供应商投标文件承诺的相关技术要求进行。 3.中标供应商保证合同项下提供的货物(或者设备)不侵犯任何第三方的知识产权。否则，中标供应商需承担对第三方的侵权责任并承担因此而发生的所有费用。 4.由采购人组织验收，必要时，可邀请第三方机构进行验收，由此产生的费用由中标供应商承担。 5.所有设备需通过试运行且运行正常。 6.项目实施过程中约定的其他相关技术要求。 7.采购人在收齐所有本项目约定产品后3个工作日内组织验收，中标供应商代表参加验收。 ★8.投标人须承诺本项目所投设备均符合国家相关法律法规要求，如所投设备属于 “中国强制性产品认证目录”（CCC认证），验收时提供相关证明（提供在http://cx.cnca.cn/查询的产品的证书编号及查询结果截图 ）。（投标时提供承诺，可参照“投标文件格式”中《承诺函》格式）。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中标供应商需按照投标时的承诺，在中标后与采购人签订合同后2个工作日内提供本项目招标文件要求的所有原厂盖章证明材料。如果不能在签订合同后2个工作日内提供本项目招标文件要求的所有原厂盖章证明材料，则视作中标供应商违约，本项目合同作废，中标供应商需在违约之日起10个工作日内向采购人赔付本合同总价的50%作为违约金，逾期则每日按本合同总金额的3‰向采购人另行偿付违约金。采购人同时按照《中华人民共和国政府采购法》第七十七条第一款规定“提供虚假材料谋取中标、成交的”情况，将情况上报政府采购监管部门。 ★2.中标供应商逾期交货的，从逾期之日起每日按本合同总金额的3‰向采购人偿付违约金；逾期交货超过10天的，采购人有权终止合同，中标供应商在逾期交货10天之日起5天内将采购人已支付的第1期款项全部退回给采购人，并按照合同总金额的20%偿付违约金给采购人。中标供应商不按合同要求的时间内供货造成采购人不能在财政部门要求的本年度财政资金支付时限内支付本项目合同尾款而导致相应的年度财政资金被财政部门收回的，采购人不承担相应支付义务，相应的责任和后果由中标供应商承担（投标时提供承诺，可参照“投标文件格式”中《承诺函》格式）。</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图形工作站</w:t>
            </w:r>
          </w:p>
        </w:tc>
        <w:tc>
          <w:tcPr>
            <w:tcW w:type="dxa" w:w="831"/>
          </w:tcPr>
          <w:p>
            <w:pPr>
              <w:pStyle w:val="null3"/>
              <w:jc w:val="left"/>
            </w:pPr>
            <w:r>
              <w:rPr/>
              <w:t>图形工作站</w:t>
            </w:r>
          </w:p>
        </w:tc>
        <w:tc>
          <w:tcPr>
            <w:tcW w:type="dxa" w:w="831"/>
          </w:tcPr>
          <w:p>
            <w:pPr>
              <w:pStyle w:val="null3"/>
              <w:jc w:val="left"/>
            </w:pPr>
            <w:r>
              <w:rPr/>
              <w:t>台</w:t>
            </w:r>
          </w:p>
        </w:tc>
        <w:tc>
          <w:tcPr>
            <w:tcW w:type="dxa" w:w="831"/>
          </w:tcPr>
          <w:p>
            <w:pPr>
              <w:pStyle w:val="null3"/>
              <w:jc w:val="right"/>
            </w:pPr>
            <w:r>
              <w:rPr/>
              <w:t>55.00</w:t>
            </w:r>
          </w:p>
        </w:tc>
        <w:tc>
          <w:tcPr>
            <w:tcW w:type="dxa" w:w="831"/>
          </w:tcPr>
          <w:p>
            <w:pPr>
              <w:pStyle w:val="null3"/>
              <w:jc w:val="right"/>
            </w:pPr>
            <w:r>
              <w:rPr/>
              <w:t>27,200.00</w:t>
            </w:r>
          </w:p>
        </w:tc>
        <w:tc>
          <w:tcPr>
            <w:tcW w:type="dxa" w:w="831"/>
          </w:tcPr>
          <w:p>
            <w:pPr>
              <w:pStyle w:val="null3"/>
              <w:jc w:val="right"/>
            </w:pPr>
            <w:r>
              <w:rPr/>
              <w:t>1,496,000.00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移动工作站</w:t>
            </w:r>
          </w:p>
        </w:tc>
        <w:tc>
          <w:tcPr>
            <w:tcW w:type="dxa" w:w="831"/>
          </w:tcPr>
          <w:p>
            <w:pPr>
              <w:pStyle w:val="null3"/>
              <w:jc w:val="left"/>
            </w:pPr>
            <w:r>
              <w:rPr/>
              <w:t>移动工作站</w:t>
            </w:r>
          </w:p>
        </w:tc>
        <w:tc>
          <w:tcPr>
            <w:tcW w:type="dxa" w:w="831"/>
          </w:tcPr>
          <w:p>
            <w:pPr>
              <w:pStyle w:val="null3"/>
              <w:jc w:val="left"/>
            </w:pPr>
            <w:r>
              <w:rPr/>
              <w:t>台</w:t>
            </w:r>
          </w:p>
        </w:tc>
        <w:tc>
          <w:tcPr>
            <w:tcW w:type="dxa" w:w="831"/>
          </w:tcPr>
          <w:p>
            <w:pPr>
              <w:pStyle w:val="null3"/>
              <w:jc w:val="right"/>
            </w:pPr>
            <w:r>
              <w:rPr/>
              <w:t>11.00</w:t>
            </w:r>
          </w:p>
        </w:tc>
        <w:tc>
          <w:tcPr>
            <w:tcW w:type="dxa" w:w="831"/>
          </w:tcPr>
          <w:p>
            <w:pPr>
              <w:pStyle w:val="null3"/>
              <w:jc w:val="right"/>
            </w:pPr>
            <w:r>
              <w:rPr/>
              <w:t>14,000.00</w:t>
            </w:r>
          </w:p>
        </w:tc>
        <w:tc>
          <w:tcPr>
            <w:tcW w:type="dxa" w:w="831"/>
          </w:tcPr>
          <w:p>
            <w:pPr>
              <w:pStyle w:val="null3"/>
              <w:jc w:val="right"/>
            </w:pPr>
            <w:r>
              <w:rPr/>
              <w:t>154,000.00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条款详见用户需求书。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单内存插槽最大可支持容量</w:t>
            </w:r>
            <w:r>
              <w:rPr>
                <w:sz w:val="21"/>
              </w:rPr>
              <w:t>(</w:t>
            </w:r>
            <w:r>
              <w:rPr>
                <w:sz w:val="21"/>
              </w:rPr>
              <w:t>板载内存不涉及</w:t>
            </w:r>
            <w:r>
              <w:rPr>
                <w:sz w:val="21"/>
              </w:rPr>
              <w:t>)</w:t>
            </w:r>
            <w:r>
              <w:rPr>
                <w:sz w:val="21"/>
              </w:rPr>
              <w:t>：</w:t>
            </w:r>
            <w:r>
              <w:rPr>
                <w:sz w:val="21"/>
              </w:rPr>
              <w:t>≥64GB</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w:t>
            </w:r>
            <w:r>
              <w:rPr>
                <w:sz w:val="21"/>
              </w:rPr>
              <w:t>内存插槽满配时提供的最高内存总容量：</w:t>
            </w:r>
            <w:r>
              <w:rPr>
                <w:sz w:val="21"/>
              </w:rPr>
              <w:t>≥256GB</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w:t>
            </w:r>
            <w:r>
              <w:rPr>
                <w:sz w:val="21"/>
              </w:rPr>
              <w:t>主板内置</w:t>
            </w:r>
            <w:r>
              <w:rPr>
                <w:sz w:val="21"/>
              </w:rPr>
              <w:t>PCIe</w:t>
            </w:r>
            <w:r>
              <w:rPr>
                <w:sz w:val="21"/>
              </w:rPr>
              <w:t>插槽数量：支持数量</w:t>
            </w:r>
            <w:r>
              <w:rPr>
                <w:sz w:val="21"/>
              </w:rPr>
              <w:t>≥4</w:t>
            </w:r>
            <w:r>
              <w:rPr>
                <w:sz w:val="21"/>
              </w:rPr>
              <w:t>，其中至少包括两个</w:t>
            </w:r>
            <w:r>
              <w:rPr>
                <w:sz w:val="21"/>
              </w:rPr>
              <w:t xml:space="preserve">PCIex16 </w:t>
            </w:r>
            <w:r>
              <w:rPr>
                <w:sz w:val="21"/>
              </w:rPr>
              <w:t>和</w:t>
            </w:r>
            <w:r>
              <w:rPr>
                <w:sz w:val="21"/>
              </w:rPr>
              <w:t>1</w:t>
            </w:r>
            <w:r>
              <w:rPr>
                <w:sz w:val="21"/>
              </w:rPr>
              <w:t>个</w:t>
            </w:r>
            <w:r>
              <w:rPr>
                <w:sz w:val="21"/>
              </w:rPr>
              <w:t>PCIex8</w:t>
            </w:r>
            <w:r>
              <w:rPr>
                <w:sz w:val="21"/>
              </w:rPr>
              <w:t>（须承诺</w:t>
            </w:r>
            <w:r>
              <w:rPr>
                <w:sz w:val="21"/>
              </w:rPr>
              <w:t>中标</w:t>
            </w:r>
            <w:r>
              <w:rPr>
                <w:sz w:val="21"/>
              </w:rPr>
              <w:t>后与本项目采购人签订合同后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w:t>
            </w:r>
            <w:r>
              <w:rPr>
                <w:sz w:val="21"/>
              </w:rPr>
              <w:t>固态存储容量：</w:t>
            </w:r>
            <w:r>
              <w:rPr>
                <w:sz w:val="21"/>
              </w:rPr>
              <w:t>其中</w:t>
            </w:r>
            <w:r>
              <w:rPr>
                <w:sz w:val="21"/>
              </w:rPr>
              <w:t>M.2 SSD</w:t>
            </w:r>
            <w:r>
              <w:rPr>
                <w:sz w:val="21"/>
              </w:rPr>
              <w:t>固态盘容量</w:t>
            </w:r>
            <w:r>
              <w:rPr>
                <w:sz w:val="21"/>
              </w:rPr>
              <w:t>≥</w:t>
            </w:r>
            <w:r>
              <w:rPr>
                <w:sz w:val="21"/>
              </w:rPr>
              <w:t>512GB</w:t>
            </w:r>
            <w:r>
              <w:rPr>
                <w:sz w:val="21"/>
              </w:rPr>
              <w:t>，</w:t>
            </w:r>
            <w:r>
              <w:rPr>
                <w:sz w:val="21"/>
              </w:rPr>
              <w:t>SATA SSD</w:t>
            </w:r>
            <w:r>
              <w:rPr>
                <w:sz w:val="21"/>
              </w:rPr>
              <w:t>固态盘容量</w:t>
            </w:r>
            <w:r>
              <w:rPr>
                <w:sz w:val="21"/>
              </w:rPr>
              <w:t>≥</w:t>
            </w:r>
            <w:r>
              <w:rPr>
                <w:sz w:val="21"/>
              </w:rPr>
              <w:t>512</w:t>
            </w:r>
            <w:r>
              <w:rPr>
                <w:sz w:val="21"/>
              </w:rPr>
              <w:t>GB</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w:t>
            </w:r>
            <w:r>
              <w:rPr>
                <w:sz w:val="21"/>
              </w:rPr>
              <w:t>机械硬盘总容量：</w:t>
            </w:r>
            <w:r>
              <w:rPr>
                <w:sz w:val="21"/>
              </w:rPr>
              <w:t>≥16TB</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w:t>
            </w:r>
            <w:r>
              <w:rPr>
                <w:sz w:val="21"/>
              </w:rPr>
              <w:t>故障诊断</w:t>
            </w:r>
            <w:r>
              <w:rPr>
                <w:sz w:val="21"/>
              </w:rPr>
              <w:t>模块</w:t>
            </w:r>
            <w:r>
              <w:rPr>
                <w:sz w:val="21"/>
              </w:rPr>
              <w:t>：</w:t>
            </w:r>
            <w:r>
              <w:rPr>
                <w:sz w:val="21"/>
              </w:rPr>
              <w:t>内置</w:t>
            </w:r>
            <w:r>
              <w:rPr>
                <w:sz w:val="21"/>
              </w:rPr>
              <w:t>PORT80</w:t>
            </w:r>
            <w:r>
              <w:rPr>
                <w:sz w:val="21"/>
              </w:rPr>
              <w:t>诊断灯（须承诺</w:t>
            </w:r>
            <w:r>
              <w:rPr>
                <w:sz w:val="21"/>
              </w:rPr>
              <w:t>中标</w:t>
            </w:r>
            <w:r>
              <w:rPr>
                <w:sz w:val="21"/>
              </w:rPr>
              <w:t>后与本项目采购人签订合同后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w:t>
            </w:r>
            <w:r>
              <w:rPr>
                <w:sz w:val="21"/>
              </w:rPr>
              <w:t>CPU</w:t>
            </w:r>
            <w:r>
              <w:rPr>
                <w:sz w:val="21"/>
              </w:rPr>
              <w:t>支持的内存最高速率：</w:t>
            </w:r>
            <w:r>
              <w:rPr>
                <w:sz w:val="21"/>
              </w:rPr>
              <w:t>≥3200MT/s</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w:t>
            </w:r>
            <w:r>
              <w:rPr>
                <w:sz w:val="21"/>
              </w:rPr>
              <w:t>内存读写速率：</w:t>
            </w:r>
            <w:r>
              <w:rPr>
                <w:sz w:val="21"/>
              </w:rPr>
              <w:t>≥3200MT/s</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w:t>
            </w:r>
            <w:r>
              <w:rPr>
                <w:sz w:val="21"/>
              </w:rPr>
              <w:t>显示分辨率：</w:t>
            </w:r>
            <w:r>
              <w:rPr>
                <w:sz w:val="21"/>
              </w:rPr>
              <w:t>≥7680×4320</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w:t>
            </w:r>
            <w:r>
              <w:rPr>
                <w:sz w:val="21"/>
              </w:rPr>
              <w:t>显卡显示芯片核心频率：</w:t>
            </w:r>
            <w:r>
              <w:rPr>
                <w:sz w:val="21"/>
              </w:rPr>
              <w:t>≥1920MHz</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sz w:val="21"/>
              </w:rPr>
              <w:t>▲</w:t>
            </w:r>
            <w:r>
              <w:rPr>
                <w:sz w:val="21"/>
              </w:rPr>
              <w:t>显存等效频率：</w:t>
            </w:r>
            <w:r>
              <w:rPr>
                <w:sz w:val="21"/>
              </w:rPr>
              <w:t>≥16000MT/s</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1"/>
              </w:rPr>
              <w:t>▲</w:t>
            </w:r>
            <w:r>
              <w:rPr>
                <w:sz w:val="21"/>
              </w:rPr>
              <w:t>显卡可支持多屏同时显示数量：能支持</w:t>
            </w:r>
            <w:r>
              <w:rPr>
                <w:sz w:val="21"/>
              </w:rPr>
              <w:t>4</w:t>
            </w:r>
            <w:r>
              <w:rPr>
                <w:sz w:val="21"/>
              </w:rPr>
              <w:t>块屏幕同时显示，分辨率应不低于</w:t>
            </w:r>
            <w:r>
              <w:rPr>
                <w:sz w:val="21"/>
              </w:rPr>
              <w:t>4096x2160@120Hz</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sz w:val="21"/>
              </w:rPr>
              <w:t>▲MTBF</w:t>
            </w:r>
            <w:r>
              <w:rPr>
                <w:sz w:val="21"/>
              </w:rPr>
              <w:t>测试：</w:t>
            </w:r>
            <w:r>
              <w:rPr>
                <w:sz w:val="21"/>
              </w:rPr>
              <w:t>MTBF(m1)≥30</w:t>
            </w:r>
            <w:r>
              <w:rPr>
                <w:sz w:val="21"/>
              </w:rPr>
              <w:t>万小时（须承诺</w:t>
            </w:r>
            <w:r>
              <w:rPr>
                <w:sz w:val="21"/>
              </w:rPr>
              <w:t>中标</w:t>
            </w:r>
            <w:r>
              <w:rPr>
                <w:sz w:val="21"/>
              </w:rPr>
              <w:t>后与采购人签订合同后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sz w:val="21"/>
              </w:rPr>
              <w:t>▲</w:t>
            </w:r>
            <w:r>
              <w:rPr>
                <w:sz w:val="21"/>
              </w:rPr>
              <w:t>常用软件兼容：整机厂商完成不少于</w:t>
            </w:r>
            <w:r>
              <w:rPr>
                <w:sz w:val="21"/>
              </w:rPr>
              <w:t>10</w:t>
            </w:r>
            <w:r>
              <w:rPr>
                <w:sz w:val="21"/>
              </w:rPr>
              <w:t>份所投产品同系列型号与操作系统或应用软件产品兼容性互认证。（须承诺</w:t>
            </w:r>
            <w:r>
              <w:rPr>
                <w:sz w:val="21"/>
              </w:rPr>
              <w:t>中标</w:t>
            </w:r>
            <w:r>
              <w:rPr>
                <w:sz w:val="21"/>
              </w:rPr>
              <w:t>后与采购人签订合同后</w:t>
            </w:r>
            <w:r>
              <w:rPr>
                <w:sz w:val="21"/>
              </w:rPr>
              <w:t>2</w:t>
            </w:r>
            <w:r>
              <w:rPr>
                <w:sz w:val="21"/>
              </w:rPr>
              <w:t>个工作日内提供盖有互认证双方公司公章的产品兼容性互认证证书）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移动工作站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条款详见用户需求书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内存配置容量：</w:t>
            </w:r>
            <w:r>
              <w:rPr>
                <w:sz w:val="21"/>
              </w:rPr>
              <w:t>≥64GB</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w:t>
            </w:r>
            <w:r>
              <w:rPr>
                <w:sz w:val="21"/>
              </w:rPr>
              <w:t>单内存插槽最大可支持容量</w:t>
            </w:r>
            <w:r>
              <w:rPr>
                <w:sz w:val="21"/>
              </w:rPr>
              <w:t>(</w:t>
            </w:r>
            <w:r>
              <w:rPr>
                <w:sz w:val="21"/>
              </w:rPr>
              <w:t>板载内存不涉及</w:t>
            </w:r>
            <w:r>
              <w:rPr>
                <w:sz w:val="21"/>
              </w:rPr>
              <w:t>)</w:t>
            </w:r>
            <w:r>
              <w:rPr>
                <w:sz w:val="21"/>
              </w:rPr>
              <w:t>：</w:t>
            </w:r>
            <w:r>
              <w:rPr>
                <w:sz w:val="21"/>
              </w:rPr>
              <w:t>≥32GB</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w:t>
            </w:r>
            <w:r>
              <w:rPr>
                <w:sz w:val="21"/>
              </w:rPr>
              <w:t>内存插槽满配时提供的最高内存总容量：</w:t>
            </w:r>
            <w:r>
              <w:rPr>
                <w:sz w:val="21"/>
              </w:rPr>
              <w:t>≥32G</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w:t>
            </w:r>
            <w:r>
              <w:rPr>
                <w:sz w:val="21"/>
              </w:rPr>
              <w:t>独立显卡显存位宽：</w:t>
            </w:r>
            <w:r>
              <w:rPr>
                <w:sz w:val="21"/>
              </w:rPr>
              <w:t>≥64</w:t>
            </w:r>
            <w:r>
              <w:rPr>
                <w:sz w:val="21"/>
              </w:rPr>
              <w:t>位</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w:t>
            </w:r>
            <w:r>
              <w:rPr>
                <w:sz w:val="21"/>
              </w:rPr>
              <w:t>独立显卡显存容量：</w:t>
            </w:r>
            <w:r>
              <w:rPr>
                <w:sz w:val="21"/>
              </w:rPr>
              <w:t>≥4GB</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w:t>
            </w:r>
            <w:r>
              <w:rPr>
                <w:sz w:val="21"/>
              </w:rPr>
              <w:t>独立显卡接口协议：产品支持</w:t>
            </w:r>
            <w:r>
              <w:rPr>
                <w:sz w:val="21"/>
              </w:rPr>
              <w:t>PCIe</w:t>
            </w:r>
            <w:r>
              <w:rPr>
                <w:sz w:val="21"/>
              </w:rPr>
              <w:t>协议版本大于等于</w:t>
            </w:r>
            <w:r>
              <w:rPr>
                <w:sz w:val="21"/>
              </w:rPr>
              <w:t>3.0</w:t>
            </w:r>
            <w:r>
              <w:rPr>
                <w:sz w:val="21"/>
              </w:rPr>
              <w:t>的独立显卡接口协议</w:t>
            </w:r>
            <w:r>
              <w:rPr>
                <w:sz w:val="21"/>
              </w:rPr>
              <w:t>（须承诺</w:t>
            </w:r>
            <w:r>
              <w:rPr>
                <w:sz w:val="21"/>
              </w:rPr>
              <w:t>中标</w:t>
            </w:r>
            <w:r>
              <w:rPr>
                <w:sz w:val="21"/>
              </w:rPr>
              <w:t>后与采购人签订合同后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▲显示屏分辨率：</w:t>
            </w:r>
            <w:r>
              <w:rPr>
                <w:sz w:val="21"/>
              </w:rPr>
              <w:t>≥1920x1200</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w:t>
            </w:r>
            <w:r>
              <w:rPr>
                <w:sz w:val="21"/>
              </w:rPr>
              <w:t>电池快速充电功能：支持快速充电功能，</w:t>
            </w:r>
            <w:r>
              <w:rPr>
                <w:sz w:val="21"/>
              </w:rPr>
              <w:t>USB PD</w:t>
            </w:r>
            <w:r>
              <w:rPr>
                <w:sz w:val="21"/>
              </w:rPr>
              <w:t>（须承诺</w:t>
            </w:r>
            <w:r>
              <w:rPr>
                <w:sz w:val="21"/>
              </w:rPr>
              <w:t>中标</w:t>
            </w:r>
            <w:r>
              <w:rPr>
                <w:sz w:val="21"/>
              </w:rPr>
              <w:t>后与本项目采购人签订合同后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w:t>
            </w:r>
            <w:r>
              <w:rPr>
                <w:sz w:val="21"/>
              </w:rPr>
              <w:t>CPU</w:t>
            </w:r>
            <w:r>
              <w:rPr>
                <w:sz w:val="21"/>
              </w:rPr>
              <w:t>支持的内存最高速率：</w:t>
            </w:r>
            <w:r>
              <w:rPr>
                <w:sz w:val="21"/>
              </w:rPr>
              <w:t>≥3200MT/s</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w:t>
            </w:r>
            <w:r>
              <w:rPr>
                <w:sz w:val="21"/>
              </w:rPr>
              <w:t>内存读写速率：</w:t>
            </w:r>
            <w:r>
              <w:rPr>
                <w:sz w:val="21"/>
              </w:rPr>
              <w:t>≥3200MT/s</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sz w:val="21"/>
              </w:rPr>
              <w:t>▲</w:t>
            </w:r>
            <w:r>
              <w:rPr>
                <w:sz w:val="21"/>
              </w:rPr>
              <w:t>显卡显示芯片核心频率：</w:t>
            </w:r>
            <w:r>
              <w:rPr>
                <w:sz w:val="21"/>
              </w:rPr>
              <w:t>≥1300MHz</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1"/>
              </w:rPr>
              <w:t>▲</w:t>
            </w:r>
            <w:r>
              <w:rPr>
                <w:sz w:val="21"/>
              </w:rPr>
              <w:t>显存等效频率：</w:t>
            </w:r>
            <w:r>
              <w:rPr>
                <w:sz w:val="21"/>
              </w:rPr>
              <w:t>≥4200MT/s</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sz w:val="21"/>
              </w:rPr>
              <w:t>▲</w:t>
            </w:r>
            <w:r>
              <w:rPr>
                <w:sz w:val="21"/>
              </w:rPr>
              <w:t>显示屏亮度：</w:t>
            </w:r>
            <w:r>
              <w:rPr>
                <w:sz w:val="21"/>
              </w:rPr>
              <w:t>≥300</w:t>
            </w:r>
            <w:r>
              <w:rPr>
                <w:sz w:val="21"/>
              </w:rPr>
              <w:t>尼特</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sz w:val="21"/>
              </w:rPr>
              <w:t>▲</w:t>
            </w:r>
            <w:r>
              <w:rPr>
                <w:sz w:val="21"/>
              </w:rPr>
              <w:t>网络设备支持无线网络通信技术协议：支持不低于</w:t>
            </w:r>
            <w:r>
              <w:rPr>
                <w:sz w:val="21"/>
              </w:rPr>
              <w:t>WiFi6</w:t>
            </w:r>
            <w:r>
              <w:rPr>
                <w:sz w:val="21"/>
              </w:rPr>
              <w:t>（须承诺</w:t>
            </w:r>
            <w:r>
              <w:rPr>
                <w:sz w:val="21"/>
              </w:rPr>
              <w:t>中标</w:t>
            </w:r>
            <w:r>
              <w:rPr>
                <w:sz w:val="21"/>
              </w:rPr>
              <w:t>后与采购人签订合同后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1"/>
              </w:rPr>
              <w:t>▲</w:t>
            </w:r>
            <w:r>
              <w:rPr>
                <w:sz w:val="21"/>
              </w:rPr>
              <w:t>网络设备蓝牙协议：支持蓝牙模块，蓝牙协议不低于</w:t>
            </w:r>
            <w:r>
              <w:rPr>
                <w:sz w:val="21"/>
              </w:rPr>
              <w:t>5.2</w:t>
            </w:r>
            <w:r>
              <w:rPr>
                <w:sz w:val="21"/>
              </w:rPr>
              <w:t>版本</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sz w:val="21"/>
              </w:rPr>
              <w:t>▲MTBF</w:t>
            </w:r>
            <w:r>
              <w:rPr>
                <w:sz w:val="21"/>
              </w:rPr>
              <w:t>测试：</w:t>
            </w:r>
            <w:r>
              <w:rPr>
                <w:sz w:val="21"/>
              </w:rPr>
              <w:t>≥30</w:t>
            </w:r>
            <w:r>
              <w:rPr>
                <w:sz w:val="21"/>
              </w:rPr>
              <w:t>万小时</w:t>
            </w:r>
            <w:r>
              <w:rPr>
                <w:sz w:val="21"/>
              </w:rPr>
              <w:t>（须承诺</w:t>
            </w:r>
            <w:r>
              <w:rPr>
                <w:sz w:val="21"/>
              </w:rPr>
              <w:t>中标</w:t>
            </w:r>
            <w:r>
              <w:rPr>
                <w:sz w:val="21"/>
              </w:rPr>
              <w:t>后与采购人签订合同后</w:t>
            </w:r>
            <w:r>
              <w:rPr>
                <w:sz w:val="21"/>
              </w:rPr>
              <w:t>2</w:t>
            </w:r>
            <w:r>
              <w:rPr>
                <w:sz w:val="21"/>
              </w:rPr>
              <w:t>个工作日内</w:t>
            </w:r>
            <w:r>
              <w:rPr>
                <w:sz w:val="21"/>
              </w:rPr>
              <w:t>提供原厂盖章证明材料</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广东省地图院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采购机构代理服务收费标准：http://gpcgd.gd.gov.cn/ywdt/tzgg/content/post_3049076.html（以中标金额为基数计算）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地图院图形工作站和移动工作站采购（2024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采购包1（广东省地图院图形工作站和移动工作站采购（2024年））：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采购包1（广东省地图院图形工作站和移动工作站采购（2024年））：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财务状况报告；或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tc>
      </w:tr>
    </w:tbl>
    <w:p>
      <w:pPr>
        <w:pStyle w:val="null3"/>
        <w:ind w:firstLine="480"/>
      </w:pPr>
      <w:r>
        <w:rPr/>
        <w:t>表二符合性审查表：</w:t>
      </w:r>
    </w:p>
    <w:p>
      <w:pPr>
        <w:pStyle w:val="null3"/>
      </w:pPr>
      <w:r>
        <w:rPr/>
        <w:t>采购包1（广东省地图院图形工作站和移动工作站采购（2024年））：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投标（报价）总金额是固定价且是唯一的，未超过采购预算，分项报价未超过分项采购预算。</w:t>
            </w:r>
          </w:p>
        </w:tc>
        <w:tc>
          <w:tcPr>
            <w:tcW w:type="dxa" w:w="4238"/>
          </w:tcPr>
          <w:p>
            <w:pPr>
              <w:pStyle w:val="null3"/>
            </w:pPr>
            <w:r>
              <w:rPr/>
              <w:t>投标（报价）总金额是固定价且是唯一的，未超过采购预算，分项报价未超过分项采购预算。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采购包1(广东省地图院图形工作站和移动工作站采购（2024年）):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图形工作站技术参数响应 (28.0分)</w:t>
            </w:r>
          </w:p>
        </w:tc>
        <w:tc>
          <w:tcPr>
            <w:tcW w:type="dxa" w:w="5076"/>
          </w:tcPr>
          <w:p>
            <w:pPr>
              <w:pStyle w:val="null3"/>
              <w:jc w:val="left"/>
            </w:pPr>
            <w:r>
              <w:rPr/>
              <w:t>供应商须对用户需求书中的“技术标准与要求”内容中的“附表一：图形工作站”中的“▲”条款逐项响应，每1项完全满足或正偏离的得2分，本项满分28分。投标时出具关于所提供的“图形工作站”是否满足采购文件要求的承诺函（上述指标应逐项响应，未提供对应指标项具体响应数值或内容的，视同负偏离，对应项不得分。可参照“格式”中《承诺函》格式）。</w:t>
            </w:r>
          </w:p>
        </w:tc>
      </w:tr>
      <w:tr>
        <w:tc>
          <w:tcPr>
            <w:tcW w:type="dxa" w:w="922"/>
            <w:gridSpan w:val="2"/>
            <w:vMerge/>
          </w:tcPr>
          <w:p/>
        </w:tc>
        <w:tc>
          <w:tcPr>
            <w:tcW w:type="dxa" w:w="2307"/>
          </w:tcPr>
          <w:p>
            <w:pPr>
              <w:pStyle w:val="null3"/>
              <w:jc w:val="left"/>
            </w:pPr>
            <w:r>
              <w:rPr/>
              <w:t>移动工作站 (16.0分)</w:t>
            </w:r>
          </w:p>
        </w:tc>
        <w:tc>
          <w:tcPr>
            <w:tcW w:type="dxa" w:w="5076"/>
          </w:tcPr>
          <w:p>
            <w:pPr>
              <w:pStyle w:val="null3"/>
              <w:jc w:val="left"/>
            </w:pPr>
            <w:r>
              <w:rPr/>
              <w:t>供应商须对用户需求书中的“技术标准与要求”内容中的“附表二：移动工作站”中的“▲”条款逐项响应，每1项完全满足或正偏离的得1分，本项满分16分。投标时出具关于所提供的“移动工作站”是否满足采购文件要求的承诺函（上述指标应逐项响应，未提供对应指标项具体响应数值或内容的，视同负偏离，对应项不得分。可参照“格式”中《承诺函》格式）。</w:t>
            </w:r>
          </w:p>
        </w:tc>
      </w:tr>
      <w:tr>
        <w:tc>
          <w:tcPr>
            <w:tcW w:type="dxa" w:w="922"/>
            <w:gridSpan w:val="2"/>
            <w:vMerge/>
          </w:tcPr>
          <w:p/>
        </w:tc>
        <w:tc>
          <w:tcPr>
            <w:tcW w:type="dxa" w:w="2307"/>
          </w:tcPr>
          <w:p>
            <w:pPr>
              <w:pStyle w:val="null3"/>
              <w:jc w:val="left"/>
            </w:pPr>
            <w:r>
              <w:rPr/>
              <w:t>技术服务方案 (6.0分)</w:t>
            </w:r>
            <w:r>
              <w:rPr/>
              <w:t>，（等次分值选择：</w:t>
            </w:r>
            <w:r>
              <w:rPr/>
              <w:t>0.0;</w:t>
            </w:r>
            <w:r>
              <w:rPr/>
              <w:t>1.0;</w:t>
            </w:r>
            <w:r>
              <w:rPr/>
              <w:t>4.0;</w:t>
            </w:r>
            <w:r>
              <w:rPr/>
              <w:t>6.0;</w:t>
            </w:r>
            <w:r>
              <w:rPr/>
              <w:t>）</w:t>
            </w:r>
          </w:p>
        </w:tc>
        <w:tc>
          <w:tcPr>
            <w:tcW w:type="dxa" w:w="5076"/>
          </w:tcPr>
          <w:p>
            <w:pPr>
              <w:pStyle w:val="null3"/>
              <w:jc w:val="left"/>
            </w:pPr>
            <w:r>
              <w:rPr/>
              <w:t>根据用户需求书“质保期及售后服务”“技术服务要求”提供服务方案： （1）方案完全满足且优于项目要求的，得6分； （2）方案完全满足项目要求的，得4分；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供应商资质 (2.0分)</w:t>
            </w:r>
          </w:p>
        </w:tc>
        <w:tc>
          <w:tcPr>
            <w:tcW w:type="dxa" w:w="5076"/>
          </w:tcPr>
          <w:p>
            <w:pPr>
              <w:pStyle w:val="null3"/>
              <w:jc w:val="left"/>
            </w:pPr>
            <w:r>
              <w:rPr/>
              <w:t>供应商具有ISO9001质量管理体系认证证书（认证范围与计算机设备相关），得2分 注：须同时提供认证证书复印件及国家认证认可监督管理委员会的“全国认证认可信息公共服务平台”(http://cx.cnca.cn)查询结果截图，失效、撤销或暂停的对应证书项不得分。新设立企业设立时间不足3个月未能取得相关认证且提供书面说明的，可获得对应证书的分值。</w:t>
            </w:r>
          </w:p>
        </w:tc>
      </w:tr>
      <w:tr>
        <w:tc>
          <w:tcPr>
            <w:tcW w:type="dxa" w:w="922"/>
            <w:gridSpan w:val="2"/>
            <w:vMerge/>
          </w:tcPr>
          <w:p/>
        </w:tc>
        <w:tc>
          <w:tcPr>
            <w:tcW w:type="dxa" w:w="2307"/>
          </w:tcPr>
          <w:p>
            <w:pPr>
              <w:pStyle w:val="null3"/>
              <w:jc w:val="left"/>
            </w:pPr>
            <w:r>
              <w:rPr/>
              <w:t>项目服务团队 (4.0分)</w:t>
            </w:r>
          </w:p>
        </w:tc>
        <w:tc>
          <w:tcPr>
            <w:tcW w:type="dxa" w:w="5076"/>
          </w:tcPr>
          <w:p>
            <w:pPr>
              <w:pStyle w:val="null3"/>
              <w:jc w:val="left"/>
            </w:pPr>
            <w:r>
              <w:rPr/>
              <w:t>为保证售后培训服务的质量： 1.项目负责人（项目经理，1人）具有人社部门颁发的信息系统项目管理师证书，得2分； 2.技术负责人（1人）具有人社部门颁发的系统集成项目管理工程师证书，得2分； 注：提供服务团队人员身份证复印件、相关证书复印件及2024年4月以来任意一个月投标人为其依法缴纳社保（须至少包含养老保险）证明。</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供应商提供2021年1月1日至今所投产品同型号产品的销售合同（合同乙方为投标人或厂家），每个0.5分，最多6分；（需提供合同清单、合同封面、关键页、双章页）并盖供应商公章，漏放，错放均不得分。</w:t>
            </w:r>
          </w:p>
        </w:tc>
      </w:tr>
      <w:tr>
        <w:tc>
          <w:tcPr>
            <w:tcW w:type="dxa" w:w="922"/>
            <w:gridSpan w:val="2"/>
            <w:vMerge/>
          </w:tcPr>
          <w:p/>
        </w:tc>
        <w:tc>
          <w:tcPr>
            <w:tcW w:type="dxa" w:w="2307"/>
          </w:tcPr>
          <w:p>
            <w:pPr>
              <w:pStyle w:val="null3"/>
              <w:jc w:val="left"/>
            </w:pPr>
            <w:r>
              <w:rPr/>
              <w:t>制造商售后能力 (4.0分)</w:t>
            </w:r>
          </w:p>
        </w:tc>
        <w:tc>
          <w:tcPr>
            <w:tcW w:type="dxa" w:w="5076"/>
          </w:tcPr>
          <w:p>
            <w:pPr>
              <w:pStyle w:val="null3"/>
              <w:jc w:val="left"/>
            </w:pPr>
            <w:r>
              <w:rPr/>
              <w:t>为了保证原厂售后服务质量，所投产品厂家具有： 通过GB/T 27922商品售后服务评价体系的认证（认证覆盖的业务范围须与计算机设备的售后服务相关)，具备相关认证证书，得4分。 注：提供证书复印件加盖投标人公章，并同时提供在“全国认证认可信息公共服务平台”(http://cx.cnca.cn)对体系证书的信息查询截图作为评审依据，已暂停、失效、撤消、认证范围不符合要求的或不提供的不得分。 新设立企业成立时间不足3个月未能取得相关认证且提供书面说明的，可获得对应证书的分值。 若所投产品涉及多个制造商，则涉及制造商都需要提供相关材料，否则不得分。</w:t>
            </w:r>
          </w:p>
        </w:tc>
      </w:tr>
      <w:tr>
        <w:tc>
          <w:tcPr>
            <w:tcW w:type="dxa" w:w="922"/>
            <w:gridSpan w:val="2"/>
            <w:vMerge/>
          </w:tcPr>
          <w:p/>
        </w:tc>
        <w:tc>
          <w:tcPr>
            <w:tcW w:type="dxa" w:w="2307"/>
          </w:tcPr>
          <w:p>
            <w:pPr>
              <w:pStyle w:val="null3"/>
              <w:jc w:val="left"/>
            </w:pPr>
            <w:r>
              <w:rPr/>
              <w:t>整机质量服务要求 (4.0分)</w:t>
            </w:r>
          </w:p>
        </w:tc>
        <w:tc>
          <w:tcPr>
            <w:tcW w:type="dxa" w:w="5076"/>
          </w:tcPr>
          <w:p>
            <w:pPr>
              <w:pStyle w:val="null3"/>
              <w:jc w:val="left"/>
            </w:pPr>
            <w:r>
              <w:rPr/>
              <w:t>对整机质量服务进行评审： 提供所投产品不少于5年原厂保修、保修期内硬盘损坏提供更换免回收服务，费用已包含在报价中，不得另外收取。 供应商承诺提供所投产品不少于5年的原厂保修期、保修期内提供硬盘损坏更换免回收服务（投标人盖章），同时承诺中标后与本项目采购人签订合同后2个工作日内提供所投产品制造商盖章的不少于5年的原厂质保和售后服务证明材料的，得4分。无响应或不按要求响应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22"/>
          <w:color w:val="000000"/>
        </w:rPr>
        <w:t>(</w:t>
      </w:r>
      <w:r>
        <w:rPr>
          <w:sz w:val="22"/>
          <w:color w:val="000000"/>
        </w:rPr>
        <w:t>注：本合同为初稿，最终以乙方响应情况并经甲乙双方协商一致的合同为准）</w:t>
      </w:r>
    </w:p>
    <w:p>
      <w:pPr>
        <w:pStyle w:val="null3"/>
        <w:ind w:firstLine="721"/>
      </w:pPr>
      <w:r>
        <w:rPr>
          <w:sz w:val="24"/>
        </w:rPr>
        <w:t>项目名称：</w:t>
      </w:r>
      <w:r>
        <w:rPr>
          <w:sz w:val="24"/>
          <w:u w:val="single"/>
        </w:rPr>
        <w:t>广东省地图院图形工作站和移动工作站采购（</w:t>
      </w:r>
      <w:r>
        <w:rPr>
          <w:sz w:val="24"/>
          <w:u w:val="single"/>
        </w:rPr>
        <w:t>2024</w:t>
      </w:r>
      <w:r>
        <w:rPr>
          <w:sz w:val="24"/>
          <w:u w:val="single"/>
        </w:rPr>
        <w:t>年）</w:t>
      </w:r>
    </w:p>
    <w:p>
      <w:pPr>
        <w:pStyle w:val="null3"/>
        <w:ind w:left="420"/>
        <w:jc w:val="both"/>
      </w:pPr>
      <w:r>
        <w:rPr>
          <w:sz w:val="24"/>
        </w:rPr>
        <w:t>合同编号：</w:t>
      </w:r>
      <w:r>
        <w:rPr>
          <w:sz w:val="21"/>
          <w:u w:val="single"/>
        </w:rPr>
        <w:t xml:space="preserve">                            </w:t>
      </w:r>
    </w:p>
    <w:p>
      <w:pPr>
        <w:pStyle w:val="null3"/>
        <w:ind w:left="420"/>
        <w:jc w:val="both"/>
      </w:pPr>
      <w:r>
        <w:rPr>
          <w:sz w:val="24"/>
        </w:rPr>
        <w:t>甲</w:t>
      </w:r>
      <w:r>
        <w:rPr>
          <w:sz w:val="21"/>
        </w:rPr>
        <w:t xml:space="preserve">    </w:t>
      </w:r>
      <w:r>
        <w:rPr>
          <w:sz w:val="24"/>
        </w:rPr>
        <w:t>方：</w:t>
      </w:r>
      <w:r>
        <w:rPr>
          <w:sz w:val="21"/>
          <w:u w:val="single"/>
        </w:rPr>
        <w:t xml:space="preserve">         </w:t>
      </w:r>
      <w:r>
        <w:rPr>
          <w:sz w:val="24"/>
          <w:u w:val="single"/>
        </w:rPr>
        <w:t>广东省地图院</w:t>
      </w:r>
      <w:r>
        <w:rPr>
          <w:sz w:val="21"/>
          <w:u w:val="single"/>
        </w:rPr>
        <w:t xml:space="preserve">       </w:t>
      </w:r>
    </w:p>
    <w:p>
      <w:pPr>
        <w:pStyle w:val="null3"/>
        <w:ind w:left="420"/>
        <w:jc w:val="both"/>
      </w:pPr>
      <w:r>
        <w:rPr>
          <w:sz w:val="24"/>
        </w:rPr>
        <w:t>乙</w:t>
      </w:r>
      <w:r>
        <w:rPr>
          <w:sz w:val="21"/>
        </w:rPr>
        <w:t xml:space="preserve">    </w:t>
      </w:r>
      <w:r>
        <w:rPr>
          <w:sz w:val="24"/>
        </w:rPr>
        <w:t>方：</w:t>
      </w:r>
      <w:r>
        <w:rPr>
          <w:sz w:val="21"/>
          <w:u w:val="single"/>
        </w:rPr>
        <w:t xml:space="preserve">                             </w:t>
      </w:r>
    </w:p>
    <w:p>
      <w:pPr>
        <w:pStyle w:val="null3"/>
        <w:ind w:left="420"/>
        <w:jc w:val="both"/>
      </w:pPr>
      <w:r>
        <w:rPr>
          <w:sz w:val="24"/>
        </w:rPr>
        <w:t>签订时间：</w:t>
      </w:r>
      <w:r>
        <w:rPr>
          <w:sz w:val="21"/>
          <w:u w:val="single"/>
        </w:rPr>
        <w:t xml:space="preserve">                             </w:t>
      </w:r>
    </w:p>
    <w:p>
      <w:pPr>
        <w:pStyle w:val="null3"/>
        <w:jc w:val="both"/>
        <w:outlineLvl w:val="1"/>
      </w:pPr>
      <w:r>
        <w:rPr>
          <w:sz w:val="28"/>
          <w:b/>
        </w:rPr>
        <w:t xml:space="preserve">第一节 </w:t>
      </w:r>
      <w:r>
        <w:rPr>
          <w:sz w:val="28"/>
          <w:b/>
        </w:rPr>
        <w:t>政府采购合同协议书</w:t>
      </w:r>
    </w:p>
    <w:p>
      <w:pPr>
        <w:pStyle w:val="null3"/>
        <w:jc w:val="both"/>
      </w:pPr>
      <w:r>
        <w:rPr>
          <w:sz w:val="21"/>
        </w:rPr>
        <w:t>甲方（全称）：</w:t>
      </w:r>
      <w:r>
        <w:rPr>
          <w:sz w:val="21"/>
          <w:u w:val="single"/>
        </w:rPr>
        <w:t xml:space="preserve">    广东省地图院        </w:t>
      </w:r>
      <w:r>
        <w:rPr>
          <w:sz w:val="21"/>
        </w:rPr>
        <w:t>（采购人）</w:t>
      </w:r>
    </w:p>
    <w:p>
      <w:pPr>
        <w:pStyle w:val="null3"/>
        <w:jc w:val="both"/>
      </w:pPr>
      <w:r>
        <w:rPr>
          <w:sz w:val="21"/>
        </w:rPr>
        <w:t>乙方（全称）：</w:t>
      </w:r>
      <w:r>
        <w:rPr>
          <w:sz w:val="21"/>
          <w:u w:val="single"/>
        </w:rPr>
        <w:t xml:space="preserve">                       </w:t>
      </w:r>
      <w:r>
        <w:rPr>
          <w:sz w:val="21"/>
        </w:rPr>
        <w:t>（供应商）</w:t>
      </w:r>
    </w:p>
    <w:p>
      <w:pPr>
        <w:pStyle w:val="null3"/>
        <w:jc w:val="both"/>
      </w:pPr>
      <w:r>
        <w:rPr>
          <w:sz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r>
        <w:rPr>
          <w:sz w:val="21"/>
          <w:u w:val="single"/>
        </w:rPr>
        <w:t xml:space="preserve">   广东省地图院图形工作站和移动工作站采购（2024年）</w:t>
      </w:r>
    </w:p>
    <w:p>
      <w:pPr>
        <w:pStyle w:val="null3"/>
        <w:jc w:val="both"/>
      </w:pPr>
      <w:r>
        <w:rPr>
          <w:sz w:val="21"/>
        </w:rPr>
        <w:t xml:space="preserve">         </w:t>
      </w:r>
      <w:r>
        <w:rPr>
          <w:sz w:val="21"/>
        </w:rPr>
        <w:t>采购项目编号：</w:t>
      </w:r>
      <w:r>
        <w:rPr>
          <w:sz w:val="21"/>
          <w:u w:val="single"/>
        </w:rPr>
        <w:t xml:space="preserve">    GPCGD243109HG224J                                </w:t>
      </w:r>
    </w:p>
    <w:p>
      <w:pPr>
        <w:pStyle w:val="null3"/>
        <w:ind w:firstLine="420"/>
        <w:jc w:val="both"/>
      </w:pPr>
      <w:r>
        <w:rPr>
          <w:sz w:val="21"/>
        </w:rPr>
        <w:t>（2）采购计划编号：</w:t>
      </w:r>
      <w:r>
        <w:rPr>
          <w:sz w:val="21"/>
          <w:u w:val="single"/>
        </w:rPr>
        <w:t xml:space="preserve">    440001-2024-06136                                </w:t>
      </w:r>
      <w:r>
        <w:rPr>
          <w:sz w:val="21"/>
        </w:rPr>
        <w:t xml:space="preserve"> </w:t>
      </w:r>
    </w:p>
    <w:p>
      <w:pPr>
        <w:pStyle w:val="null3"/>
        <w:ind w:firstLine="420"/>
        <w:jc w:val="both"/>
      </w:pPr>
      <w:r>
        <w:rPr>
          <w:sz w:val="21"/>
        </w:rPr>
        <w:t>（3）项目内容：</w:t>
      </w:r>
    </w:p>
    <w:p>
      <w:pPr>
        <w:pStyle w:val="null3"/>
        <w:ind w:firstLine="420"/>
        <w:jc w:val="both"/>
      </w:pPr>
      <w:r>
        <w:rPr>
          <w:sz w:val="21"/>
        </w:rPr>
        <w:t xml:space="preserve">     </w:t>
      </w:r>
      <w:r>
        <w:rPr>
          <w:sz w:val="21"/>
        </w:rPr>
        <w:t>①采购标的及数量（台/套</w:t>
      </w:r>
      <w:r>
        <w:rPr>
          <w:sz w:val="21"/>
        </w:rPr>
        <w:t>/</w:t>
      </w:r>
      <w:r>
        <w:rPr>
          <w:sz w:val="21"/>
        </w:rPr>
        <w:t>个/架/组等</w:t>
      </w:r>
      <w:r>
        <w:rPr>
          <w:sz w:val="21"/>
        </w:rPr>
        <w:t>）：</w:t>
      </w:r>
      <w:r>
        <w:rPr>
          <w:sz w:val="21"/>
          <w:u w:val="single"/>
        </w:rPr>
        <w:t xml:space="preserve">    图形工作站55台  </w:t>
      </w:r>
    </w:p>
    <w:p>
      <w:pPr>
        <w:pStyle w:val="null3"/>
        <w:ind w:firstLine="420"/>
        <w:jc w:val="both"/>
      </w:pPr>
      <w:r>
        <w:rPr>
          <w:sz w:val="21"/>
        </w:rPr>
        <w:t xml:space="preserve">     </w:t>
      </w:r>
      <w:r>
        <w:rPr>
          <w:sz w:val="21"/>
        </w:rPr>
        <w:t>品牌：</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r>
        <w:rPr>
          <w:sz w:val="21"/>
        </w:rPr>
        <w:t>规格型号：</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050"/>
        <w:jc w:val="both"/>
      </w:pPr>
      <w:r>
        <w:rPr>
          <w:sz w:val="21"/>
        </w:rPr>
        <w:t>②采购标的及数量（台/套</w:t>
      </w:r>
      <w:r>
        <w:rPr>
          <w:sz w:val="21"/>
        </w:rPr>
        <w:t>/</w:t>
      </w:r>
      <w:r>
        <w:rPr>
          <w:sz w:val="21"/>
        </w:rPr>
        <w:t>个/架/组等</w:t>
      </w:r>
      <w:r>
        <w:rPr>
          <w:sz w:val="21"/>
        </w:rPr>
        <w:t>）：</w:t>
      </w:r>
      <w:r>
        <w:rPr>
          <w:sz w:val="21"/>
          <w:u w:val="single"/>
        </w:rPr>
        <w:t xml:space="preserve">   移动工作站11台  </w:t>
      </w:r>
    </w:p>
    <w:p>
      <w:pPr>
        <w:pStyle w:val="null3"/>
        <w:ind w:firstLine="420"/>
        <w:jc w:val="both"/>
      </w:pPr>
      <w:r>
        <w:rPr>
          <w:sz w:val="21"/>
        </w:rPr>
        <w:t xml:space="preserve">     </w:t>
      </w:r>
      <w:r>
        <w:rPr>
          <w:sz w:val="21"/>
        </w:rPr>
        <w:t>品牌：</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r>
        <w:rPr>
          <w:sz w:val="21"/>
        </w:rPr>
        <w:t>规格型号：</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945"/>
        <w:jc w:val="both"/>
      </w:pPr>
      <w:r>
        <w:rPr>
          <w:sz w:val="21"/>
        </w:rPr>
        <w:t>采购标的的技术要求、商务要求具体见附件。</w:t>
      </w:r>
    </w:p>
    <w:p>
      <w:pPr>
        <w:pStyle w:val="null3"/>
        <w:ind w:firstLine="945"/>
        <w:jc w:val="both"/>
      </w:pPr>
      <w:r>
        <w:rPr>
          <w:sz w:val="21"/>
        </w:rPr>
        <w:t>①</w:t>
      </w:r>
      <w:r>
        <w:rPr>
          <w:sz w:val="21"/>
        </w:rPr>
        <w:t>涉及信息类产品，请填写该产品关键部件的品牌、型号：</w:t>
      </w:r>
    </w:p>
    <w:p>
      <w:pPr>
        <w:pStyle w:val="null3"/>
        <w:ind w:firstLine="420"/>
        <w:jc w:val="both"/>
      </w:pPr>
      <w:r>
        <w:rPr>
          <w:sz w:val="21"/>
        </w:rPr>
        <w:t xml:space="preserve">     </w:t>
      </w:r>
      <w:r>
        <w:rPr>
          <w:sz w:val="21"/>
        </w:rPr>
        <w:t>标的名称：</w:t>
      </w:r>
      <w:r>
        <w:rPr>
          <w:sz w:val="21"/>
          <w:u w:val="single"/>
        </w:rPr>
        <w:t xml:space="preserve">  </w:t>
      </w:r>
      <w:r>
        <w:rPr>
          <w:sz w:val="21"/>
          <w:u w:val="single"/>
        </w:rPr>
        <w:t xml:space="preserve">图形工作站 </w:t>
      </w:r>
      <w:r>
        <w:rPr>
          <w:sz w:val="21"/>
          <w:u w:val="single"/>
        </w:rPr>
        <w:t xml:space="preserve">      </w:t>
      </w:r>
      <w:r>
        <w:rPr>
          <w:sz w:val="21"/>
          <w:u w:val="single"/>
        </w:rPr>
        <w:t xml:space="preserve">    </w:t>
      </w:r>
    </w:p>
    <w:p>
      <w:pPr>
        <w:pStyle w:val="null3"/>
        <w:ind w:firstLine="420"/>
        <w:jc w:val="both"/>
      </w:pPr>
      <w:r>
        <w:rPr>
          <w:sz w:val="21"/>
        </w:rPr>
        <w:t xml:space="preserve">     </w:t>
      </w:r>
      <w:r>
        <w:rPr>
          <w:sz w:val="21"/>
        </w:rPr>
        <w:t>关键部件：</w:t>
      </w:r>
      <w:r>
        <w:rPr>
          <w:sz w:val="21"/>
          <w:u w:val="single"/>
        </w:rPr>
        <w:t xml:space="preserve"> CPU</w:t>
      </w:r>
      <w:r>
        <w:rPr>
          <w:sz w:val="21"/>
          <w:u w:val="single"/>
        </w:rPr>
        <w:t xml:space="preserve">芯片 </w:t>
      </w:r>
      <w:r>
        <w:rPr>
          <w:sz w:val="21"/>
        </w:rPr>
        <w:t xml:space="preserve"> </w:t>
      </w:r>
      <w:r>
        <w:rPr>
          <w:sz w:val="21"/>
        </w:rPr>
        <w:t>品牌：</w:t>
      </w:r>
      <w:r>
        <w:rPr>
          <w:sz w:val="21"/>
          <w:u w:val="single"/>
        </w:rPr>
        <w:t xml:space="preserve">        </w:t>
      </w:r>
      <w:r>
        <w:rPr>
          <w:sz w:val="21"/>
        </w:rPr>
        <w:t xml:space="preserve"> 型号：</w:t>
      </w:r>
      <w:r>
        <w:rPr>
          <w:sz w:val="21"/>
          <w:u w:val="single"/>
        </w:rPr>
        <w:t xml:space="preserve">      </w:t>
      </w:r>
      <w:r>
        <w:rPr>
          <w:sz w:val="21"/>
        </w:rPr>
        <w:t xml:space="preserve"> </w:t>
      </w:r>
    </w:p>
    <w:p>
      <w:pPr>
        <w:pStyle w:val="null3"/>
        <w:ind w:firstLine="420"/>
        <w:jc w:val="both"/>
      </w:pPr>
      <w:r>
        <w:rPr>
          <w:sz w:val="21"/>
        </w:rPr>
        <w:t xml:space="preserve">     </w:t>
      </w:r>
      <w:r>
        <w:rPr>
          <w:sz w:val="21"/>
        </w:rPr>
        <w:t>关键部件：</w:t>
      </w:r>
      <w:r>
        <w:rPr>
          <w:sz w:val="21"/>
          <w:u w:val="single"/>
        </w:rPr>
        <w:t xml:space="preserve"> 操作系统 </w:t>
      </w:r>
      <w:r>
        <w:rPr>
          <w:sz w:val="21"/>
        </w:rPr>
        <w:t xml:space="preserve"> </w:t>
      </w:r>
      <w:r>
        <w:rPr>
          <w:sz w:val="21"/>
        </w:rPr>
        <w:t>品牌：</w:t>
      </w:r>
      <w:r>
        <w:rPr>
          <w:sz w:val="21"/>
          <w:u w:val="single"/>
        </w:rPr>
        <w:t xml:space="preserve">        </w:t>
      </w:r>
      <w:r>
        <w:rPr>
          <w:sz w:val="21"/>
        </w:rPr>
        <w:t xml:space="preserve"> 型号：</w:t>
      </w:r>
      <w:r>
        <w:rPr>
          <w:sz w:val="21"/>
          <w:u w:val="single"/>
        </w:rPr>
        <w:t xml:space="preserve">      </w:t>
      </w:r>
      <w:r>
        <w:rPr>
          <w:sz w:val="21"/>
        </w:rPr>
        <w:t xml:space="preserve"> </w:t>
      </w:r>
    </w:p>
    <w:p>
      <w:pPr>
        <w:pStyle w:val="null3"/>
        <w:ind w:firstLine="945"/>
        <w:jc w:val="both"/>
      </w:pPr>
      <w:r>
        <w:rPr>
          <w:sz w:val="21"/>
        </w:rPr>
        <w:t>②涉及信息类产品，请填写该产品关键部件的品牌、型号：</w:t>
      </w:r>
    </w:p>
    <w:p>
      <w:pPr>
        <w:pStyle w:val="null3"/>
        <w:ind w:firstLine="420"/>
        <w:jc w:val="both"/>
      </w:pPr>
      <w:r>
        <w:rPr>
          <w:sz w:val="21"/>
        </w:rPr>
        <w:t xml:space="preserve">     </w:t>
      </w:r>
      <w:r>
        <w:rPr>
          <w:sz w:val="21"/>
        </w:rPr>
        <w:t>标的名称：</w:t>
      </w:r>
      <w:r>
        <w:rPr>
          <w:sz w:val="21"/>
          <w:u w:val="single"/>
        </w:rPr>
        <w:t xml:space="preserve">  </w:t>
      </w:r>
      <w:r>
        <w:rPr>
          <w:sz w:val="21"/>
          <w:u w:val="single"/>
        </w:rPr>
        <w:t>移动工作站</w:t>
      </w:r>
      <w:r>
        <w:rPr>
          <w:sz w:val="21"/>
          <w:u w:val="single"/>
        </w:rPr>
        <w:t xml:space="preserve">       </w:t>
      </w:r>
      <w:r>
        <w:rPr>
          <w:sz w:val="21"/>
          <w:u w:val="single"/>
        </w:rPr>
        <w:t xml:space="preserve">    </w:t>
      </w:r>
    </w:p>
    <w:p>
      <w:pPr>
        <w:pStyle w:val="null3"/>
        <w:ind w:firstLine="420"/>
        <w:jc w:val="both"/>
      </w:pPr>
      <w:r>
        <w:rPr>
          <w:sz w:val="21"/>
        </w:rPr>
        <w:t xml:space="preserve">     </w:t>
      </w:r>
      <w:r>
        <w:rPr>
          <w:sz w:val="21"/>
        </w:rPr>
        <w:t>关键部件：</w:t>
      </w:r>
      <w:r>
        <w:rPr>
          <w:sz w:val="21"/>
          <w:u w:val="single"/>
        </w:rPr>
        <w:t xml:space="preserve"> CPU</w:t>
      </w:r>
      <w:r>
        <w:rPr>
          <w:sz w:val="21"/>
          <w:u w:val="single"/>
        </w:rPr>
        <w:t xml:space="preserve">芯片 </w:t>
      </w:r>
      <w:r>
        <w:rPr>
          <w:sz w:val="21"/>
        </w:rPr>
        <w:t xml:space="preserve"> </w:t>
      </w:r>
      <w:r>
        <w:rPr>
          <w:sz w:val="21"/>
        </w:rPr>
        <w:t>品牌：</w:t>
      </w:r>
      <w:r>
        <w:rPr>
          <w:sz w:val="21"/>
          <w:u w:val="single"/>
        </w:rPr>
        <w:t xml:space="preserve">        </w:t>
      </w:r>
      <w:r>
        <w:rPr>
          <w:sz w:val="21"/>
        </w:rPr>
        <w:t xml:space="preserve"> 型号：</w:t>
      </w:r>
      <w:r>
        <w:rPr>
          <w:sz w:val="21"/>
          <w:u w:val="single"/>
        </w:rPr>
        <w:t xml:space="preserve">      </w:t>
      </w:r>
      <w:r>
        <w:rPr>
          <w:sz w:val="21"/>
        </w:rPr>
        <w:t xml:space="preserve"> </w:t>
      </w:r>
    </w:p>
    <w:p>
      <w:pPr>
        <w:pStyle w:val="null3"/>
        <w:ind w:firstLine="420"/>
        <w:jc w:val="both"/>
      </w:pPr>
      <w:r>
        <w:rPr>
          <w:sz w:val="21"/>
        </w:rPr>
        <w:t xml:space="preserve">     </w:t>
      </w:r>
      <w:r>
        <w:rPr>
          <w:sz w:val="21"/>
        </w:rPr>
        <w:t>关键部件：</w:t>
      </w:r>
      <w:r>
        <w:rPr>
          <w:sz w:val="21"/>
          <w:u w:val="single"/>
        </w:rPr>
        <w:t xml:space="preserve"> 操作系统 </w:t>
      </w:r>
      <w:r>
        <w:rPr>
          <w:sz w:val="21"/>
        </w:rPr>
        <w:t xml:space="preserve"> </w:t>
      </w:r>
      <w:r>
        <w:rPr>
          <w:sz w:val="21"/>
        </w:rPr>
        <w:t>品牌：</w:t>
      </w:r>
      <w:r>
        <w:rPr>
          <w:sz w:val="21"/>
          <w:u w:val="single"/>
        </w:rPr>
        <w:t xml:space="preserve">        </w:t>
      </w:r>
      <w:r>
        <w:rPr>
          <w:sz w:val="21"/>
        </w:rPr>
        <w:t xml:space="preserve"> 型号：</w:t>
      </w:r>
      <w:r>
        <w:rPr>
          <w:sz w:val="21"/>
          <w:u w:val="single"/>
        </w:rPr>
        <w:t xml:space="preserve">      </w:t>
      </w:r>
      <w:r>
        <w:rPr>
          <w:sz w:val="21"/>
        </w:rPr>
        <w:t xml:space="preserve"> </w:t>
      </w:r>
    </w:p>
    <w:p>
      <w:pPr>
        <w:pStyle w:val="null3"/>
      </w:pPr>
      <w:r>
        <w:rPr>
          <w:sz w:val="22"/>
        </w:rPr>
        <w:t xml:space="preserve">   </w:t>
      </w:r>
      <w:r>
        <w:rPr>
          <w:sz w:val="21"/>
        </w:rPr>
        <w:t>（注：关键部件是指财政部会同有关部门发布的政府采购需求标准规定的需要通过国家有关部门指定的测评机构开展的安全可靠测评的软硬件，如CPU芯片、操作系统、数据库等。）</w:t>
      </w:r>
    </w:p>
    <w:p>
      <w:pPr>
        <w:pStyle w:val="null3"/>
      </w:pPr>
      <w:r>
        <w:rPr>
          <w:sz w:val="22"/>
        </w:rPr>
        <w:t xml:space="preserve">    </w:t>
      </w:r>
      <w:r>
        <w:rPr>
          <w:sz w:val="21"/>
        </w:rPr>
        <w:t>（</w:t>
      </w:r>
      <w:r>
        <w:rPr>
          <w:sz w:val="21"/>
        </w:rPr>
        <w:t>4</w:t>
      </w:r>
      <w:r>
        <w:rPr>
          <w:sz w:val="21"/>
        </w:rPr>
        <w:t>）政府采购组织形式：</w:t>
      </w:r>
      <w:r>
        <w:rPr>
          <w:sz w:val="21"/>
        </w:rPr>
        <w:t>¨</w:t>
      </w:r>
      <w:r>
        <w:rPr>
          <w:sz w:val="21"/>
        </w:rPr>
        <w:t xml:space="preserve">政府集中采购  </w:t>
      </w:r>
      <w:r>
        <w:rPr>
          <w:sz w:val="21"/>
        </w:rPr>
        <w:t>¨</w:t>
      </w:r>
      <w:r>
        <w:rPr>
          <w:sz w:val="21"/>
        </w:rPr>
        <w:t xml:space="preserve">部门集中采购  </w:t>
      </w:r>
      <w:r>
        <w:rPr>
          <w:sz w:val="21"/>
        </w:rPr>
        <w:t>þ</w:t>
      </w:r>
      <w:r>
        <w:rPr>
          <w:sz w:val="21"/>
        </w:rPr>
        <w:t>分散采购</w:t>
      </w:r>
    </w:p>
    <w:p>
      <w:pPr>
        <w:pStyle w:val="null3"/>
        <w:ind w:firstLine="420"/>
      </w:pPr>
      <w:r>
        <w:rPr>
          <w:sz w:val="21"/>
        </w:rPr>
        <w:t>（</w:t>
      </w:r>
      <w:r>
        <w:rPr>
          <w:sz w:val="21"/>
        </w:rPr>
        <w:t>5</w:t>
      </w:r>
      <w:r>
        <w:rPr>
          <w:sz w:val="21"/>
        </w:rPr>
        <w:t>）政府采购方式：</w:t>
      </w:r>
      <w:r>
        <w:rPr>
          <w:sz w:val="21"/>
        </w:rPr>
        <w:t>þ</w:t>
      </w:r>
      <w:r>
        <w:rPr>
          <w:sz w:val="21"/>
        </w:rPr>
        <w:t xml:space="preserve">公开招标 </w:t>
      </w:r>
      <w:r>
        <w:rPr>
          <w:sz w:val="21"/>
        </w:rPr>
        <w:t>¨</w:t>
      </w:r>
      <w:r>
        <w:rPr>
          <w:sz w:val="21"/>
        </w:rPr>
        <w:t xml:space="preserve">邀请招标 </w:t>
      </w:r>
      <w:r>
        <w:rPr>
          <w:sz w:val="21"/>
        </w:rPr>
        <w:t>¨</w:t>
      </w:r>
      <w:r>
        <w:rPr>
          <w:sz w:val="21"/>
        </w:rPr>
        <w:t xml:space="preserve">竞争性谈判 </w:t>
      </w:r>
      <w:r>
        <w:rPr>
          <w:sz w:val="21"/>
        </w:rPr>
        <w:t>¨</w:t>
      </w:r>
      <w:r>
        <w:rPr>
          <w:sz w:val="21"/>
        </w:rPr>
        <w:t>竞争性磋商</w:t>
      </w:r>
    </w:p>
    <w:p>
      <w:pPr>
        <w:pStyle w:val="null3"/>
        <w:ind w:firstLine="420"/>
      </w:pPr>
      <w:r>
        <w:rPr>
          <w:sz w:val="22"/>
        </w:rPr>
        <w:t xml:space="preserve">                  </w:t>
      </w:r>
      <w:r>
        <w:rPr>
          <w:sz w:val="21"/>
        </w:rPr>
        <w:t>¨</w:t>
      </w:r>
      <w:r>
        <w:rPr>
          <w:sz w:val="21"/>
        </w:rPr>
        <w:t xml:space="preserve">询价 </w:t>
      </w:r>
      <w:r>
        <w:rPr>
          <w:sz w:val="21"/>
        </w:rPr>
        <w:t>¨</w:t>
      </w:r>
      <w:r>
        <w:rPr>
          <w:sz w:val="21"/>
        </w:rPr>
        <w:t xml:space="preserve">单一来源 </w:t>
      </w:r>
      <w:r>
        <w:rPr>
          <w:sz w:val="21"/>
        </w:rPr>
        <w:t>¨</w:t>
      </w:r>
      <w:r>
        <w:rPr>
          <w:sz w:val="21"/>
        </w:rPr>
        <w:t xml:space="preserve">框架协议 </w:t>
      </w:r>
      <w:r>
        <w:rPr>
          <w:sz w:val="21"/>
        </w:rPr>
        <w:t>¨</w:t>
      </w:r>
      <w:r>
        <w:rPr>
          <w:sz w:val="21"/>
        </w:rPr>
        <w:t>其他：</w:t>
      </w:r>
      <w:r>
        <w:rPr>
          <w:sz w:val="21"/>
          <w:u w:val="single"/>
        </w:rPr>
        <w:t xml:space="preserve">         </w:t>
      </w:r>
    </w:p>
    <w:p>
      <w:pPr>
        <w:pStyle w:val="null3"/>
        <w:ind w:firstLine="420"/>
      </w:pPr>
      <w:r>
        <w:rPr>
          <w:sz w:val="21"/>
        </w:rPr>
        <w:t>（注：在框架协议采购的第二阶段，可选择使用该合同文本）</w:t>
      </w:r>
    </w:p>
    <w:p>
      <w:pPr>
        <w:pStyle w:val="null3"/>
        <w:ind w:firstLine="220"/>
      </w:pPr>
      <w:r>
        <w:rPr>
          <w:sz w:val="22"/>
        </w:rPr>
        <w:t xml:space="preserve"> （</w:t>
      </w:r>
      <w:r>
        <w:rPr>
          <w:sz w:val="22"/>
        </w:rPr>
        <w:t>6</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jc w:val="both"/>
      </w:pPr>
      <w:r>
        <w:rPr>
          <w:sz w:val="21"/>
        </w:rPr>
        <w:t xml:space="preserve">         </w:t>
      </w:r>
      <w:r>
        <w:rPr>
          <w:sz w:val="21"/>
        </w:rPr>
        <w:t>中标（成交）采购标的制造商是否为残疾人福利性单位：</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中标（成交）采购标的制造商是否为监狱企业：</w:t>
      </w:r>
      <w:r>
        <w:rPr>
          <w:sz w:val="21"/>
        </w:rPr>
        <w:t>¨</w:t>
      </w:r>
      <w:r>
        <w:rPr>
          <w:sz w:val="21"/>
        </w:rPr>
        <w:t xml:space="preserve">是       </w:t>
      </w:r>
      <w:r>
        <w:rPr>
          <w:sz w:val="21"/>
        </w:rPr>
        <w:t>¨</w:t>
      </w:r>
      <w:r>
        <w:rPr>
          <w:sz w:val="21"/>
        </w:rPr>
        <w:t>否</w:t>
      </w:r>
    </w:p>
    <w:p>
      <w:pPr>
        <w:pStyle w:val="null3"/>
        <w:ind w:firstLine="420"/>
        <w:jc w:val="both"/>
      </w:pPr>
      <w:r>
        <w:rPr>
          <w:sz w:val="21"/>
        </w:rPr>
        <w:t>（</w:t>
      </w:r>
      <w:r>
        <w:rPr>
          <w:sz w:val="21"/>
        </w:rPr>
        <w:t>7</w:t>
      </w:r>
      <w:r>
        <w:rPr>
          <w:sz w:val="21"/>
        </w:rPr>
        <w:t>）合同是否分包：</w:t>
      </w:r>
      <w:r>
        <w:rPr>
          <w:sz w:val="21"/>
        </w:rPr>
        <w:t>¨</w:t>
      </w:r>
      <w:r>
        <w:rPr>
          <w:sz w:val="21"/>
        </w:rPr>
        <w:t xml:space="preserve">是       </w:t>
      </w:r>
      <w:r>
        <w:rPr>
          <w:sz w:val="21"/>
        </w:rPr>
        <w:t>þ</w:t>
      </w:r>
      <w:r>
        <w:rPr>
          <w:sz w:val="21"/>
        </w:rPr>
        <w:t>否</w:t>
      </w:r>
    </w:p>
    <w:p>
      <w:pPr>
        <w:pStyle w:val="null3"/>
        <w:ind w:firstLine="840"/>
        <w:jc w:val="both"/>
      </w:pPr>
      <w:r>
        <w:rPr>
          <w:sz w:val="21"/>
        </w:rPr>
        <w:t xml:space="preserve"> </w:t>
      </w:r>
      <w:r>
        <w:rPr>
          <w:sz w:val="21"/>
        </w:rPr>
        <w:t>分包主要内容：</w:t>
      </w:r>
      <w:r>
        <w:rPr>
          <w:sz w:val="21"/>
          <w:u w:val="single"/>
        </w:rPr>
        <w:t xml:space="preserve">     /                                      </w:t>
      </w:r>
    </w:p>
    <w:p>
      <w:pPr>
        <w:pStyle w:val="null3"/>
        <w:ind w:firstLine="840"/>
        <w:jc w:val="both"/>
      </w:pPr>
      <w:r>
        <w:rPr>
          <w:sz w:val="21"/>
        </w:rPr>
        <w:t xml:space="preserve"> </w:t>
      </w:r>
      <w:r>
        <w:rPr>
          <w:sz w:val="21"/>
        </w:rPr>
        <w:t>分包供应商/制造商名称（如供应商和制造商不同，请分别填写）：</w:t>
      </w:r>
    </w:p>
    <w:p>
      <w:pPr>
        <w:pStyle w:val="null3"/>
        <w:ind w:firstLine="840"/>
        <w:jc w:val="both"/>
      </w:pPr>
      <w:r>
        <w:rPr>
          <w:sz w:val="21"/>
        </w:rPr>
        <w:t xml:space="preserve"> </w:t>
      </w:r>
      <w:r>
        <w:rPr>
          <w:sz w:val="21"/>
          <w:u w:val="single"/>
        </w:rPr>
        <w:t xml:space="preserve">       /                                                  </w:t>
      </w:r>
    </w:p>
    <w:p>
      <w:pPr>
        <w:pStyle w:val="null3"/>
        <w:ind w:firstLine="840"/>
        <w:jc w:val="both"/>
      </w:pPr>
      <w:r>
        <w:rPr>
          <w:sz w:val="21"/>
        </w:rPr>
        <w:t xml:space="preserve"> </w:t>
      </w:r>
      <w:r>
        <w:rPr>
          <w:sz w:val="21"/>
        </w:rPr>
        <w:t>分包供应商/制造商类型（如果供应商和制造商不同，只填写制造商类型）：</w:t>
      </w:r>
    </w:p>
    <w:p>
      <w:pPr>
        <w:pStyle w:val="null3"/>
        <w:ind w:firstLine="840"/>
        <w:jc w:val="both"/>
      </w:pPr>
      <w:r>
        <w:rPr>
          <w:sz w:val="21"/>
        </w:rPr>
        <w:t xml:space="preserve"> </w:t>
      </w:r>
      <w:r>
        <w:rPr>
          <w:sz w:val="21"/>
        </w:rPr>
        <w:t>¨</w:t>
      </w:r>
      <w:r>
        <w:rPr>
          <w:sz w:val="21"/>
        </w:rPr>
        <w:t xml:space="preserve">大型企业  </w:t>
      </w:r>
      <w:r>
        <w:rPr>
          <w:sz w:val="21"/>
        </w:rPr>
        <w:t>¨</w:t>
      </w:r>
      <w:r>
        <w:rPr>
          <w:sz w:val="21"/>
        </w:rPr>
        <w:t xml:space="preserve">中型企业  </w:t>
      </w:r>
      <w:r>
        <w:rPr>
          <w:sz w:val="21"/>
        </w:rPr>
        <w:t>¨</w:t>
      </w:r>
      <w:r>
        <w:rPr>
          <w:sz w:val="21"/>
        </w:rPr>
        <w:t xml:space="preserve">小微型企业 </w:t>
      </w:r>
    </w:p>
    <w:p>
      <w:pPr>
        <w:pStyle w:val="null3"/>
        <w:ind w:firstLine="840"/>
        <w:jc w:val="both"/>
      </w:pPr>
      <w:r>
        <w:rPr>
          <w:sz w:val="21"/>
        </w:rPr>
        <w:t xml:space="preserve"> </w:t>
      </w:r>
      <w:r>
        <w:rPr>
          <w:sz w:val="21"/>
        </w:rPr>
        <w:t>¨</w:t>
      </w:r>
      <w:r>
        <w:rPr>
          <w:sz w:val="21"/>
        </w:rPr>
        <w:t xml:space="preserve">残疾人福利性单位 </w:t>
      </w:r>
      <w:r>
        <w:rPr>
          <w:sz w:val="21"/>
        </w:rPr>
        <w:t>¨</w:t>
      </w:r>
      <w:r>
        <w:rPr>
          <w:sz w:val="21"/>
        </w:rPr>
        <w:t xml:space="preserve">监狱企业 </w:t>
      </w:r>
      <w:r>
        <w:rPr>
          <w:sz w:val="21"/>
        </w:rPr>
        <w:t>¨</w:t>
      </w:r>
      <w:r>
        <w:rPr>
          <w:sz w:val="21"/>
        </w:rPr>
        <w:t>其他</w:t>
      </w:r>
    </w:p>
    <w:p>
      <w:pPr>
        <w:pStyle w:val="null3"/>
        <w:jc w:val="both"/>
      </w:pPr>
      <w:r>
        <w:rPr>
          <w:sz w:val="21"/>
        </w:rPr>
        <w:t xml:space="preserve">    </w:t>
      </w:r>
      <w:r>
        <w:rPr>
          <w:sz w:val="21"/>
        </w:rPr>
        <w:t>（</w:t>
      </w:r>
      <w:r>
        <w:rPr>
          <w:sz w:val="21"/>
        </w:rPr>
        <w:t>8</w:t>
      </w:r>
      <w:r>
        <w:rPr>
          <w:sz w:val="21"/>
        </w:rPr>
        <w:t>）中标（成交）供应商是否为外商投资企业：</w:t>
      </w:r>
      <w:r>
        <w:rPr>
          <w:sz w:val="21"/>
        </w:rPr>
        <w:t>¨</w:t>
      </w:r>
      <w:r>
        <w:rPr>
          <w:sz w:val="21"/>
        </w:rPr>
        <w:t xml:space="preserve">是       </w:t>
      </w:r>
      <w:r>
        <w:rPr>
          <w:sz w:val="21"/>
        </w:rPr>
        <w:t>¨</w:t>
      </w:r>
      <w:r>
        <w:rPr>
          <w:sz w:val="21"/>
        </w:rPr>
        <w:t>否</w:t>
      </w:r>
    </w:p>
    <w:p>
      <w:pPr>
        <w:pStyle w:val="null3"/>
        <w:ind w:firstLine="420"/>
      </w:pPr>
      <w:r>
        <w:rPr>
          <w:sz w:val="22"/>
        </w:rPr>
        <w:t xml:space="preserve">     </w:t>
      </w:r>
      <w:r>
        <w:rPr>
          <w:sz w:val="21"/>
        </w:rPr>
        <w:t>外商投资企业类型：</w:t>
      </w:r>
      <w:r>
        <w:rPr>
          <w:sz w:val="21"/>
        </w:rPr>
        <w:t>¨</w:t>
      </w:r>
      <w:r>
        <w:rPr>
          <w:sz w:val="21"/>
        </w:rPr>
        <w:t xml:space="preserve">全部由外国投资者投资  </w:t>
      </w:r>
      <w:r>
        <w:rPr>
          <w:sz w:val="21"/>
        </w:rPr>
        <w:t>¨</w:t>
      </w:r>
      <w:r>
        <w:rPr>
          <w:sz w:val="21"/>
        </w:rPr>
        <w:t>部分由外国投资者投资</w:t>
      </w:r>
    </w:p>
    <w:p>
      <w:pPr>
        <w:pStyle w:val="null3"/>
        <w:ind w:firstLine="420"/>
        <w:jc w:val="both"/>
      </w:pPr>
      <w:r>
        <w:rPr>
          <w:sz w:val="21"/>
        </w:rPr>
        <w:t>（</w:t>
      </w:r>
      <w:r>
        <w:rPr>
          <w:sz w:val="21"/>
        </w:rPr>
        <w:t>9</w:t>
      </w:r>
      <w:r>
        <w:rPr>
          <w:sz w:val="21"/>
        </w:rPr>
        <w:t>）是否涉及进口产品：</w:t>
      </w:r>
    </w:p>
    <w:p>
      <w:pPr>
        <w:pStyle w:val="null3"/>
        <w:ind w:firstLine="840"/>
        <w:jc w:val="both"/>
      </w:pPr>
      <w:r>
        <w:rPr>
          <w:sz w:val="21"/>
        </w:rPr>
        <w:t xml:space="preserve"> </w:t>
      </w:r>
      <w:r>
        <w:rPr>
          <w:sz w:val="21"/>
        </w:rPr>
        <w:t>¨</w:t>
      </w:r>
      <w:r>
        <w:rPr>
          <w:sz w:val="21"/>
        </w:rPr>
        <w:t>是，《政府采购品目分类目录》底级品目名称：</w:t>
      </w:r>
      <w:r>
        <w:rPr>
          <w:sz w:val="21"/>
          <w:u w:val="single"/>
        </w:rPr>
        <w:t xml:space="preserve">         </w:t>
      </w:r>
      <w:r>
        <w:rPr>
          <w:sz w:val="21"/>
        </w:rPr>
        <w:t xml:space="preserve"> 金额：</w:t>
      </w:r>
      <w:r>
        <w:rPr>
          <w:sz w:val="21"/>
          <w:u w:val="single"/>
        </w:rPr>
        <w:t xml:space="preserve">       </w:t>
      </w:r>
    </w:p>
    <w:p>
      <w:pPr>
        <w:pStyle w:val="null3"/>
        <w:ind w:firstLine="840"/>
        <w:jc w:val="both"/>
      </w:pPr>
      <w:r>
        <w:rPr>
          <w:sz w:val="21"/>
        </w:rPr>
        <w:t xml:space="preserve">        </w:t>
      </w:r>
      <w:r>
        <w:rPr>
          <w:sz w:val="21"/>
        </w:rPr>
        <w:t>国别：</w:t>
      </w:r>
      <w:r>
        <w:rPr>
          <w:sz w:val="21"/>
          <w:u w:val="single"/>
        </w:rPr>
        <w:t xml:space="preserve">        </w:t>
      </w:r>
      <w:r>
        <w:rPr>
          <w:sz w:val="21"/>
        </w:rPr>
        <w:t xml:space="preserve"> 品牌：</w:t>
      </w:r>
      <w:r>
        <w:rPr>
          <w:sz w:val="21"/>
          <w:u w:val="single"/>
        </w:rPr>
        <w:t xml:space="preserve">        </w:t>
      </w:r>
      <w:r>
        <w:rPr>
          <w:sz w:val="21"/>
        </w:rPr>
        <w:t xml:space="preserve"> 规格型号：</w:t>
      </w:r>
      <w:r>
        <w:rPr>
          <w:sz w:val="21"/>
          <w:u w:val="single"/>
        </w:rPr>
        <w:t xml:space="preserve">        </w:t>
      </w:r>
      <w:r>
        <w:rPr>
          <w:sz w:val="21"/>
        </w:rPr>
        <w:t xml:space="preserve">      </w:t>
      </w:r>
    </w:p>
    <w:p>
      <w:pPr>
        <w:pStyle w:val="null3"/>
        <w:ind w:firstLine="840"/>
        <w:jc w:val="both"/>
      </w:pPr>
      <w:r>
        <w:rPr>
          <w:sz w:val="21"/>
        </w:rPr>
        <w:t xml:space="preserve"> </w:t>
      </w:r>
      <w:r>
        <w:rPr>
          <w:sz w:val="21"/>
        </w:rPr>
        <w:t>þ</w:t>
      </w:r>
      <w:r>
        <w:rPr>
          <w:sz w:val="21"/>
        </w:rPr>
        <w:t>否</w:t>
      </w:r>
    </w:p>
    <w:p>
      <w:pPr>
        <w:pStyle w:val="null3"/>
        <w:jc w:val="both"/>
      </w:pPr>
      <w:r>
        <w:rPr>
          <w:sz w:val="21"/>
        </w:rPr>
        <w:t xml:space="preserve">    </w:t>
      </w:r>
      <w:r>
        <w:rPr>
          <w:sz w:val="21"/>
        </w:rPr>
        <w:t>（1</w:t>
      </w:r>
      <w:r>
        <w:rPr>
          <w:sz w:val="21"/>
        </w:rPr>
        <w:t>0</w:t>
      </w:r>
      <w:r>
        <w:rPr>
          <w:sz w:val="21"/>
        </w:rPr>
        <w:t>）是否涉及节能产品：</w:t>
      </w:r>
    </w:p>
    <w:p>
      <w:pPr>
        <w:pStyle w:val="null3"/>
        <w:jc w:val="both"/>
      </w:pPr>
      <w:r>
        <w:rPr>
          <w:sz w:val="21"/>
        </w:rPr>
        <w:t xml:space="preserve">         </w:t>
      </w:r>
      <w:r>
        <w:rPr>
          <w:sz w:val="21"/>
        </w:rPr>
        <w:t>¨</w:t>
      </w:r>
      <w:r>
        <w:rPr>
          <w:sz w:val="21"/>
        </w:rPr>
        <w:t>是，《节能产品政府采购品目清单》的底级品目名称：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 xml:space="preserve">强制采购       </w:t>
      </w:r>
      <w:r>
        <w:rPr>
          <w:sz w:val="21"/>
        </w:rPr>
        <w:t>¨</w:t>
      </w:r>
      <w:r>
        <w:rPr>
          <w:sz w:val="21"/>
        </w:rPr>
        <w:t xml:space="preserve">优先采购   </w:t>
      </w:r>
    </w:p>
    <w:p>
      <w:pPr>
        <w:pStyle w:val="null3"/>
        <w:jc w:val="both"/>
      </w:pPr>
      <w:r>
        <w:rPr>
          <w:sz w:val="21"/>
        </w:rPr>
        <w:t xml:space="preserve">         </w:t>
      </w:r>
      <w:r>
        <w:rPr>
          <w:sz w:val="21"/>
        </w:rPr>
        <w:t>¨</w:t>
      </w:r>
      <w:r>
        <w:rPr>
          <w:sz w:val="21"/>
        </w:rPr>
        <w:t>否</w:t>
      </w:r>
    </w:p>
    <w:p>
      <w:pPr>
        <w:pStyle w:val="null3"/>
        <w:jc w:val="both"/>
      </w:pPr>
      <w:r>
        <w:rPr>
          <w:sz w:val="21"/>
        </w:rPr>
        <w:t xml:space="preserve">          </w:t>
      </w:r>
      <w:r>
        <w:rPr>
          <w:sz w:val="21"/>
        </w:rPr>
        <w:t>是否涉及环境标志产品：</w:t>
      </w:r>
    </w:p>
    <w:p>
      <w:pPr>
        <w:pStyle w:val="null3"/>
        <w:jc w:val="both"/>
      </w:pPr>
      <w:r>
        <w:rPr>
          <w:sz w:val="21"/>
        </w:rPr>
        <w:t xml:space="preserve">         </w:t>
      </w:r>
      <w:r>
        <w:rPr>
          <w:sz w:val="21"/>
        </w:rPr>
        <w:t>¨</w:t>
      </w:r>
      <w:r>
        <w:rPr>
          <w:sz w:val="21"/>
        </w:rPr>
        <w:t>是，《环境标志产品政府采购品目清单》的底级品目名称：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 xml:space="preserve">强制采购       </w:t>
      </w:r>
      <w:r>
        <w:rPr>
          <w:sz w:val="21"/>
        </w:rPr>
        <w:t>¨</w:t>
      </w:r>
      <w:r>
        <w:rPr>
          <w:sz w:val="21"/>
        </w:rPr>
        <w:t xml:space="preserve">优先采购   </w:t>
      </w:r>
    </w:p>
    <w:p>
      <w:pPr>
        <w:pStyle w:val="null3"/>
        <w:jc w:val="both"/>
      </w:pPr>
      <w:r>
        <w:rPr>
          <w:sz w:val="21"/>
        </w:rPr>
        <w:t xml:space="preserve">         </w:t>
      </w:r>
      <w:r>
        <w:rPr>
          <w:sz w:val="21"/>
        </w:rPr>
        <w:t>¨</w:t>
      </w:r>
      <w:r>
        <w:rPr>
          <w:sz w:val="21"/>
        </w:rPr>
        <w:t>否</w:t>
      </w:r>
    </w:p>
    <w:p>
      <w:pPr>
        <w:pStyle w:val="null3"/>
      </w:pPr>
      <w:r>
        <w:rPr>
          <w:sz w:val="22"/>
        </w:rPr>
        <w:t xml:space="preserve">          </w:t>
      </w:r>
      <w:r>
        <w:rPr>
          <w:sz w:val="21"/>
        </w:rPr>
        <w:t>是否涉及绿色产品：</w:t>
      </w:r>
    </w:p>
    <w:p>
      <w:pPr>
        <w:pStyle w:val="null3"/>
        <w:ind w:firstLine="420"/>
      </w:pPr>
      <w:r>
        <w:rPr>
          <w:sz w:val="22"/>
        </w:rPr>
        <w:t xml:space="preserve">     </w:t>
      </w:r>
      <w:r>
        <w:rPr>
          <w:sz w:val="21"/>
        </w:rPr>
        <w:t>¨</w:t>
      </w:r>
      <w:r>
        <w:rPr>
          <w:sz w:val="21"/>
        </w:rPr>
        <w:t>是，绿色产品政府采购相关政策确定的底级品目名称：</w:t>
      </w:r>
      <w:r>
        <w:rPr>
          <w:sz w:val="22"/>
          <w:u w:val="single"/>
        </w:rPr>
        <w:t xml:space="preserve">        </w:t>
      </w:r>
    </w:p>
    <w:p>
      <w:pPr>
        <w:pStyle w:val="null3"/>
        <w:jc w:val="both"/>
      </w:pPr>
      <w:r>
        <w:rPr>
          <w:sz w:val="21"/>
        </w:rPr>
        <w:t xml:space="preserve">                </w:t>
      </w:r>
      <w:r>
        <w:rPr>
          <w:sz w:val="21"/>
        </w:rPr>
        <w:t>¨</w:t>
      </w:r>
      <w:r>
        <w:rPr>
          <w:sz w:val="21"/>
        </w:rPr>
        <w:t xml:space="preserve">强制采购       </w:t>
      </w:r>
      <w:r>
        <w:rPr>
          <w:sz w:val="21"/>
        </w:rPr>
        <w:t>¨</w:t>
      </w:r>
      <w:r>
        <w:rPr>
          <w:sz w:val="21"/>
        </w:rPr>
        <w:t xml:space="preserve">优先采购   </w:t>
      </w:r>
    </w:p>
    <w:p>
      <w:pPr>
        <w:pStyle w:val="null3"/>
        <w:ind w:firstLine="420"/>
      </w:pPr>
      <w:r>
        <w:rPr>
          <w:sz w:val="22"/>
        </w:rPr>
        <w:t xml:space="preserve">     </w:t>
      </w:r>
      <w:r>
        <w:rPr>
          <w:sz w:val="21"/>
        </w:rPr>
        <w:t>¨</w:t>
      </w:r>
      <w:r>
        <w:rPr>
          <w:sz w:val="21"/>
        </w:rPr>
        <w:t>否</w:t>
      </w:r>
    </w:p>
    <w:p>
      <w:pPr>
        <w:pStyle w:val="null3"/>
        <w:jc w:val="both"/>
      </w:pPr>
      <w:r>
        <w:rPr>
          <w:sz w:val="21"/>
        </w:rPr>
        <w:t xml:space="preserve">    </w:t>
      </w:r>
      <w:r>
        <w:rPr>
          <w:sz w:val="21"/>
        </w:rPr>
        <w:t>（1</w:t>
      </w:r>
      <w:r>
        <w:rPr>
          <w:sz w:val="21"/>
        </w:rPr>
        <w:t>1</w:t>
      </w:r>
      <w:r>
        <w:rPr>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sz w:val="21"/>
        </w:rPr>
        <w:t>¨</w:t>
      </w:r>
      <w:r>
        <w:rPr>
          <w:sz w:val="21"/>
        </w:rPr>
        <w:t xml:space="preserve">是       </w:t>
      </w:r>
      <w:r>
        <w:rPr>
          <w:sz w:val="21"/>
        </w:rPr>
        <w:t>¨</w:t>
      </w:r>
      <w:r>
        <w:rPr>
          <w:sz w:val="21"/>
        </w:rPr>
        <w:t xml:space="preserve">否      </w:t>
      </w:r>
      <w:r>
        <w:rPr>
          <w:sz w:val="21"/>
        </w:rPr>
        <w:t>þ</w:t>
      </w:r>
      <w:r>
        <w:rPr>
          <w:sz w:val="21"/>
        </w:rPr>
        <w:t>不涉及</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r>
        <w:rPr>
          <w:sz w:val="21"/>
          <w:u w:val="single"/>
        </w:rPr>
        <w:t xml:space="preserve">                         （含税）  </w:t>
      </w:r>
    </w:p>
    <w:p>
      <w:pPr>
        <w:pStyle w:val="null3"/>
        <w:jc w:val="both"/>
      </w:pPr>
      <w:r>
        <w:rPr>
          <w:sz w:val="21"/>
        </w:rPr>
        <w:t xml:space="preserve">                 </w:t>
      </w:r>
      <w:r>
        <w:rPr>
          <w:sz w:val="21"/>
        </w:rPr>
        <w:t>大写：</w:t>
      </w:r>
      <w:r>
        <w:rPr>
          <w:sz w:val="21"/>
          <w:u w:val="single"/>
        </w:rPr>
        <w:t xml:space="preserve">                          （含税）</w:t>
      </w:r>
    </w:p>
    <w:p>
      <w:pPr>
        <w:pStyle w:val="null3"/>
        <w:jc w:val="both"/>
      </w:pPr>
      <w:r>
        <w:rPr>
          <w:sz w:val="21"/>
        </w:rPr>
        <w:t xml:space="preserve">         </w:t>
      </w:r>
      <w:r>
        <w:rPr>
          <w:sz w:val="21"/>
        </w:rPr>
        <w:t>分包金额（如有）小写：</w:t>
      </w:r>
      <w:r>
        <w:rPr>
          <w:sz w:val="21"/>
          <w:u w:val="single"/>
        </w:rPr>
        <w:t xml:space="preserve">  /                </w:t>
      </w:r>
    </w:p>
    <w:p>
      <w:pPr>
        <w:pStyle w:val="null3"/>
        <w:jc w:val="both"/>
      </w:pPr>
      <w:r>
        <w:rPr>
          <w:sz w:val="21"/>
        </w:rPr>
        <w:t xml:space="preserve">                     </w:t>
      </w:r>
      <w:r>
        <w:rPr>
          <w:sz w:val="21"/>
        </w:rPr>
        <w:t>大写：</w:t>
      </w:r>
      <w:r>
        <w:rPr>
          <w:sz w:val="21"/>
          <w:u w:val="single"/>
        </w:rPr>
        <w:t xml:space="preserve">    /                  </w:t>
      </w:r>
    </w:p>
    <w:p>
      <w:pPr>
        <w:pStyle w:val="null3"/>
        <w:jc w:val="both"/>
      </w:pPr>
      <w:r>
        <w:rPr>
          <w:sz w:val="21"/>
        </w:rPr>
        <w:t xml:space="preserve">    </w:t>
      </w:r>
      <w:r>
        <w:rPr>
          <w:sz w:val="21"/>
        </w:rPr>
        <w:t>（注：固定单价合同应填写单价和最高限价）</w:t>
      </w:r>
    </w:p>
    <w:p>
      <w:pPr>
        <w:pStyle w:val="null3"/>
        <w:jc w:val="both"/>
      </w:pPr>
      <w:r>
        <w:rPr>
          <w:sz w:val="21"/>
        </w:rPr>
        <w:t xml:space="preserve">    </w:t>
      </w:r>
      <w:r>
        <w:rPr>
          <w:sz w:val="21"/>
        </w:rPr>
        <w:t>（2）合同定价方式（采用组合定价方式的，可以勾选多项）：</w:t>
      </w:r>
    </w:p>
    <w:p>
      <w:pPr>
        <w:pStyle w:val="null3"/>
        <w:ind w:firstLine="420"/>
        <w:jc w:val="both"/>
      </w:pPr>
      <w:r>
        <w:rPr>
          <w:sz w:val="21"/>
        </w:rPr>
        <w:t xml:space="preserve">  </w:t>
      </w:r>
      <w:r>
        <w:rPr>
          <w:sz w:val="21"/>
        </w:rPr>
        <w:t>þ</w:t>
      </w:r>
      <w:r>
        <w:rPr>
          <w:sz w:val="21"/>
        </w:rPr>
        <w:t xml:space="preserve">固定总价 </w:t>
      </w:r>
      <w:r>
        <w:rPr>
          <w:sz w:val="21"/>
        </w:rPr>
        <w:t>¨</w:t>
      </w:r>
      <w:r>
        <w:rPr>
          <w:sz w:val="21"/>
        </w:rPr>
        <w:t xml:space="preserve">固定单价 </w:t>
      </w:r>
      <w:r>
        <w:rPr>
          <w:sz w:val="21"/>
        </w:rPr>
        <w:t>¨</w:t>
      </w:r>
      <w:r>
        <w:rPr>
          <w:sz w:val="21"/>
        </w:rPr>
        <w:t xml:space="preserve">固定费率 </w:t>
      </w:r>
      <w:r>
        <w:rPr>
          <w:sz w:val="21"/>
        </w:rPr>
        <w:t>¨</w:t>
      </w:r>
      <w:r>
        <w:rPr>
          <w:sz w:val="21"/>
        </w:rPr>
        <w:t xml:space="preserve">成本补偿 </w:t>
      </w:r>
      <w:r>
        <w:rPr>
          <w:sz w:val="21"/>
        </w:rPr>
        <w:t>¨</w:t>
      </w:r>
      <w:r>
        <w:rPr>
          <w:sz w:val="21"/>
        </w:rPr>
        <w:t xml:space="preserve">绩效激励 </w:t>
      </w:r>
      <w:r>
        <w:rPr>
          <w:sz w:val="21"/>
        </w:rPr>
        <w:t>¨</w:t>
      </w:r>
      <w:r>
        <w:rPr>
          <w:sz w:val="21"/>
        </w:rPr>
        <w:t>其他</w:t>
      </w:r>
      <w:r>
        <w:rPr>
          <w:sz w:val="21"/>
          <w:u w:val="single"/>
        </w:rPr>
        <w:t xml:space="preserve">      </w:t>
      </w:r>
    </w:p>
    <w:p>
      <w:pPr>
        <w:pStyle w:val="null3"/>
      </w:pPr>
      <w:r>
        <w:rPr/>
        <w:t>（3）付款方式（按项目实际勾选填写）：</w:t>
      </w:r>
    </w:p>
    <w:p>
      <w:pPr>
        <w:pStyle w:val="null3"/>
        <w:ind w:firstLine="630"/>
        <w:jc w:val="both"/>
      </w:pPr>
      <w:r>
        <w:rPr>
          <w:sz w:val="21"/>
        </w:rPr>
        <w:t>¨</w:t>
      </w:r>
      <w:r>
        <w:rPr>
          <w:sz w:val="21"/>
        </w:rPr>
        <w:t>全额付款：</w:t>
      </w:r>
      <w:r>
        <w:rPr>
          <w:sz w:val="21"/>
          <w:u w:val="single"/>
        </w:rPr>
        <w:t xml:space="preserve">     （应明确一次性支付合同款项的条件）                   </w:t>
      </w:r>
    </w:p>
    <w:p>
      <w:pPr>
        <w:pStyle w:val="null3"/>
        <w:ind w:firstLine="630"/>
        <w:jc w:val="both"/>
      </w:pPr>
      <w:r>
        <w:rPr>
          <w:sz w:val="21"/>
        </w:rPr>
        <w:t>þ</w:t>
      </w:r>
      <w:r>
        <w:rPr>
          <w:sz w:val="21"/>
        </w:rPr>
        <w:t>分期付款：</w:t>
      </w:r>
      <w:r>
        <w:rPr>
          <w:sz w:val="21"/>
          <w:u w:val="single"/>
        </w:rPr>
        <w:t xml:space="preserve">  1期：支付比例50%,本项目签订合同生效后，甲方在收到乙方提供本项目招标文件要求的所有原厂盖章证明材料和税务部门认可的有效增值税普通发票之日起10个工作日内，向乙方支付中标价款总额的50%；2期：支付比例50%,本项目通过验收和提交所有约定成果后，甲方在收到乙方提供的税务部门认可的有效增值税普通发票之日起10个工作日内向乙方支付中标价款总额的50%。</w:t>
      </w:r>
      <w:r>
        <w:rPr>
          <w:sz w:val="21"/>
        </w:rPr>
        <w:t>，其中涉及预付款的：</w:t>
      </w:r>
      <w:r>
        <w:rPr>
          <w:sz w:val="21"/>
          <w:u w:val="single"/>
        </w:rPr>
        <w:t xml:space="preserve"> 1期支付比例50%,本项目签订合同生效后，甲方在收到乙方提供本项目招标文件要求的所有原厂盖章证明材料和税务部门认可的有效增值税普通发票之日起10个工作日内，向乙方支付中标价款总额的50%；</w:t>
      </w:r>
    </w:p>
    <w:p>
      <w:pPr>
        <w:pStyle w:val="null3"/>
        <w:ind w:firstLine="630"/>
        <w:jc w:val="both"/>
      </w:pPr>
      <w:r>
        <w:rPr>
          <w:sz w:val="21"/>
        </w:rPr>
        <w:t>¨</w:t>
      </w:r>
      <w:r>
        <w:rPr>
          <w:sz w:val="21"/>
        </w:rPr>
        <w:t>成本补偿：</w:t>
      </w:r>
      <w:r>
        <w:rPr>
          <w:sz w:val="21"/>
          <w:u w:val="single"/>
        </w:rPr>
        <w:t xml:space="preserve">      （应明确按照成本补偿方式的支付方式和支付条件）  </w:t>
      </w:r>
    </w:p>
    <w:p>
      <w:pPr>
        <w:pStyle w:val="null3"/>
        <w:ind w:firstLine="630"/>
        <w:jc w:val="both"/>
      </w:pPr>
      <w:r>
        <w:rPr>
          <w:sz w:val="21"/>
        </w:rPr>
        <w:t>¨</w:t>
      </w:r>
      <w:r>
        <w:rPr>
          <w:sz w:val="21"/>
        </w:rPr>
        <w:t>绩效激励：</w:t>
      </w:r>
      <w:r>
        <w:rPr>
          <w:sz w:val="21"/>
          <w:u w:val="single"/>
        </w:rPr>
        <w:t xml:space="preserve">      （应明确按照绩效激励方式的支付方式和支付条件）  </w:t>
      </w:r>
    </w:p>
    <w:p>
      <w:pPr>
        <w:pStyle w:val="null3"/>
        <w:ind w:firstLine="422"/>
        <w:jc w:val="both"/>
      </w:pPr>
      <w:r>
        <w:rPr>
          <w:sz w:val="21"/>
          <w:b/>
        </w:rPr>
        <w:t xml:space="preserve">3. </w:t>
      </w:r>
      <w:r>
        <w:rPr>
          <w:sz w:val="21"/>
          <w:b/>
        </w:rPr>
        <w:t>合同履行</w:t>
      </w:r>
    </w:p>
    <w:p>
      <w:pPr>
        <w:pStyle w:val="null3"/>
        <w:ind w:firstLine="420"/>
        <w:jc w:val="both"/>
      </w:pPr>
      <w:r>
        <w:rPr>
          <w:sz w:val="21"/>
        </w:rPr>
        <w:t>（1）起始日期：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日，完成日期：</w:t>
      </w:r>
      <w:r>
        <w:rPr>
          <w:sz w:val="21"/>
          <w:u w:val="single"/>
        </w:rPr>
        <w:t xml:space="preserve"> 2024 </w:t>
      </w:r>
      <w:r>
        <w:rPr>
          <w:sz w:val="21"/>
        </w:rPr>
        <w:t>年</w:t>
      </w:r>
      <w:r>
        <w:rPr>
          <w:sz w:val="21"/>
          <w:u w:val="single"/>
        </w:rPr>
        <w:t xml:space="preserve"> 12 </w:t>
      </w:r>
      <w:r>
        <w:rPr>
          <w:sz w:val="21"/>
        </w:rPr>
        <w:t>月</w:t>
      </w:r>
      <w:r>
        <w:rPr>
          <w:sz w:val="21"/>
          <w:u w:val="single"/>
        </w:rPr>
        <w:t xml:space="preserve"> 18 </w:t>
      </w:r>
      <w:r>
        <w:rPr>
          <w:sz w:val="21"/>
        </w:rPr>
        <w:t>日。</w:t>
      </w:r>
    </w:p>
    <w:p>
      <w:pPr>
        <w:pStyle w:val="null3"/>
        <w:ind w:firstLine="420"/>
        <w:jc w:val="both"/>
      </w:pPr>
      <w:r>
        <w:rPr>
          <w:sz w:val="21"/>
        </w:rPr>
        <w:t>（2）履约地点：</w:t>
      </w:r>
      <w:r>
        <w:rPr>
          <w:sz w:val="21"/>
          <w:u w:val="single"/>
        </w:rPr>
        <w:t xml:space="preserve"> 广东省广州市越秀区环市东路468号1号办公楼</w:t>
      </w:r>
    </w:p>
    <w:p>
      <w:pPr>
        <w:pStyle w:val="null3"/>
        <w:ind w:firstLine="420"/>
        <w:jc w:val="both"/>
      </w:pPr>
      <w:r>
        <w:rPr>
          <w:sz w:val="21"/>
        </w:rPr>
        <w:t>（3）履约担保：</w:t>
      </w:r>
      <w:r>
        <w:rPr>
          <w:sz w:val="21"/>
        </w:rPr>
        <w:t>是否收取履约保证金：</w:t>
      </w:r>
      <w:r>
        <w:rPr>
          <w:sz w:val="21"/>
        </w:rPr>
        <w:t>¨</w:t>
      </w:r>
      <w:r>
        <w:rPr>
          <w:sz w:val="21"/>
        </w:rPr>
        <w:t xml:space="preserve">是    </w:t>
      </w:r>
      <w:r>
        <w:rPr>
          <w:sz w:val="21"/>
        </w:rPr>
        <w:t>þ</w:t>
      </w:r>
      <w:r>
        <w:rPr>
          <w:sz w:val="21"/>
        </w:rPr>
        <w:t>否</w:t>
      </w:r>
    </w:p>
    <w:p>
      <w:pPr>
        <w:pStyle w:val="null3"/>
        <w:ind w:firstLine="440"/>
      </w:pPr>
      <w:r>
        <w:rPr>
          <w:sz w:val="22"/>
        </w:rPr>
        <w:t xml:space="preserve">    </w:t>
      </w:r>
      <w:r>
        <w:rPr>
          <w:sz w:val="21"/>
        </w:rPr>
        <w:t>收取履约保证金形式：</w:t>
      </w:r>
      <w:r>
        <w:rPr>
          <w:sz w:val="21"/>
          <w:u w:val="single"/>
        </w:rPr>
        <w:t xml:space="preserve">    /                       </w:t>
      </w:r>
    </w:p>
    <w:p>
      <w:pPr>
        <w:pStyle w:val="null3"/>
        <w:ind w:firstLine="420"/>
      </w:pPr>
      <w:r>
        <w:rPr>
          <w:sz w:val="22"/>
        </w:rPr>
        <w:t xml:space="preserve">    </w:t>
      </w:r>
      <w:r>
        <w:rPr>
          <w:sz w:val="21"/>
        </w:rPr>
        <w:t>收取履约保证金金额：</w:t>
      </w:r>
      <w:r>
        <w:rPr>
          <w:sz w:val="21"/>
          <w:u w:val="single"/>
        </w:rPr>
        <w:t xml:space="preserve">    /                       </w:t>
      </w:r>
    </w:p>
    <w:p>
      <w:pPr>
        <w:pStyle w:val="null3"/>
        <w:ind w:firstLine="420"/>
        <w:jc w:val="both"/>
      </w:pPr>
      <w:r>
        <w:rPr>
          <w:sz w:val="21"/>
        </w:rPr>
        <w:t xml:space="preserve">    </w:t>
      </w:r>
      <w:r>
        <w:rPr>
          <w:sz w:val="21"/>
        </w:rPr>
        <w:t>履约担保期限：</w:t>
      </w:r>
      <w:r>
        <w:rPr>
          <w:sz w:val="21"/>
          <w:u w:val="single"/>
        </w:rPr>
        <w:t xml:space="preserve">         /                        </w:t>
      </w:r>
    </w:p>
    <w:p>
      <w:pPr>
        <w:pStyle w:val="null3"/>
        <w:ind w:firstLine="420"/>
        <w:jc w:val="both"/>
      </w:pPr>
      <w:r>
        <w:rPr>
          <w:sz w:val="21"/>
        </w:rPr>
        <w:t>（4）分期履行要求：</w:t>
      </w:r>
      <w:r>
        <w:rPr>
          <w:sz w:val="21"/>
          <w:u w:val="single"/>
        </w:rPr>
        <w:t xml:space="preserve">       /                                           </w:t>
      </w:r>
    </w:p>
    <w:p>
      <w:pPr>
        <w:pStyle w:val="null3"/>
        <w:ind w:firstLine="420"/>
        <w:jc w:val="both"/>
      </w:pPr>
      <w:r>
        <w:rPr>
          <w:sz w:val="21"/>
        </w:rPr>
        <w:t>（5）风险处置措施和替代方案：</w:t>
      </w:r>
      <w:r>
        <w:rPr>
          <w:sz w:val="21"/>
          <w:u w:val="single"/>
        </w:rPr>
        <w:t xml:space="preserve">乙方逾期交货的，从逾期之日起每日按本合同总金额的3‰向甲方偿付违约金；逾期交货超过10天的，甲方有权终止合同，乙方在逾期交货10天之日起5天内将甲方已支付的第1期款项全部退回给甲方，并按照合同总金额的20%偿付违约金给甲方。乙方不按合同要求的时间内供货造成甲方不能在财政部门要求的本年度财政资金支付时限内支付本项目合同尾款而导致相应的年度财政资金被财政部门收回的，甲方不承担相应支付义务，相应的责任和后果由乙方承担。 </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þ</w:t>
      </w:r>
      <w:r>
        <w:rPr>
          <w:sz w:val="21"/>
        </w:rPr>
        <w:t xml:space="preserve">自行组织 </w:t>
      </w:r>
      <w:r>
        <w:rPr>
          <w:sz w:val="21"/>
        </w:rPr>
        <w:t>¨</w:t>
      </w:r>
      <w:r>
        <w:rPr>
          <w:sz w:val="21"/>
        </w:rPr>
        <w:t>委托第三方组织</w:t>
      </w:r>
    </w:p>
    <w:p>
      <w:pPr>
        <w:pStyle w:val="null3"/>
        <w:jc w:val="both"/>
      </w:pPr>
      <w:r>
        <w:rPr>
          <w:sz w:val="21"/>
        </w:rPr>
        <w:t xml:space="preserve">         </w:t>
      </w:r>
      <w:r>
        <w:rPr>
          <w:sz w:val="21"/>
        </w:rPr>
        <w:t>验收主体：</w:t>
      </w:r>
      <w:r>
        <w:rPr>
          <w:sz w:val="21"/>
          <w:u w:val="single"/>
        </w:rPr>
        <w:t xml:space="preserve">       广东省地图院      </w:t>
      </w:r>
    </w:p>
    <w:p>
      <w:pPr>
        <w:pStyle w:val="null3"/>
        <w:jc w:val="both"/>
      </w:pPr>
      <w:r>
        <w:rPr>
          <w:sz w:val="21"/>
        </w:rPr>
        <w:t xml:space="preserve">        </w:t>
      </w:r>
      <w:r>
        <w:rPr>
          <w:sz w:val="21"/>
        </w:rPr>
        <w:t>是否邀请本项目的其他供应商参加验收：</w:t>
      </w:r>
      <w:r>
        <w:rPr>
          <w:sz w:val="21"/>
        </w:rPr>
        <w:t>¨</w:t>
      </w:r>
      <w:r>
        <w:rPr>
          <w:sz w:val="21"/>
        </w:rPr>
        <w:t xml:space="preserve">是  </w:t>
      </w:r>
      <w:r>
        <w:rPr>
          <w:sz w:val="21"/>
        </w:rPr>
        <w:t>þ</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þ</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þ</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þ</w:t>
      </w:r>
      <w:r>
        <w:rPr>
          <w:sz w:val="21"/>
        </w:rPr>
        <w:t>否</w:t>
      </w:r>
    </w:p>
    <w:p>
      <w:pPr>
        <w:pStyle w:val="null3"/>
        <w:ind w:firstLine="840"/>
        <w:jc w:val="both"/>
      </w:pPr>
      <w:r>
        <w:rPr>
          <w:sz w:val="21"/>
        </w:rPr>
        <w:t>是否进行抽查检测：</w:t>
      </w:r>
      <w:r>
        <w:rPr>
          <w:sz w:val="21"/>
        </w:rPr>
        <w:t>¨</w:t>
      </w:r>
      <w:r>
        <w:rPr>
          <w:sz w:val="21"/>
        </w:rPr>
        <w:t>是，抽查比例：</w:t>
      </w:r>
      <w:r>
        <w:rPr>
          <w:sz w:val="21"/>
          <w:u w:val="single"/>
        </w:rPr>
        <w:t xml:space="preserve">       </w:t>
      </w:r>
      <w:r>
        <w:rPr>
          <w:sz w:val="21"/>
        </w:rPr>
        <w:t xml:space="preserve"> </w:t>
      </w:r>
      <w:r>
        <w:rPr>
          <w:sz w:val="21"/>
        </w:rPr>
        <w:t>þ</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 xml:space="preserve">                    </w:t>
      </w:r>
      <w:r>
        <w:rPr>
          <w:sz w:val="21"/>
        </w:rPr>
        <w:t>þ</w:t>
      </w:r>
      <w:r>
        <w:rPr>
          <w:sz w:val="21"/>
        </w:rPr>
        <w:t>否</w:t>
      </w:r>
    </w:p>
    <w:p>
      <w:pPr>
        <w:pStyle w:val="null3"/>
        <w:ind w:firstLine="840"/>
        <w:jc w:val="both"/>
      </w:pPr>
      <w:r>
        <w:rPr>
          <w:sz w:val="21"/>
        </w:rPr>
        <w:t>验收组织的其他事项：</w:t>
      </w:r>
      <w:r>
        <w:rPr>
          <w:sz w:val="21"/>
          <w:u w:val="single"/>
        </w:rPr>
        <w:t xml:space="preserve">       无        </w:t>
      </w:r>
    </w:p>
    <w:p>
      <w:pPr>
        <w:pStyle w:val="null3"/>
        <w:ind w:firstLine="420"/>
        <w:jc w:val="both"/>
      </w:pPr>
      <w:r>
        <w:rPr>
          <w:sz w:val="21"/>
        </w:rPr>
        <w:t>（2）履约验收时间：</w:t>
      </w:r>
      <w:r>
        <w:rPr>
          <w:sz w:val="21"/>
          <w:u w:val="single"/>
        </w:rPr>
        <w:t>甲方在收齐所有本项目约定产品后3个工作日内组织验收。</w:t>
      </w:r>
    </w:p>
    <w:p>
      <w:pPr>
        <w:pStyle w:val="null3"/>
        <w:ind w:firstLine="420"/>
        <w:jc w:val="both"/>
      </w:pPr>
      <w:r>
        <w:rPr>
          <w:sz w:val="21"/>
        </w:rPr>
        <w:t>（3）履约验收方式：</w:t>
      </w:r>
      <w:r>
        <w:rPr>
          <w:sz w:val="21"/>
        </w:rPr>
        <w:t>þ</w:t>
      </w:r>
      <w:r>
        <w:rPr>
          <w:sz w:val="21"/>
        </w:rPr>
        <w:t xml:space="preserve">一次性验收        </w:t>
      </w:r>
    </w:p>
    <w:p>
      <w:pPr>
        <w:pStyle w:val="null3"/>
        <w:jc w:val="both"/>
      </w:pPr>
      <w:r>
        <w:rPr>
          <w:sz w:val="21"/>
        </w:rPr>
        <w:t xml:space="preserve">                       </w:t>
      </w:r>
      <w:r>
        <w:rPr>
          <w:sz w:val="21"/>
        </w:rPr>
        <w:t>¨</w:t>
      </w:r>
      <w:r>
        <w:rPr>
          <w:sz w:val="21"/>
        </w:rPr>
        <w:t>分期/分项验收：</w:t>
      </w:r>
      <w:r>
        <w:rPr>
          <w:sz w:val="21"/>
          <w:u w:val="single"/>
        </w:rPr>
        <w:t xml:space="preserve"> （应明确分期</w:t>
      </w:r>
      <w:r>
        <w:rPr>
          <w:sz w:val="21"/>
          <w:u w:val="single"/>
        </w:rPr>
        <w:t>/</w:t>
      </w:r>
      <w:r>
        <w:rPr>
          <w:sz w:val="21"/>
          <w:u w:val="single"/>
        </w:rPr>
        <w:t>分项验收的工作安排</w:t>
      </w:r>
      <w:r>
        <w:rPr>
          <w:sz w:val="21"/>
          <w:u w:val="single"/>
        </w:rPr>
        <w:t xml:space="preserve">） </w:t>
      </w:r>
    </w:p>
    <w:p>
      <w:pPr>
        <w:pStyle w:val="null3"/>
        <w:ind w:firstLine="420"/>
        <w:jc w:val="both"/>
      </w:pPr>
      <w:r>
        <w:rPr>
          <w:sz w:val="21"/>
        </w:rPr>
        <w:t>（4）履约验收程序：</w:t>
      </w:r>
      <w:r>
        <w:rPr>
          <w:sz w:val="21"/>
          <w:u w:val="single"/>
        </w:rPr>
        <w:t xml:space="preserve"> 甲方在收齐所有本项目约定产品后3个工作日内组织验收，乙方派代表参加验收。</w:t>
      </w:r>
    </w:p>
    <w:p>
      <w:pPr>
        <w:pStyle w:val="null3"/>
        <w:ind w:firstLine="420"/>
        <w:jc w:val="both"/>
      </w:pPr>
      <w:r>
        <w:rPr>
          <w:sz w:val="21"/>
        </w:rPr>
        <w:t>（5）履约验收的内容：</w:t>
      </w:r>
      <w:r>
        <w:rPr>
          <w:sz w:val="21"/>
          <w:u w:val="single"/>
        </w:rPr>
        <w:t xml:space="preserve"> （应当包括每一项技术和商务要求的履约情况，特别是落实政府采购扶持中小企业，支持绿色发展和乡村振兴等政策情况）                                     </w:t>
      </w:r>
    </w:p>
    <w:p>
      <w:pPr>
        <w:pStyle w:val="null3"/>
        <w:ind w:firstLine="420"/>
        <w:jc w:val="both"/>
      </w:pPr>
      <w:r>
        <w:rPr>
          <w:sz w:val="21"/>
        </w:rPr>
        <w:t>（6）履约验收标准：</w:t>
      </w:r>
      <w:r>
        <w:rPr>
          <w:sz w:val="21"/>
          <w:u w:val="single"/>
        </w:rPr>
        <w:t xml:space="preserve">                                         </w:t>
      </w:r>
    </w:p>
    <w:p>
      <w:pPr>
        <w:pStyle w:val="null3"/>
        <w:ind w:firstLine="420"/>
      </w:pPr>
      <w:r>
        <w:rPr>
          <w:sz w:val="21"/>
        </w:rPr>
        <w:t>（7）是否以采购活动中供应商提供的样品作为参考：</w:t>
      </w:r>
      <w:r>
        <w:rPr>
          <w:sz w:val="21"/>
        </w:rPr>
        <w:t>¨</w:t>
      </w:r>
      <w:r>
        <w:rPr>
          <w:sz w:val="21"/>
        </w:rPr>
        <w:t xml:space="preserve">是  </w:t>
      </w:r>
      <w:r>
        <w:rPr>
          <w:sz w:val="21"/>
        </w:rPr>
        <w:t>þ</w:t>
      </w:r>
      <w:r>
        <w:rPr>
          <w:sz w:val="21"/>
        </w:rPr>
        <w:t>否</w:t>
      </w:r>
    </w:p>
    <w:p>
      <w:pPr>
        <w:pStyle w:val="null3"/>
        <w:ind w:firstLine="420"/>
        <w:jc w:val="both"/>
      </w:pPr>
      <w:r>
        <w:rPr>
          <w:sz w:val="21"/>
        </w:rPr>
        <w:t>（8）履约验收其他事项：</w:t>
      </w:r>
      <w:r>
        <w:rPr>
          <w:sz w:val="21"/>
          <w:u w:val="single"/>
        </w:rPr>
        <w:t xml:space="preserve">      无         </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w:t>
      </w:r>
      <w:r>
        <w:rPr>
          <w:sz w:val="21"/>
          <w:u w:val="single"/>
        </w:rPr>
        <w:t xml:space="preserve"> 甲乙双方签字盖章之日起 </w:t>
      </w:r>
      <w:r>
        <w:rPr>
          <w:sz w:val="21"/>
        </w:rPr>
        <w:t>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w:t>
      </w:r>
      <w:r>
        <w:rPr>
          <w:sz w:val="21"/>
          <w:u w:val="single"/>
        </w:rPr>
        <w:t xml:space="preserve"> 陆 </w:t>
      </w:r>
      <w:r>
        <w:rPr>
          <w:sz w:val="21"/>
        </w:rPr>
        <w:t>份，甲方执</w:t>
      </w:r>
      <w:r>
        <w:rPr>
          <w:sz w:val="21"/>
          <w:u w:val="single"/>
        </w:rPr>
        <w:t xml:space="preserve"> 叁 </w:t>
      </w:r>
      <w:r>
        <w:rPr>
          <w:sz w:val="21"/>
        </w:rPr>
        <w:t>份，乙方执</w:t>
      </w:r>
      <w:r>
        <w:rPr>
          <w:sz w:val="21"/>
          <w:u w:val="single"/>
        </w:rPr>
        <w:t xml:space="preserve"> 叁 </w:t>
      </w:r>
      <w:r>
        <w:rPr>
          <w:sz w:val="21"/>
        </w:rPr>
        <w:t>份，均具有同等法律效力。</w:t>
      </w:r>
    </w:p>
    <w:p>
      <w:pPr>
        <w:pStyle w:val="null3"/>
        <w:ind w:firstLine="420"/>
        <w:jc w:val="both"/>
      </w:pPr>
      <w:r>
        <w:rPr>
          <w:sz w:val="21"/>
        </w:rPr>
        <w:t>合同订立时间：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合同订立地点：</w:t>
      </w:r>
      <w:r>
        <w:rPr>
          <w:sz w:val="21"/>
          <w:u w:val="single"/>
        </w:rPr>
        <w:t xml:space="preserve"> 广州市越秀区 </w:t>
      </w:r>
    </w:p>
    <w:p>
      <w:pPr>
        <w:pStyle w:val="null3"/>
        <w:ind w:firstLine="420"/>
        <w:jc w:val="both"/>
      </w:pPr>
      <w:r>
        <w:rPr>
          <w:sz w:val="21"/>
        </w:rPr>
        <w:t>附件：具体标的及其技术要求和商务要求。</w:t>
      </w:r>
    </w:p>
    <w:p>
      <w:pPr>
        <w:pStyle w:val="null3"/>
        <w:outlineLvl w:val="1"/>
      </w:pPr>
      <w:r>
        <w:rPr>
          <w:sz w:val="36"/>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广东省地图院</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vMerge/>
            <w:tcBorders>
              <w:top w:val="none" w:color="000000" w:sz="4"/>
              <w:left w:val="single" w:color="000000" w:sz="4"/>
              <w:bottom w:val="single" w:color="000000" w:sz="4"/>
              <w:right w:val="single" w:color="000000" w:sz="4"/>
            </w:tcBorders>
          </w:tcPr>
          <w:p/>
        </w:tc>
        <w:tc>
          <w:tcPr>
            <w:tcW w:type="dxa" w:w="2338"/>
            <w:vMerge/>
            <w:tcBorders>
              <w:top w:val="none" w:color="000000" w:sz="4"/>
              <w:left w:val="none" w:color="000000" w:sz="4"/>
              <w:bottom w:val="single" w:color="000000" w:sz="4"/>
              <w:right w:val="single" w:color="000000" w:sz="4"/>
            </w:tcBorders>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拥有者性别</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w:t>
            </w:r>
            <w:r>
              <w:rPr>
                <w:sz w:val="21"/>
              </w:rPr>
              <w:t xml:space="preserve">  </w:t>
            </w:r>
            <w:r>
              <w:rPr>
                <w:sz w:val="21"/>
              </w:rPr>
              <w:t>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广州市环市东路</w:t>
            </w:r>
            <w:r>
              <w:rPr>
                <w:sz w:val="21"/>
              </w:rPr>
              <w:t>468</w:t>
            </w:r>
            <w:r>
              <w:rPr>
                <w:sz w:val="21"/>
              </w:rPr>
              <w:t>号</w:t>
            </w:r>
            <w:r>
              <w:rPr>
                <w:sz w:val="21"/>
              </w:rPr>
              <w:t>1</w:t>
            </w:r>
            <w:r>
              <w:rPr>
                <w:sz w:val="21"/>
              </w:rPr>
              <w:t>号办公楼</w:t>
            </w:r>
            <w:r>
              <w:rPr>
                <w:sz w:val="21"/>
              </w:rPr>
              <w:t>1-3</w:t>
            </w:r>
            <w:r>
              <w:rPr>
                <w:sz w:val="21"/>
              </w:rPr>
              <w:t>层</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w:t>
            </w:r>
            <w:r>
              <w:rPr>
                <w:sz w:val="21"/>
              </w:rPr>
              <w:t xml:space="preserve">  </w:t>
            </w:r>
            <w:r>
              <w:rPr>
                <w:sz w:val="21"/>
              </w:rPr>
              <w:t>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谢先生</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020-37628337</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广州市环市东路</w:t>
            </w:r>
            <w:r>
              <w:rPr>
                <w:sz w:val="21"/>
              </w:rPr>
              <w:t>468</w:t>
            </w:r>
            <w:r>
              <w:rPr>
                <w:sz w:val="21"/>
              </w:rPr>
              <w:t>号</w:t>
            </w:r>
            <w:r>
              <w:rPr>
                <w:sz w:val="21"/>
              </w:rPr>
              <w:t>1</w:t>
            </w:r>
            <w:r>
              <w:rPr>
                <w:sz w:val="21"/>
              </w:rPr>
              <w:t>号办公楼</w:t>
            </w:r>
            <w:r>
              <w:rPr>
                <w:sz w:val="21"/>
              </w:rPr>
              <w:t>313</w:t>
            </w:r>
            <w:r>
              <w:rPr>
                <w:sz w:val="21"/>
              </w:rPr>
              <w:t>室</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510075</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gdsdty_zjk@gd.gov.cn</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12440000455859778Y</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注：涉及联合体或其他合同主体的信息应按上表格式加列。</w:t>
            </w:r>
          </w:p>
        </w:tc>
      </w:tr>
    </w:tbl>
    <w:p>
      <w:pPr>
        <w:pStyle w:val="null3"/>
      </w:pPr>
      <w:r>
        <w:rPr>
          <w:sz w:val="32"/>
          <w:b/>
        </w:rPr>
        <w:t>附件</w:t>
      </w:r>
    </w:p>
    <w:p>
      <w:pPr>
        <w:pStyle w:val="null3"/>
        <w:jc w:val="center"/>
        <w:outlineLvl w:val="1"/>
      </w:pPr>
      <w:r>
        <w:rPr>
          <w:sz w:val="30"/>
          <w:b/>
        </w:rPr>
        <w:t>具体标的及其技术要求和商务要求</w:t>
      </w:r>
    </w:p>
    <w:p>
      <w:pPr>
        <w:pStyle w:val="null3"/>
        <w:ind w:firstLine="422"/>
        <w:jc w:val="both"/>
      </w:pPr>
      <w:r>
        <w:rPr>
          <w:sz w:val="21"/>
          <w:b/>
        </w:rPr>
        <w:t>1.</w:t>
      </w:r>
      <w:r>
        <w:rPr>
          <w:sz w:val="21"/>
          <w:b/>
        </w:rPr>
        <w:t>技术要求</w:t>
      </w:r>
      <w:r>
        <w:rPr>
          <w:sz w:val="21"/>
          <w:i/>
        </w:rPr>
        <w:t>（签订合同时根据中标供应商的响应情况进行修改）</w:t>
      </w:r>
    </w:p>
    <w:p>
      <w:pPr>
        <w:pStyle w:val="null3"/>
        <w:ind w:firstLine="420"/>
        <w:jc w:val="both"/>
      </w:pPr>
      <w:r>
        <w:rPr>
          <w:sz w:val="21"/>
        </w:rPr>
        <w:t>（1）图形工作站</w:t>
      </w:r>
    </w:p>
    <w:tbl>
      <w:tblPr>
        <w:tblW w:w="0" w:type="auto"/>
        <w:tblBorders>
          <w:top w:val="single"/>
          <w:left w:val="single"/>
          <w:bottom w:val="single"/>
          <w:right w:val="single"/>
          <w:insideH w:val="single"/>
          <w:insideV w:val="single"/>
        </w:tblBorders>
      </w:tblPr>
      <w:tblGrid>
        <w:gridCol w:w="424"/>
        <w:gridCol w:w="678"/>
        <w:gridCol w:w="678"/>
        <w:gridCol w:w="1356"/>
        <w:gridCol w:w="5170"/>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指标分类</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一级指标</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二级指标</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处理器架构：兼容X86</w:t>
            </w:r>
          </w:p>
          <w:p>
            <w:pPr>
              <w:pStyle w:val="null3"/>
              <w:jc w:val="left"/>
            </w:pPr>
            <w:r>
              <w:rPr>
                <w:sz w:val="21"/>
                <w:color w:val="000000"/>
              </w:rPr>
              <w:t>物理核心数：≥8核</w:t>
            </w:r>
          </w:p>
          <w:p>
            <w:pPr>
              <w:pStyle w:val="null3"/>
              <w:jc w:val="left"/>
            </w:pPr>
            <w:r>
              <w:rPr>
                <w:sz w:val="21"/>
                <w:color w:val="000000"/>
              </w:rPr>
              <w:t>主频：≥3.0GHz</w:t>
            </w:r>
          </w:p>
          <w:p>
            <w:pPr>
              <w:pStyle w:val="null3"/>
              <w:jc w:val="left"/>
            </w:pPr>
            <w:r>
              <w:rPr>
                <w:sz w:val="21"/>
                <w:color w:val="000000"/>
              </w:rPr>
              <w:t>末级缓存容量：≥16MB三级缓存</w:t>
            </w:r>
          </w:p>
          <w:p>
            <w:pPr>
              <w:pStyle w:val="null3"/>
              <w:jc w:val="left"/>
            </w:pPr>
            <w:r>
              <w:rPr>
                <w:sz w:val="21"/>
                <w:color w:val="000000"/>
              </w:rPr>
              <w:t>线程数：≥16线程</w:t>
            </w:r>
          </w:p>
          <w:p>
            <w:pPr>
              <w:pStyle w:val="null3"/>
              <w:jc w:val="left"/>
            </w:pPr>
            <w:r>
              <w:rPr>
                <w:sz w:val="21"/>
                <w:color w:val="000000"/>
              </w:rPr>
              <w:t>内存最高频率：2933MT/s</w:t>
            </w:r>
          </w:p>
          <w:p>
            <w:pPr>
              <w:pStyle w:val="null3"/>
              <w:jc w:val="left"/>
            </w:pPr>
            <w:r>
              <w:rPr>
                <w:sz w:val="21"/>
                <w:color w:val="000000"/>
              </w:rPr>
              <w:t>通道数：≥2个内存通道</w:t>
            </w:r>
          </w:p>
          <w:p>
            <w:pPr>
              <w:pStyle w:val="null3"/>
              <w:jc w:val="left"/>
            </w:pPr>
            <w:r>
              <w:rPr>
                <w:sz w:val="21"/>
                <w:color w:val="000000"/>
              </w:rPr>
              <w:t>位宽：支持单条x64位宽内存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内存配置容量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支持DDR4或以上内存类型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内存条配置数量(板载内存不涉及)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主板规格</w:t>
            </w:r>
          </w:p>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主板集成模块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集成资源扩展模块、计算处理模块、音频扩展模块等，主板的互联拓扑可通过处理器或交换电路实现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主板支持的 CPU和内存情况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兼容X86架构的CPU,数量：1</w:t>
            </w:r>
          </w:p>
          <w:p>
            <w:pPr>
              <w:pStyle w:val="null3"/>
              <w:jc w:val="left"/>
            </w:pPr>
            <w:r>
              <w:rPr>
                <w:sz w:val="21"/>
                <w:color w:val="000000"/>
              </w:rPr>
              <w:t>内存：具体型号和数量根据实际配置确定，总容量最高支持到256GB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主板其他内置接口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≥4个SATA 3.0接口</w:t>
            </w:r>
          </w:p>
          <w:p>
            <w:pPr>
              <w:pStyle w:val="null3"/>
              <w:jc w:val="left"/>
            </w:pPr>
            <w:r>
              <w:rPr>
                <w:sz w:val="21"/>
                <w:color w:val="000000"/>
              </w:rPr>
              <w:t>≥2个M.2接口（1个M.2 WIFI，1个M.2 SSD）</w:t>
            </w:r>
          </w:p>
          <w:p>
            <w:pPr>
              <w:pStyle w:val="null3"/>
              <w:jc w:val="left"/>
            </w:pPr>
            <w:r>
              <w:rPr>
                <w:sz w:val="21"/>
                <w:color w:val="000000"/>
              </w:rPr>
              <w:t>≥10个USB接口</w:t>
            </w:r>
          </w:p>
          <w:p>
            <w:pPr>
              <w:pStyle w:val="null3"/>
              <w:jc w:val="left"/>
            </w:pPr>
            <w:r>
              <w:rPr>
                <w:sz w:val="21"/>
                <w:color w:val="000000"/>
              </w:rPr>
              <w:t>占用情况根据实际配置确定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单内存插槽最大可支持容量(板载内存不涉及)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内存插槽满配时提供的最高内存总容量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≥128GB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▲主板内置PCIe 插槽数量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支持数量≥3</w:t>
            </w:r>
          </w:p>
          <w:p>
            <w:pPr>
              <w:pStyle w:val="null3"/>
              <w:jc w:val="left"/>
            </w:pPr>
            <w:r>
              <w:rPr>
                <w:sz w:val="21"/>
              </w:rPr>
              <w:t>其中至少包括一个PCIex16和一个PCIex8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w:t>
            </w:r>
            <w:r>
              <w:rPr>
                <w:sz w:val="21"/>
              </w:rPr>
              <w:t>768GB</w:t>
            </w:r>
            <w:r>
              <w:rPr>
                <w:sz w:val="21"/>
              </w:rPr>
              <w:t>，其中</w:t>
            </w:r>
            <w:r>
              <w:rPr>
                <w:sz w:val="21"/>
              </w:rPr>
              <w:t>M.2 SSD</w:t>
            </w:r>
            <w:r>
              <w:rPr>
                <w:sz w:val="21"/>
              </w:rPr>
              <w:t>固态盘容量</w:t>
            </w:r>
            <w:r>
              <w:rPr>
                <w:sz w:val="21"/>
                <w:color w:val="000000"/>
              </w:rPr>
              <w:t>≥</w:t>
            </w:r>
            <w:r>
              <w:rPr>
                <w:sz w:val="21"/>
              </w:rPr>
              <w:t>512GB</w:t>
            </w:r>
            <w:r>
              <w:rPr>
                <w:sz w:val="21"/>
              </w:rPr>
              <w:t>，</w:t>
            </w:r>
            <w:r>
              <w:rPr>
                <w:sz w:val="21"/>
              </w:rPr>
              <w:t>SATA SSD</w:t>
            </w:r>
            <w:r>
              <w:rPr>
                <w:sz w:val="21"/>
              </w:rPr>
              <w:t>固态盘容量</w:t>
            </w:r>
            <w:r>
              <w:rPr>
                <w:sz w:val="21"/>
                <w:color w:val="000000"/>
              </w:rPr>
              <w:t>≥</w:t>
            </w:r>
            <w:r>
              <w:rPr>
                <w:sz w:val="21"/>
              </w:rPr>
              <w:t>256GB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机械硬盘转速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≥7200rpm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固态存储形态</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采用插卡或板载等形态，插卡形态宜符合M.2 或mSATA 等标准尺寸和接口定义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存储设备其他参数要求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）固态盘应符合SJ/T 11654 相关规定；</w:t>
            </w:r>
          </w:p>
          <w:p>
            <w:pPr>
              <w:pStyle w:val="null3"/>
              <w:jc w:val="left"/>
            </w:pPr>
            <w:r>
              <w:rPr>
                <w:sz w:val="21"/>
                <w:color w:val="000000"/>
              </w:rPr>
              <w:t>b</w:t>
            </w:r>
            <w:r>
              <w:rPr>
                <w:sz w:val="21"/>
                <w:color w:val="000000"/>
              </w:rPr>
              <w:t>）机械硬盘准备时间应不大于30s；侧面固定螺丝孔数量可为4孔或6孔；工作状态环境温度应满足5℃</w:t>
            </w:r>
            <w:r>
              <w:rPr>
                <w:sz w:val="21"/>
                <w:color w:val="000000"/>
              </w:rPr>
              <w:t>～</w:t>
            </w:r>
            <w:r>
              <w:rPr>
                <w:sz w:val="21"/>
                <w:color w:val="000000"/>
              </w:rPr>
              <w:t>55</w:t>
            </w:r>
            <w:r>
              <w:rPr>
                <w:sz w:val="21"/>
                <w:color w:val="000000"/>
              </w:rPr>
              <w:t>℃；其它参数应符合GB/T12628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带纠错码(ECC)的GDDR6</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★独立显卡显存位宽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显存位宽≥128bit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显存容量≥8GB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独立显卡接口协议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产品支持PCIe协议版本大于等于4.0的独立显卡接口协议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≥DP；≥HDMI*2 ；自带DP线缆</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★显示屏屏占比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≥3840×2160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显示屏可视角度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水平≥178°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≥27 英寸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显示屏屏幕比例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w:t>
            </w:r>
            <w:r>
              <w:rPr>
                <w:sz w:val="21"/>
                <w:color w:val="000000"/>
              </w:rPr>
              <w:t>：9</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显示器外观颜色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★显示屏防蓝光</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支持防蓝光模式，蓝光加权辐射亮度比应≤0.0012W/(·cd·sr) (瓦每坎特拉每球面度)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★显示屏低频闪</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显示屏应支持低频闪≤-35dB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★显示屏防炫目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显示屏镜面反射率≤10%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键盘按键数目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104</w:t>
            </w:r>
            <w:r>
              <w:rPr>
                <w:sz w:val="21"/>
                <w:color w:val="000000"/>
              </w:rPr>
              <w:t>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摄像头像素</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扬声器功率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扬声器频率范围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有线</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键盘键程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2.3mm</w:t>
            </w:r>
            <w:r>
              <w:rPr>
                <w:sz w:val="21"/>
                <w:color w:val="000000"/>
              </w:rPr>
              <w:t>～4.0mm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键盘按键压力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按键压力应在0.54 N±0.14N</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有线键盘连接线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键盘外观结构、连接方式、主要功能、安全、电磁兼容性、可靠性应符合 GB/T14081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标配USB接口有线鼠标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有线鼠标连接线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鼠标DPI 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 GB/T 26245的相关规定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sz w:val="21"/>
                <w:color w:val="000000"/>
              </w:rPr>
              <w:t>网络设备规格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有线网卡数量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，其中</w:t>
            </w:r>
            <w:r>
              <w:rPr>
                <w:sz w:val="21"/>
              </w:rPr>
              <w:t>1</w:t>
            </w:r>
            <w:r>
              <w:rPr>
                <w:sz w:val="21"/>
              </w:rPr>
              <w:t>张支持SFP+独立网卡，独立网卡网口均为光口（含光模块），网口数量≥2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产品规格</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外部接口规格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★USB接口数量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≥10个USB，其中≥6个USB3.0（整机自带非USB hub扩展）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音频接口数量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前置：1个音频输出，1个麦克风</w:t>
            </w:r>
          </w:p>
          <w:p>
            <w:pPr>
              <w:pStyle w:val="null3"/>
              <w:jc w:val="left"/>
            </w:pPr>
            <w:r>
              <w:rPr>
                <w:sz w:val="21"/>
              </w:rPr>
              <w:t>后置：1组音频输入/输出，1个麦克风</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▲故障诊断模块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内置PORT80</w:t>
            </w:r>
            <w:r>
              <w:rPr>
                <w:sz w:val="21"/>
              </w:rPr>
              <w:t>诊断灯（须承诺</w:t>
            </w:r>
            <w:r>
              <w:rPr>
                <w:sz w:val="20"/>
              </w:rPr>
              <w:t>中标</w:t>
            </w:r>
            <w:r>
              <w:rPr>
                <w:sz w:val="21"/>
              </w:rPr>
              <w:t>后与本项目采购人签订合同后2个工作日内提供原厂盖章证明材料）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整机基础规格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整机外观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产品表面不应有凹痕、划伤、裂缝、变形和污染等。表面涂层均匀， 不应起泡、龟裂、脱落和磨损， 金属零部件无锈蚀及其它机械损伤；</w:t>
            </w:r>
          </w:p>
          <w:p>
            <w:pPr>
              <w:pStyle w:val="null3"/>
              <w:jc w:val="left"/>
            </w:pPr>
            <w:r>
              <w:rPr>
                <w:sz w:val="21"/>
                <w:color w:val="000000"/>
              </w:rPr>
              <w:t xml:space="preserve">b) </w:t>
            </w:r>
            <w:r>
              <w:rPr>
                <w:sz w:val="21"/>
                <w:color w:val="000000"/>
              </w:rPr>
              <w:t>产品表面说明功能的文字、符号、标志， 应清晰、端正、牢固；</w:t>
            </w:r>
          </w:p>
          <w:p>
            <w:pPr>
              <w:pStyle w:val="null3"/>
              <w:jc w:val="left"/>
            </w:pPr>
            <w:r>
              <w:rPr>
                <w:sz w:val="21"/>
                <w:color w:val="000000"/>
              </w:rPr>
              <w:t xml:space="preserve">c) </w:t>
            </w:r>
            <w:r>
              <w:rPr>
                <w:sz w:val="21"/>
                <w:color w:val="000000"/>
              </w:rPr>
              <w:t>宜在产品显著位置提供运行状态指示功能，并由生产厂商提供详细参数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整机结构</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机箱应符合 GB/T 4208、GB/T 26246的相关规定；</w:t>
            </w:r>
          </w:p>
          <w:p>
            <w:pPr>
              <w:pStyle w:val="null3"/>
              <w:jc w:val="left"/>
            </w:pPr>
            <w:r>
              <w:rPr>
                <w:sz w:val="21"/>
                <w:color w:val="000000"/>
              </w:rPr>
              <w:t xml:space="preserve">b) </w:t>
            </w:r>
            <w:r>
              <w:rPr>
                <w:sz w:val="21"/>
                <w:color w:val="000000"/>
              </w:rPr>
              <w:t>产品内部结构应符合通用部件的安装需要；</w:t>
            </w:r>
          </w:p>
          <w:p>
            <w:pPr>
              <w:pStyle w:val="null3"/>
              <w:jc w:val="left"/>
            </w:pPr>
            <w:r>
              <w:rPr>
                <w:sz w:val="21"/>
                <w:color w:val="000000"/>
              </w:rPr>
              <w:t xml:space="preserve">c) </w:t>
            </w:r>
            <w:r>
              <w:rPr>
                <w:sz w:val="21"/>
                <w:color w:val="000000"/>
              </w:rPr>
              <w:t>所有输入输出接口应符合相关国家或行业标准；</w:t>
            </w:r>
          </w:p>
          <w:p>
            <w:pPr>
              <w:pStyle w:val="null3"/>
              <w:jc w:val="left"/>
            </w:pPr>
            <w:r>
              <w:rPr>
                <w:sz w:val="21"/>
                <w:color w:val="000000"/>
              </w:rPr>
              <w:t xml:space="preserve">d) </w:t>
            </w:r>
            <w:r>
              <w:rPr>
                <w:sz w:val="21"/>
                <w:color w:val="000000"/>
              </w:rPr>
              <w:t>产品零部件应紧固无松动， 可插拔部件应可靠连接， 开关、按钮和其它控制部件应灵活可靠， 布局应方便使用；</w:t>
            </w:r>
          </w:p>
          <w:p>
            <w:pPr>
              <w:pStyle w:val="null3"/>
              <w:jc w:val="left"/>
            </w:pPr>
            <w:r>
              <w:rPr>
                <w:sz w:val="21"/>
                <w:color w:val="000000"/>
              </w:rPr>
              <w:t xml:space="preserve">e) </w:t>
            </w:r>
            <w:r>
              <w:rPr>
                <w:sz w:val="21"/>
                <w:color w:val="000000"/>
              </w:rPr>
              <w:t>所有I/O连接器及需插接线缆的部位应预留用户操作空间，方便插拔解锁与插拔线缆；</w:t>
            </w:r>
          </w:p>
          <w:p>
            <w:pPr>
              <w:pStyle w:val="null3"/>
              <w:jc w:val="left"/>
            </w:pPr>
            <w:r>
              <w:rPr>
                <w:sz w:val="21"/>
                <w:color w:val="000000"/>
              </w:rPr>
              <w:t xml:space="preserve">f) </w:t>
            </w:r>
            <w:r>
              <w:rPr>
                <w:sz w:val="21"/>
                <w:color w:val="000000"/>
              </w:rPr>
              <w:t>可插拔板卡插槽部位应预留安装、拆卸或更换板卡空间；</w:t>
            </w:r>
          </w:p>
          <w:p>
            <w:pPr>
              <w:pStyle w:val="null3"/>
              <w:jc w:val="left"/>
            </w:pPr>
            <w:r>
              <w:rPr>
                <w:sz w:val="21"/>
                <w:color w:val="000000"/>
              </w:rPr>
              <w:t xml:space="preserve">g) </w:t>
            </w:r>
            <w:r>
              <w:rPr>
                <w:sz w:val="21"/>
                <w:color w:val="000000"/>
              </w:rPr>
              <w:t>拆装可能接触到的金属剪口或金属尖角部位应做防划伤处理，以保证安全;</w:t>
            </w:r>
          </w:p>
          <w:p>
            <w:pPr>
              <w:pStyle w:val="null3"/>
              <w:jc w:val="left"/>
            </w:pPr>
            <w:r>
              <w:rPr>
                <w:sz w:val="21"/>
                <w:color w:val="000000"/>
              </w:rPr>
              <w:t xml:space="preserve">h) </w:t>
            </w:r>
            <w:r>
              <w:rPr>
                <w:sz w:val="21"/>
                <w:color w:val="000000"/>
              </w:rPr>
              <w:t>整机内部走线应规整，固线结构和位置要合理可靠并做防割线处理，需便于理线和插拔操作，走线应不影响系统各主要部件组装和拆卸；</w:t>
            </w:r>
          </w:p>
          <w:p>
            <w:pPr>
              <w:pStyle w:val="null3"/>
              <w:jc w:val="left"/>
            </w:pPr>
            <w:r>
              <w:rPr>
                <w:sz w:val="21"/>
                <w:color w:val="000000"/>
              </w:rPr>
              <w:t xml:space="preserve">i) </w:t>
            </w:r>
            <w:r>
              <w:rPr>
                <w:sz w:val="21"/>
                <w:color w:val="000000"/>
              </w:rPr>
              <w:t>如需通过孔走线， 过线孔应做防割线处理；</w:t>
            </w:r>
          </w:p>
          <w:p>
            <w:pPr>
              <w:pStyle w:val="null3"/>
              <w:jc w:val="left"/>
            </w:pPr>
            <w:r>
              <w:rPr>
                <w:sz w:val="21"/>
                <w:color w:val="000000"/>
              </w:rPr>
              <w:t xml:space="preserve">j) </w:t>
            </w:r>
            <w:r>
              <w:rPr>
                <w:sz w:val="21"/>
                <w:color w:val="000000"/>
              </w:rPr>
              <w:t>各插头位置和插拔方向应合理， 应做到插拔无障碍设计， 具备防呆设计，有效避免误操作；</w:t>
            </w:r>
          </w:p>
          <w:p>
            <w:pPr>
              <w:pStyle w:val="null3"/>
              <w:jc w:val="left"/>
            </w:pPr>
            <w:r>
              <w:rPr>
                <w:sz w:val="21"/>
                <w:color w:val="000000"/>
              </w:rPr>
              <w:t xml:space="preserve">k) </w:t>
            </w:r>
            <w:r>
              <w:rPr>
                <w:sz w:val="21"/>
                <w:color w:val="000000"/>
              </w:rPr>
              <w:t>各主要部件拆装无障碍， 使用常规工具拆装， 无特殊拆装工具需求；</w:t>
            </w:r>
          </w:p>
          <w:p>
            <w:pPr>
              <w:pStyle w:val="null3"/>
              <w:jc w:val="left"/>
            </w:pPr>
            <w:r>
              <w:rPr>
                <w:sz w:val="21"/>
                <w:color w:val="000000"/>
              </w:rPr>
              <w:t xml:space="preserve">I) </w:t>
            </w:r>
            <w:r>
              <w:rPr>
                <w:sz w:val="21"/>
                <w:color w:val="000000"/>
              </w:rPr>
              <w:t>各主要部件拆装步骤要少， 各自拆装需避免相互干扰；</w:t>
            </w:r>
          </w:p>
          <w:p>
            <w:pPr>
              <w:pStyle w:val="null3"/>
              <w:jc w:val="left"/>
            </w:pPr>
            <w:r>
              <w:rPr>
                <w:sz w:val="21"/>
                <w:color w:val="000000"/>
              </w:rPr>
              <w:t xml:space="preserve">m) </w:t>
            </w:r>
            <w:r>
              <w:rPr>
                <w:sz w:val="21"/>
                <w:color w:val="000000"/>
              </w:rPr>
              <w:t>对于整机或零部件外表面为高亮面的，应粘贴保护膜，保护膜需粘贴牢固，运输、组装等过程不易脱落，撕下无残留；</w:t>
            </w:r>
          </w:p>
          <w:p>
            <w:pPr>
              <w:pStyle w:val="null3"/>
              <w:jc w:val="left"/>
            </w:pPr>
            <w:r>
              <w:rPr>
                <w:sz w:val="21"/>
                <w:color w:val="000000"/>
              </w:rPr>
              <w:t xml:space="preserve">n) </w:t>
            </w:r>
            <w:r>
              <w:rPr>
                <w:sz w:val="21"/>
                <w:color w:val="000000"/>
              </w:rPr>
              <w:t>其它要求应符合 GB/T 9813.1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机箱防护要求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机箱应符合 GB/T 4208 中 IP20 防护要求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整机噪音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产品工作在空闲状态下，产品的声功率级应不超过4.5 Bel</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整机散热</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在环境温度25℃及处理器满载情况下，产品表面温度应符合下列要求：</w:t>
            </w:r>
          </w:p>
          <w:p>
            <w:pPr>
              <w:pStyle w:val="null3"/>
              <w:jc w:val="left"/>
            </w:pPr>
            <w:r>
              <w:rPr>
                <w:sz w:val="21"/>
                <w:color w:val="000000"/>
              </w:rPr>
              <w:t xml:space="preserve">a) </w:t>
            </w:r>
            <w:r>
              <w:rPr>
                <w:sz w:val="21"/>
                <w:color w:val="000000"/>
              </w:rPr>
              <w:t>出风口在机箱后面板情况下， 出风口温度不高于55℃；</w:t>
            </w:r>
          </w:p>
          <w:p>
            <w:pPr>
              <w:pStyle w:val="null3"/>
              <w:jc w:val="left"/>
            </w:pPr>
            <w:r>
              <w:rPr>
                <w:sz w:val="21"/>
                <w:color w:val="000000"/>
              </w:rPr>
              <w:t xml:space="preserve">b) </w:t>
            </w:r>
            <w:r>
              <w:rPr>
                <w:sz w:val="21"/>
                <w:color w:val="000000"/>
              </w:rPr>
              <w:t>可触及面温度小于45℃；</w:t>
            </w:r>
          </w:p>
          <w:p>
            <w:pPr>
              <w:pStyle w:val="null3"/>
              <w:jc w:val="left"/>
            </w:pPr>
            <w:r>
              <w:rPr>
                <w:sz w:val="21"/>
                <w:color w:val="000000"/>
              </w:rPr>
              <w:t xml:space="preserve">c) </w:t>
            </w:r>
            <w:r>
              <w:rPr>
                <w:sz w:val="21"/>
                <w:color w:val="000000"/>
              </w:rPr>
              <w:t>显示器表面温度： 显示屏温度不高于 38℃，显示屏上下灯带位置温度(如涉及) 不高于40℃， 出风口温度不高于 45℃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整机能效限定值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产品能效限定值应达到 GB 28380-2012标准中能效等级 2 级及以上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机身颜色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黑色商务色系</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机箱尺寸容量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25L</w:t>
            </w:r>
            <w:r>
              <w:rPr>
                <w:sz w:val="21"/>
              </w:rPr>
              <w:t>≤机箱</w:t>
            </w:r>
            <w:r>
              <w:rPr>
                <w:sz w:val="21"/>
              </w:rPr>
              <w:t>体积</w:t>
            </w:r>
            <w:r>
              <w:rPr>
                <w:sz w:val="21"/>
              </w:rPr>
              <w:t>≤30L</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物理核数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≥8核，≥16线程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主频</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末级缓存容量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支持的内存最高速率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内存读写速率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≥4096×2160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★显卡显示芯片核心频率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≥1900MHz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★显存等效频率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★显卡可支持多屏同时显示数量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支持4块屏幕同时显示，分辨率应不低于4096×2160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★显示屏刷新率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★显示屏位深</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★显示屏色域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≥99% sRGB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★显示屏色准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△E ≤3</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★显示屏响应时间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≤6ms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★显示屏亮度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≥350 尼特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★显示屏亮度一致性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★显示屏对比度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 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显示屏其他参数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 SJ/T 11292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最高速率应不低于 1000Mbps, 应支持10Mbps、100Mbps、1000Mbps 速率自适应</w:t>
            </w:r>
          </w:p>
          <w:p>
            <w:pPr>
              <w:pStyle w:val="null3"/>
              <w:jc w:val="left"/>
            </w:pPr>
            <w:r>
              <w:rPr>
                <w:sz w:val="21"/>
              </w:rPr>
              <w:t>支持SFP+的独立网卡网口速率均不少于10GE</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内存扩展接口(板载内存不涉及)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主板USB瞬间过流保护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支持瞬间过流保护功能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主板防静电保护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支持防静电保护功能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I/O</w:t>
            </w:r>
            <w:r>
              <w:rPr>
                <w:sz w:val="21"/>
                <w:color w:val="000000"/>
              </w:rPr>
              <w:t>接口功能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基于标准USB接口外设连接功能、基于音频输入输出接口的音频扩展功能、基于PCIe接口板卡扩展功能、基于HDMI/VGA/Type-C/DVI/DP等接口外接显示器扩展功能、基于存储接口对产品进行增容功能等。工作站I/O接口应具备外接标准USB设备、显示器、音频设备等内外部设备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显卡外接显示接口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显卡支持DP显示接口, 并与显示器接口相匹配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显示器应与显卡外接显示接口匹配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显示器支架</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显示器应提供显示器支架，宜支持屏幕旋转、支架可升降等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显示器参数调节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提供OSD 选单按钮用于调节色彩、模式等；</w:t>
            </w:r>
          </w:p>
          <w:p>
            <w:pPr>
              <w:pStyle w:val="null3"/>
              <w:jc w:val="left"/>
            </w:pPr>
            <w:r>
              <w:rPr>
                <w:sz w:val="21"/>
                <w:color w:val="000000"/>
              </w:rPr>
              <w:t xml:space="preserve">b) </w:t>
            </w:r>
            <w:r>
              <w:rPr>
                <w:sz w:val="21"/>
                <w:color w:val="000000"/>
              </w:rPr>
              <w:t>支持色温、亮度、对比度调节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可选配SATA固态存储/SATA硬磁盘等存储部件提供存储功能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支持网络连接、网络开启/关闭功能；</w:t>
            </w:r>
          </w:p>
          <w:p>
            <w:pPr>
              <w:pStyle w:val="null3"/>
              <w:jc w:val="left"/>
            </w:pPr>
            <w:r>
              <w:rPr>
                <w:sz w:val="21"/>
                <w:color w:val="000000"/>
              </w:rPr>
              <w:t>b)</w:t>
            </w:r>
            <w:r>
              <w:rPr>
                <w:sz w:val="21"/>
                <w:color w:val="000000"/>
              </w:rPr>
              <w:t>支持访问网络和数据交换功能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数据传输</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支持数据传输能力，并提供数据流量和异常日志记录功能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支持RJ45 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网络设备拆装</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若配备的网络设备应支持物理拆装，包括无线网卡和蓝牙模块等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支持3.5mm孔径3段式或4段式接口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至少支持VGA、HDMI、DVI、DP、Type-C中1种显示接口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HDMI</w:t>
            </w:r>
            <w:r>
              <w:rPr>
                <w:sz w:val="21"/>
                <w:color w:val="000000"/>
              </w:rPr>
              <w:t>、DP、Type-C显示接口要求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提供HDMI或DP 或Type-C作为显示接口， 应支持音频和视频同步输出</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电源线适配能力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电源适配器电线组件应符合GB/T15934的要求， 可拆线的插头和连接器可以不做要求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操作系统及软件功能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中文信息处理要求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18030的相关规定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操作系统备份及还原功能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支持操作系统备份及还原功能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固件备份还原能力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支持备份及还原固件的功能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操作系统及驱动升级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BIOS </w:t>
            </w:r>
            <w:r>
              <w:rPr>
                <w:sz w:val="21"/>
                <w:color w:val="000000"/>
              </w:rPr>
              <w:t>支持关闭通讯接口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支持BIOS 关闭以太网及USB 接口功能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固件查看信息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支持查看固件版本、内存信息、主板信息、处理器信息和系统时间信息等功能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固件设置启动顺序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支持设置启动顺序功能，并按照设置的启动顺序启动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固件设置口令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支持设置口令、修改口令、验证口令功能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固件设置网络引导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支持网络引导启动和关闭功能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TBW</w:t>
            </w:r>
            <w:r>
              <w:rPr>
                <w:sz w:val="21"/>
                <w:color w:val="000000"/>
              </w:rPr>
              <w:t>≥80TB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通电时间≥5万小时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显示屏屏幕失效点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 9813.2 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键盘鼠标线材寿命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键盘鼠标所用线材经±60°弯折不低于 3000次，功能、外观完好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风扇寿命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整机可靠</w:t>
            </w:r>
          </w:p>
          <w:p>
            <w:pPr>
              <w:pStyle w:val="null3"/>
              <w:jc w:val="center"/>
            </w:pPr>
            <w:r>
              <w:rPr>
                <w:sz w:val="21"/>
                <w:color w:val="000000"/>
              </w:rPr>
              <w:t>性要求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电磁兼容性要求的抗扰度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9254.2 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环境条件要求的气候环境适应性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环境条件要求的振动适应性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环境条件要求的冲击适应性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环境条件要求的碰撞适应性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环境条件要求的运输包装件跌落适应性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MTBF </w:t>
            </w:r>
            <w:r>
              <w:rPr>
                <w:sz w:val="21"/>
                <w:color w:val="000000"/>
              </w:rPr>
              <w:t>测试</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MTBF(m1)</w:t>
            </w:r>
            <w:r>
              <w:rPr>
                <w:sz w:val="21"/>
                <w:color w:val="000000"/>
              </w:rPr>
              <w:t>≥25万小时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常用软件兼容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应支持流式软件、版式软件、浏览器、邮件客户端、解压软件、多媒体、图形图像处理等常用软件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数据库兼容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中间件兼容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平台软件兼容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兼容3个及以上厂商云计算及大数据平台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w:t>
            </w:r>
          </w:p>
          <w:p>
            <w:pPr>
              <w:pStyle w:val="null3"/>
              <w:jc w:val="center"/>
            </w:pPr>
            <w:r>
              <w:rPr>
                <w:sz w:val="21"/>
                <w:color w:val="000000"/>
              </w:rPr>
              <w:t>输要求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标志、包装、运输和贮存</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GB/T9813.1 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配置检查工具</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提供自检测试工具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服务响应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供应商提供电话、电子邮件、远程连接等多种形式政企专线7*24在线服务；</w:t>
            </w:r>
          </w:p>
          <w:p>
            <w:pPr>
              <w:pStyle w:val="null3"/>
              <w:jc w:val="left"/>
            </w:pPr>
            <w:r>
              <w:rPr>
                <w:sz w:val="21"/>
              </w:rPr>
              <w:t>b)</w:t>
            </w:r>
            <w:r>
              <w:rPr>
                <w:sz w:val="21"/>
              </w:rPr>
              <w:t>供应商提供同城4h、异地12h 技术响应服务，2 个工作日解决问题，对于未能解决的问题和故障应提供可行的升级方案，并提供周转设备或更换设备；</w:t>
            </w:r>
          </w:p>
          <w:p>
            <w:pPr>
              <w:pStyle w:val="null3"/>
              <w:jc w:val="left"/>
            </w:pPr>
            <w:r>
              <w:rPr>
                <w:sz w:val="21"/>
              </w:rPr>
              <w:t>c)</w:t>
            </w:r>
            <w:r>
              <w:rPr>
                <w:sz w:val="21"/>
              </w:rPr>
              <w:t>建立全国技术服务体系和服务团体，符合专业服务体系标准要求，提供原厂中文服务；</w:t>
            </w:r>
          </w:p>
          <w:p>
            <w:pPr>
              <w:pStyle w:val="null3"/>
              <w:jc w:val="left"/>
            </w:pPr>
            <w:r>
              <w:rPr>
                <w:sz w:val="21"/>
              </w:rPr>
              <w:t>d)</w:t>
            </w:r>
            <w:r>
              <w:rPr>
                <w:sz w:val="21"/>
              </w:rPr>
              <w:t>服务周期内提供产品的维修、换件和升级服务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服务周期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支持产品延保≥3年。</w:t>
            </w:r>
          </w:p>
          <w:p>
            <w:pPr>
              <w:pStyle w:val="null3"/>
              <w:jc w:val="left"/>
            </w:pPr>
            <w:r>
              <w:rPr>
                <w:sz w:val="21"/>
                <w:color w:val="000000"/>
              </w:rPr>
              <w:t>提供每年延保服务报价。</w:t>
            </w:r>
          </w:p>
          <w:p>
            <w:pPr>
              <w:pStyle w:val="null3"/>
              <w:jc w:val="left"/>
            </w:pPr>
            <w:r>
              <w:rPr>
                <w:sz w:val="21"/>
                <w:color w:val="000000"/>
              </w:rPr>
              <w:t>提供备件服务能力≥6年（自购买之日起）。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预装操作系统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预装符合桌面操作系统政府采购需求标准、通过安全可靠测评的正版统信UOS V20操作系统（内核版本5.10），并提供不小于一年升级服务。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培训服务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典型问题解决手册</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供应商提供典型问题解决说明文档或视频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厂家升级软件与扩容服务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供应商提供上门升级部件/软件的增值服务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整机质量服务要求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免费服务周期（含换件和维修）≥3年，免费服务周期内硬盘损坏更换免回收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合格证书要求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供应商提供产品合格证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开箱组装/使用指导要求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供应商提供开箱组装/使用指导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驱动下载服务要求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供应商提供驱动光盘或下载方式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兼容适配软件下载服务要求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供应商提供兼容适配软件下载渠道(光盘、网站)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供应链合规性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产品部件保障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保障产品主要部件提供不少于6年的备件服务能力(自购买之日起)，或提供可兼容原设备的升级换代产品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供应链质量</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抗干扰性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当产品部件出现供应风险时，供应商应通知采购人并提供风险应对方案确保产品的服务保障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供应能力证明</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供应商提供供应链稳定承诺书，确保产品的部件在产品服务周期内稳定供货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关键部件安全要求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和操作系统等关键部件应符合安全可靠测评要求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整机安全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密码算法实现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芯片应符合GM/T 0008的相关规定,或芯片密码模块应符合 GB/T 37092 或GM/T 0028 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信息安全基本要求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应符合 GB/T 39276 的5.2的规定；</w:t>
            </w:r>
          </w:p>
          <w:p>
            <w:pPr>
              <w:pStyle w:val="null3"/>
              <w:jc w:val="left"/>
            </w:pPr>
            <w:r>
              <w:rPr>
                <w:sz w:val="21"/>
                <w:color w:val="000000"/>
              </w:rPr>
              <w:t xml:space="preserve">b) </w:t>
            </w:r>
            <w:r>
              <w:rPr>
                <w:sz w:val="21"/>
                <w:color w:val="000000"/>
              </w:rPr>
              <w:t>生产厂商应建立漏洞跟踪表， 保证产品版本涉及到的漏洞(如驱动程序等)可查看；</w:t>
            </w:r>
          </w:p>
          <w:p>
            <w:pPr>
              <w:pStyle w:val="null3"/>
              <w:jc w:val="left"/>
            </w:pPr>
            <w:r>
              <w:rPr>
                <w:sz w:val="21"/>
                <w:color w:val="000000"/>
              </w:rPr>
              <w:t xml:space="preserve">c) </w:t>
            </w:r>
            <w:r>
              <w:rPr>
                <w:sz w:val="21"/>
                <w:color w:val="000000"/>
              </w:rPr>
              <w:t>产品不得包含已知的恶意代码或漏洞，不存在未声明的指令、功能、接口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固件安全启动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支持固件安全启动功能，固件启动过程中只有通过启动校验才能正常启动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限用物质的限量要求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26572 中规定</w:t>
            </w:r>
          </w:p>
        </w:tc>
      </w:tr>
    </w:tbl>
    <w:p>
      <w:pPr>
        <w:pStyle w:val="null3"/>
        <w:ind w:firstLine="420"/>
        <w:jc w:val="both"/>
      </w:pPr>
      <w:r>
        <w:rPr>
          <w:sz w:val="21"/>
        </w:rPr>
        <w:t>（2）移动工作站</w:t>
      </w:r>
    </w:p>
    <w:tbl>
      <w:tblPr>
        <w:tblW w:w="0" w:type="auto"/>
        <w:tblBorders>
          <w:top w:val="single"/>
          <w:left w:val="single"/>
          <w:bottom w:val="single"/>
          <w:right w:val="single"/>
          <w:insideH w:val="single"/>
          <w:insideV w:val="single"/>
        </w:tblBorders>
      </w:tblPr>
      <w:tblGrid>
        <w:gridCol w:w="424"/>
        <w:gridCol w:w="678"/>
        <w:gridCol w:w="678"/>
        <w:gridCol w:w="1356"/>
        <w:gridCol w:w="5170"/>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指标分类</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一级指标</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二级指标</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处理器架构：兼容X86</w:t>
            </w:r>
          </w:p>
          <w:p>
            <w:pPr>
              <w:pStyle w:val="null3"/>
              <w:jc w:val="left"/>
            </w:pPr>
            <w:r>
              <w:rPr>
                <w:sz w:val="21"/>
                <w:color w:val="000000"/>
              </w:rPr>
              <w:t>物理核心数：≥8核</w:t>
            </w:r>
          </w:p>
          <w:p>
            <w:pPr>
              <w:pStyle w:val="null3"/>
              <w:jc w:val="left"/>
            </w:pPr>
            <w:r>
              <w:rPr>
                <w:sz w:val="21"/>
                <w:color w:val="000000"/>
              </w:rPr>
              <w:t>主频：≥2.3GHz，</w:t>
            </w:r>
            <w:r>
              <w:rPr>
                <w:sz w:val="21"/>
              </w:rPr>
              <w:t>支持睿频加速功能，支持超线程技术</w:t>
            </w:r>
          </w:p>
          <w:p>
            <w:pPr>
              <w:pStyle w:val="null3"/>
              <w:jc w:val="left"/>
            </w:pPr>
            <w:r>
              <w:rPr>
                <w:sz w:val="21"/>
                <w:color w:val="000000"/>
              </w:rPr>
              <w:t>末级缓存容量：≥16MB三级缓存</w:t>
            </w:r>
          </w:p>
          <w:p>
            <w:pPr>
              <w:pStyle w:val="null3"/>
              <w:jc w:val="left"/>
            </w:pPr>
            <w:r>
              <w:rPr>
                <w:sz w:val="21"/>
                <w:color w:val="000000"/>
              </w:rPr>
              <w:t>线程数：≥16线程</w:t>
            </w:r>
          </w:p>
          <w:p>
            <w:pPr>
              <w:pStyle w:val="null3"/>
              <w:jc w:val="left"/>
            </w:pPr>
            <w:r>
              <w:rPr>
                <w:sz w:val="21"/>
                <w:color w:val="000000"/>
              </w:rPr>
              <w:t>功耗：≥25W</w:t>
            </w:r>
          </w:p>
          <w:p>
            <w:pPr>
              <w:pStyle w:val="null3"/>
              <w:jc w:val="left"/>
            </w:pPr>
            <w:r>
              <w:rPr>
                <w:sz w:val="21"/>
                <w:color w:val="000000"/>
              </w:rPr>
              <w:t>内存最高频率：2933MT/s</w:t>
            </w:r>
          </w:p>
          <w:p>
            <w:pPr>
              <w:pStyle w:val="null3"/>
              <w:jc w:val="left"/>
            </w:pPr>
            <w:r>
              <w:rPr>
                <w:sz w:val="21"/>
                <w:color w:val="000000"/>
              </w:rPr>
              <w:t>通道数：≥2个内存通道</w:t>
            </w:r>
          </w:p>
          <w:p>
            <w:pPr>
              <w:pStyle w:val="null3"/>
              <w:jc w:val="left"/>
            </w:pPr>
            <w:r>
              <w:rPr>
                <w:sz w:val="21"/>
                <w:color w:val="000000"/>
              </w:rPr>
              <w:t>位宽：支持单条x64位宽内存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内存配置容量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支持DDR4或以上内存类型</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内存条配置数量(板载内存不涉及)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主板规格</w:t>
            </w:r>
          </w:p>
          <w:p>
            <w:pPr>
              <w:pStyle w:val="null3"/>
              <w:jc w:val="center"/>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主板集成模块</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集成资源扩展模块、计算处理模块、音频扩展模块等，主板的互联拓扑可通过处理器或交换电路实现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主板支持的 CPU和内存情况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兼容X86架构的CPU,数量：1</w:t>
            </w:r>
          </w:p>
          <w:p>
            <w:pPr>
              <w:pStyle w:val="null3"/>
              <w:jc w:val="left"/>
            </w:pPr>
            <w:r>
              <w:rPr>
                <w:sz w:val="21"/>
                <w:color w:val="000000"/>
              </w:rPr>
              <w:t>内存：具体型号和数量根据实际配置确定，总容量最高支持到32GB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★主板其他内置接口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≥2个USB 3.0接口</w:t>
            </w:r>
          </w:p>
          <w:p>
            <w:pPr>
              <w:pStyle w:val="null3"/>
              <w:jc w:val="left"/>
            </w:pPr>
            <w:r>
              <w:rPr>
                <w:sz w:val="21"/>
              </w:rPr>
              <w:t>≥2个USB Type-C接口(其中一个支持屏幕扩展)</w:t>
            </w:r>
          </w:p>
          <w:p>
            <w:pPr>
              <w:pStyle w:val="null3"/>
              <w:jc w:val="left"/>
            </w:pPr>
            <w:r>
              <w:rPr>
                <w:sz w:val="21"/>
              </w:rPr>
              <w:t>≥1个HDMI type-A（HDMI 2.0）接口</w:t>
            </w:r>
          </w:p>
          <w:p>
            <w:pPr>
              <w:pStyle w:val="null3"/>
              <w:jc w:val="left"/>
            </w:pPr>
            <w:r>
              <w:rPr>
                <w:sz w:val="21"/>
              </w:rPr>
              <w:t>≥1个3.5mm Audio Jack</w:t>
            </w:r>
          </w:p>
          <w:p>
            <w:pPr>
              <w:pStyle w:val="null3"/>
              <w:jc w:val="left"/>
            </w:pPr>
            <w:r>
              <w:rPr>
                <w:sz w:val="21"/>
              </w:rPr>
              <w:t>占用情况根据实际配置确定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单内存插槽最大可支持容量(板载内存不涉及)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内存插槽满配时提供的最高内存总容量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存储设备规格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C00000"/>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★固态存储容量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固态存储形态</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采用插卡形态，支持M.2标准尺寸和接口协议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★存储设备扩展盘位</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存储设备其他参数要求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）固态盘应符合SJ/T 11654相关规定；</w:t>
            </w:r>
          </w:p>
          <w:p>
            <w:pPr>
              <w:pStyle w:val="null3"/>
              <w:jc w:val="left"/>
            </w:pPr>
            <w:r>
              <w:rPr>
                <w:sz w:val="21"/>
                <w:color w:val="000000"/>
              </w:rPr>
              <w:t>b</w:t>
            </w:r>
            <w:r>
              <w:rPr>
                <w:sz w:val="21"/>
                <w:color w:val="000000"/>
              </w:rPr>
              <w:t>）如有机械硬盘，机械硬盘准备时间应不大于30s；侧面固定螺丝孔数量可为4孔或6孔；工作状态环境温度应满足 5℃～55℃；其它参数应符合GB/T12628的相关规定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独立显卡显存类型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LPDDR4X</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▲独立显卡显存位宽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显存位宽≥64位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▲独立显卡显存容量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显存容量≥4GB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▲独立显卡接口协议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产品支持PCIe协议版本大于等于3.0的独立显卡接口协议（须承诺</w:t>
            </w:r>
            <w:r>
              <w:rPr>
                <w:sz w:val="21"/>
              </w:rPr>
              <w:t>中标</w:t>
            </w:r>
            <w:r>
              <w:rPr>
                <w:sz w:val="21"/>
              </w:rPr>
              <w:t>后与采购人签订合同</w:t>
            </w:r>
            <w:r>
              <w:rPr>
                <w:sz w:val="21"/>
              </w:rPr>
              <w:t>后2个工作日内</w:t>
            </w:r>
            <w:r>
              <w:rPr>
                <w:sz w:val="21"/>
              </w:rPr>
              <w:t>提供原厂盖章证明材料）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显示屏屏占比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≥1920x1080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≥14 英寸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显示屏屏幕比例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w:t>
            </w:r>
            <w:r>
              <w:rPr>
                <w:sz w:val="21"/>
                <w:color w:val="000000"/>
              </w:rPr>
              <w:t>：10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显示屏防蓝光</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支持防蓝光模式，蓝光加权辐射亮度比应≤0.0012W/(·cd·sr) (瓦每坎特拉每球面度)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显示屏低频闪</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显示屏应支持低频闪≤-35dB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显示屏防炫目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显示屏镜面反射率≤10%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触控板数量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键盘按键数目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62 </w:t>
            </w:r>
            <w:r>
              <w:rPr>
                <w:sz w:val="21"/>
                <w:color w:val="000000"/>
              </w:rPr>
              <w:t>键/84 键/105键等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摄像头像素</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摄像头分辨率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≥1280</w:t>
            </w:r>
            <w:r>
              <w:rPr>
                <w:sz w:val="21"/>
                <w:color w:val="000000"/>
              </w:rPr>
              <w:t>×</w:t>
            </w:r>
            <w:r>
              <w:rPr>
                <w:sz w:val="21"/>
                <w:color w:val="000000"/>
              </w:rPr>
              <w:t>720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color w:val="000000"/>
              </w:rPr>
              <w:t>扬声器功率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≥1瓦/个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color w:val="000000"/>
              </w:rPr>
              <w:t>扬声器频率范围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100Hz-20kHz</w:t>
            </w:r>
            <w:r>
              <w:rPr>
                <w:sz w:val="21"/>
                <w:color w:val="000000"/>
              </w:rPr>
              <w:t>，其中 100Hz-200Hz：35dB 及以上；200Hz-12kHz：55dB及以上，12kHz-18kHz：35dB 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★内置扬声器总谐波失真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总谐波失真在300Hz-7kHz频率范围内宜不高于 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★内置扬声器最大声压级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最大声压级在粉红噪声播放场景下，工作距离处声压级宜不低于70dB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键盘键程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0.9mm</w:t>
            </w:r>
            <w:r>
              <w:rPr>
                <w:sz w:val="21"/>
                <w:color w:val="000000"/>
              </w:rPr>
              <w:t>～2.3mm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键盘按键压力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按键压力应在0.54 N±0.14N</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鼠标连接方式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标配USB接口有线鼠标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有线鼠标连接线</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鼠标DPI 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鼠标其他要求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其它参数应符合GB/T 26245的相关规定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★触控板尺寸</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≥70mm×50mm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★触控板材质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采用麦拉片或玻璃等材质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网络设备规格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板载千兆RJ45接口有线网络，支持1000/100/10M自适应</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无线网卡及天线数量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USB </w:t>
            </w:r>
            <w:r>
              <w:rPr>
                <w:sz w:val="21"/>
                <w:color w:val="000000"/>
              </w:rPr>
              <w:t>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≥2个USB 3.0接口</w:t>
            </w:r>
          </w:p>
          <w:p>
            <w:pPr>
              <w:pStyle w:val="null3"/>
              <w:jc w:val="left"/>
            </w:pPr>
            <w:r>
              <w:rPr>
                <w:sz w:val="21"/>
                <w:color w:val="000000"/>
              </w:rPr>
              <w:t>≥2个USB Type-C接口</w:t>
            </w:r>
          </w:p>
          <w:p>
            <w:pPr>
              <w:pStyle w:val="null3"/>
              <w:jc w:val="left"/>
            </w:pPr>
            <w:r>
              <w:rPr>
                <w:sz w:val="21"/>
                <w:color w:val="000000"/>
              </w:rPr>
              <w:t>≥1个HDMI type-A（HDMI 2.0）接口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★输入充电接口数量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整机基础规格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整机外观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产品表面不应有凹痕、划伤、裂缝、变形和污染等。表面涂层均匀， 不应起泡、龟裂、脱落和磨损， 金属零部件无锈蚀及其它机械损伤；</w:t>
            </w:r>
          </w:p>
          <w:p>
            <w:pPr>
              <w:pStyle w:val="null3"/>
              <w:jc w:val="left"/>
            </w:pPr>
            <w:r>
              <w:rPr>
                <w:sz w:val="21"/>
                <w:color w:val="000000"/>
              </w:rPr>
              <w:t xml:space="preserve">b) </w:t>
            </w:r>
            <w:r>
              <w:rPr>
                <w:sz w:val="21"/>
                <w:color w:val="000000"/>
              </w:rPr>
              <w:t>产品表面说明功能的文字、符号、标志， 应清晰、端正、牢固；</w:t>
            </w:r>
          </w:p>
          <w:p>
            <w:pPr>
              <w:pStyle w:val="null3"/>
              <w:jc w:val="left"/>
            </w:pPr>
            <w:r>
              <w:rPr>
                <w:sz w:val="21"/>
                <w:color w:val="000000"/>
              </w:rPr>
              <w:t xml:space="preserve">c) </w:t>
            </w:r>
            <w:r>
              <w:rPr>
                <w:sz w:val="21"/>
                <w:color w:val="000000"/>
              </w:rPr>
              <w:t>宜在产品显著位置提供运行状态指示功能，并由生产厂商提供详细参数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整机结构</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产品应符合GB/T 4208的相关规定；</w:t>
            </w:r>
          </w:p>
          <w:p>
            <w:pPr>
              <w:pStyle w:val="null3"/>
              <w:jc w:val="left"/>
            </w:pPr>
            <w:r>
              <w:rPr>
                <w:sz w:val="21"/>
                <w:color w:val="000000"/>
              </w:rPr>
              <w:t xml:space="preserve">b) </w:t>
            </w:r>
            <w:r>
              <w:rPr>
                <w:sz w:val="21"/>
                <w:color w:val="000000"/>
              </w:rPr>
              <w:t>产品内部结构应符合通用部件的安装需要；</w:t>
            </w:r>
          </w:p>
          <w:p>
            <w:pPr>
              <w:pStyle w:val="null3"/>
              <w:jc w:val="left"/>
            </w:pPr>
            <w:r>
              <w:rPr>
                <w:sz w:val="21"/>
                <w:color w:val="000000"/>
              </w:rPr>
              <w:t xml:space="preserve">c) </w:t>
            </w:r>
            <w:r>
              <w:rPr>
                <w:sz w:val="21"/>
                <w:color w:val="000000"/>
              </w:rPr>
              <w:t>所有输入输出接口应符合相关国家或行业标准；</w:t>
            </w:r>
          </w:p>
          <w:p>
            <w:pPr>
              <w:pStyle w:val="null3"/>
              <w:jc w:val="left"/>
            </w:pPr>
            <w:r>
              <w:rPr>
                <w:sz w:val="21"/>
                <w:color w:val="000000"/>
              </w:rPr>
              <w:t xml:space="preserve">d) </w:t>
            </w:r>
            <w:r>
              <w:rPr>
                <w:sz w:val="21"/>
                <w:color w:val="000000"/>
              </w:rPr>
              <w:t>产品零部件应紧固无松动，可插拔部件应可靠连接， 开关、按钮和其它控制部件应灵活可靠， 布局应方便使用；</w:t>
            </w:r>
          </w:p>
          <w:p>
            <w:pPr>
              <w:pStyle w:val="null3"/>
              <w:jc w:val="left"/>
            </w:pPr>
            <w:r>
              <w:rPr>
                <w:sz w:val="21"/>
                <w:color w:val="000000"/>
              </w:rPr>
              <w:t xml:space="preserve">e) </w:t>
            </w:r>
            <w:r>
              <w:rPr>
                <w:sz w:val="21"/>
                <w:color w:val="000000"/>
              </w:rPr>
              <w:t>所有I/O连接器及需插接线缆的部位应预留用户操作空间，方便插拔解锁与插拔线缆；</w:t>
            </w:r>
          </w:p>
          <w:p>
            <w:pPr>
              <w:pStyle w:val="null3"/>
              <w:jc w:val="left"/>
            </w:pPr>
            <w:r>
              <w:rPr>
                <w:sz w:val="21"/>
                <w:color w:val="000000"/>
              </w:rPr>
              <w:t xml:space="preserve">f) </w:t>
            </w:r>
            <w:r>
              <w:rPr>
                <w:sz w:val="21"/>
                <w:color w:val="000000"/>
              </w:rPr>
              <w:t>可插拔板卡插槽部位应预留安装、拆卸或更换板卡空间；</w:t>
            </w:r>
          </w:p>
          <w:p>
            <w:pPr>
              <w:pStyle w:val="null3"/>
              <w:jc w:val="left"/>
            </w:pPr>
            <w:r>
              <w:rPr>
                <w:sz w:val="21"/>
                <w:color w:val="000000"/>
              </w:rPr>
              <w:t xml:space="preserve">g) </w:t>
            </w:r>
            <w:r>
              <w:rPr>
                <w:sz w:val="21"/>
                <w:color w:val="000000"/>
              </w:rPr>
              <w:t>拆装可能接触到的金属剪口或金属尖角部位应做防划伤处理，以保证安全;</w:t>
            </w:r>
          </w:p>
          <w:p>
            <w:pPr>
              <w:pStyle w:val="null3"/>
              <w:jc w:val="left"/>
            </w:pPr>
            <w:r>
              <w:rPr>
                <w:sz w:val="21"/>
                <w:color w:val="000000"/>
              </w:rPr>
              <w:t xml:space="preserve">h) </w:t>
            </w:r>
            <w:r>
              <w:rPr>
                <w:sz w:val="21"/>
                <w:color w:val="000000"/>
              </w:rPr>
              <w:t>整机内部走线应规整，固线结构和位置要合理可靠并做防割线处理，需便于理线和插拔操作，走线应不影响系统各主要部件组装和拆卸；</w:t>
            </w:r>
          </w:p>
          <w:p>
            <w:pPr>
              <w:pStyle w:val="null3"/>
              <w:jc w:val="left"/>
            </w:pPr>
            <w:r>
              <w:rPr>
                <w:sz w:val="21"/>
                <w:color w:val="000000"/>
              </w:rPr>
              <w:t xml:space="preserve">i) </w:t>
            </w:r>
            <w:r>
              <w:rPr>
                <w:sz w:val="21"/>
                <w:color w:val="000000"/>
              </w:rPr>
              <w:t>如需通过孔走线， 过线孔应做防割线处理；</w:t>
            </w:r>
          </w:p>
          <w:p>
            <w:pPr>
              <w:pStyle w:val="null3"/>
              <w:jc w:val="left"/>
            </w:pPr>
            <w:r>
              <w:rPr>
                <w:sz w:val="21"/>
                <w:color w:val="000000"/>
              </w:rPr>
              <w:t xml:space="preserve">j) </w:t>
            </w:r>
            <w:r>
              <w:rPr>
                <w:sz w:val="21"/>
                <w:color w:val="000000"/>
              </w:rPr>
              <w:t>各插头位置和插拔方向应合理， 应做到插拔无障碍设计， 具备防呆设计，有效避免误操作；</w:t>
            </w:r>
          </w:p>
          <w:p>
            <w:pPr>
              <w:pStyle w:val="null3"/>
              <w:jc w:val="left"/>
            </w:pPr>
            <w:r>
              <w:rPr>
                <w:sz w:val="21"/>
                <w:color w:val="000000"/>
              </w:rPr>
              <w:t xml:space="preserve">k) </w:t>
            </w:r>
            <w:r>
              <w:rPr>
                <w:sz w:val="21"/>
                <w:color w:val="000000"/>
              </w:rPr>
              <w:t>各主要部件拆装无障碍， 使用常规工具拆装， 无特殊拆装工具需求；</w:t>
            </w:r>
          </w:p>
          <w:p>
            <w:pPr>
              <w:pStyle w:val="null3"/>
              <w:jc w:val="left"/>
            </w:pPr>
            <w:r>
              <w:rPr>
                <w:sz w:val="21"/>
                <w:color w:val="000000"/>
              </w:rPr>
              <w:t xml:space="preserve">I) </w:t>
            </w:r>
            <w:r>
              <w:rPr>
                <w:sz w:val="21"/>
                <w:color w:val="000000"/>
              </w:rPr>
              <w:t>各主要部件拆装步骤要少，各自拆装需避免相互干扰；</w:t>
            </w:r>
          </w:p>
          <w:p>
            <w:pPr>
              <w:pStyle w:val="null3"/>
              <w:jc w:val="left"/>
            </w:pPr>
            <w:r>
              <w:rPr>
                <w:sz w:val="21"/>
                <w:color w:val="000000"/>
              </w:rPr>
              <w:t xml:space="preserve">m) </w:t>
            </w:r>
            <w:r>
              <w:rPr>
                <w:sz w:val="21"/>
                <w:color w:val="000000"/>
              </w:rPr>
              <w:t>对于整机或零部件外表面为高亮面的，应粘贴保护膜，保护膜需粘贴牢固，运输、组装等过程不易脱落，撕下无残留；</w:t>
            </w:r>
          </w:p>
          <w:p>
            <w:pPr>
              <w:pStyle w:val="null3"/>
              <w:jc w:val="left"/>
            </w:pPr>
            <w:r>
              <w:rPr>
                <w:sz w:val="21"/>
                <w:color w:val="000000"/>
              </w:rPr>
              <w:t xml:space="preserve">n) </w:t>
            </w:r>
            <w:r>
              <w:rPr>
                <w:sz w:val="21"/>
                <w:color w:val="000000"/>
              </w:rPr>
              <w:t>显示屏的开合机械寿命应能承受至少15000次的显示屏开合，显示屏机械转轴的扭力应保持初始状态下扭力的75%以上；</w:t>
            </w:r>
          </w:p>
          <w:p>
            <w:pPr>
              <w:pStyle w:val="null3"/>
              <w:jc w:val="left"/>
            </w:pPr>
            <w:r>
              <w:rPr>
                <w:sz w:val="21"/>
                <w:color w:val="000000"/>
              </w:rPr>
              <w:t>o</w:t>
            </w:r>
            <w:r>
              <w:rPr>
                <w:sz w:val="21"/>
                <w:color w:val="000000"/>
              </w:rPr>
              <w:t>）其它要求应符合GB/T 9813.2的相关规定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整机噪音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w:t>
            </w:r>
            <w:r>
              <w:rPr>
                <w:sz w:val="21"/>
                <w:color w:val="000000"/>
              </w:rPr>
              <w:t>摄氏度环温条件：空闲≤38dBA，满载≤45dBA</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整机散热</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产品在环境温度25℃且运行在满载的状态下，可触及面温度范围内应不高于45℃，各表面温度应符合以下要求：</w:t>
            </w:r>
          </w:p>
          <w:p>
            <w:pPr>
              <w:pStyle w:val="null3"/>
              <w:jc w:val="left"/>
            </w:pPr>
            <w:r>
              <w:rPr>
                <w:sz w:val="21"/>
                <w:color w:val="000000"/>
              </w:rPr>
              <w:t>a)</w:t>
            </w:r>
            <w:r>
              <w:rPr>
                <w:sz w:val="21"/>
                <w:color w:val="000000"/>
              </w:rPr>
              <w:t>键帽温度不高于38℃；</w:t>
            </w:r>
          </w:p>
          <w:p>
            <w:pPr>
              <w:pStyle w:val="null3"/>
              <w:jc w:val="left"/>
            </w:pPr>
            <w:r>
              <w:rPr>
                <w:sz w:val="21"/>
                <w:color w:val="000000"/>
              </w:rPr>
              <w:t>b)</w:t>
            </w:r>
            <w:r>
              <w:rPr>
                <w:sz w:val="21"/>
                <w:color w:val="000000"/>
              </w:rPr>
              <w:t>键盘间隙温度不高于40℃；</w:t>
            </w:r>
          </w:p>
          <w:p>
            <w:pPr>
              <w:pStyle w:val="null3"/>
              <w:jc w:val="left"/>
            </w:pPr>
            <w:r>
              <w:rPr>
                <w:sz w:val="21"/>
                <w:color w:val="000000"/>
              </w:rPr>
              <w:t>c)</w:t>
            </w:r>
            <w:r>
              <w:rPr>
                <w:sz w:val="21"/>
                <w:color w:val="000000"/>
              </w:rPr>
              <w:t>掌托温度不高于38℃；</w:t>
            </w:r>
          </w:p>
          <w:p>
            <w:pPr>
              <w:pStyle w:val="null3"/>
              <w:jc w:val="left"/>
            </w:pPr>
            <w:r>
              <w:rPr>
                <w:sz w:val="21"/>
                <w:color w:val="000000"/>
              </w:rPr>
              <w:t>d)</w:t>
            </w:r>
            <w:r>
              <w:rPr>
                <w:sz w:val="21"/>
                <w:color w:val="000000"/>
              </w:rPr>
              <w:t>触控板温度不高于38℃；</w:t>
            </w:r>
          </w:p>
          <w:p>
            <w:pPr>
              <w:pStyle w:val="null3"/>
              <w:jc w:val="left"/>
            </w:pPr>
            <w:r>
              <w:rPr>
                <w:sz w:val="21"/>
                <w:color w:val="000000"/>
              </w:rPr>
              <w:t>e)</w:t>
            </w:r>
            <w:r>
              <w:rPr>
                <w:sz w:val="21"/>
                <w:color w:val="000000"/>
              </w:rPr>
              <w:t>底壳温度不高于45℃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整机能效限定值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产品能效限定值应达到GB 28380-2012标准中能效等级2级及以上</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★整机重量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≤2.2kg</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★整机厚度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≤22mm（不含脚垫）</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机身材质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塑料/金属等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机身颜色</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灰色</w:t>
            </w:r>
            <w:r>
              <w:rPr>
                <w:sz w:val="21"/>
              </w:rPr>
              <w:t>/</w:t>
            </w:r>
            <w:r>
              <w:rPr>
                <w:sz w:val="21"/>
                <w:color w:val="000000"/>
              </w:rPr>
              <w:t>黑色</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电池规格</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电池额定能量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≥65Wh</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电池充放电次数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≥500 次（常温下500次充放电后电池容量应不低于原始容量的 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▲快速充电功能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支持快速充电功能，USB PD</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★电池安全要求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符合GB 31241的规定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w:t>
            </w:r>
            <w:r>
              <w:rPr>
                <w:sz w:val="21"/>
                <w:color w:val="000000"/>
              </w:rPr>
              <w:t>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物理核数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≥8核</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CPU</w:t>
            </w:r>
            <w:r>
              <w:rPr>
                <w:sz w:val="21"/>
                <w:color w:val="000000"/>
              </w:rPr>
              <w:t>主频</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末级缓存容量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CPU </w:t>
            </w:r>
            <w:r>
              <w:rPr>
                <w:sz w:val="21"/>
                <w:color w:val="000000"/>
              </w:rPr>
              <w:t>支持的内存最高速率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内存读写速率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≥2933MT/s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★显示分辨率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≥1920x1200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显卡显示芯片核心频率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≥1000MHz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显存等效频率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显卡可支持多屏同时显示数量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支持不少于2块屏幕同时显示，分辨率应不低于1920x1200@60Hz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显示屏刷新率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显示屏位深</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显示屏色域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≥99% sRGB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显示屏色准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△E ≤ 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显示屏响应时间</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≤30ms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显示屏亮度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≥250尼特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显示屏亮度一致性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显示屏对比度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≥1500： 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显示屏其他参数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其它参数应符合SJ/T 11292的相关规定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有线网卡速率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最高速率应不低于1000Mbps,应支持10Mbps、100Mbps、1000Mbps速率自适应</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支持无线网络通信技术协议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支持WiFi5.0及以上协议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无线网卡频宽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≥20MHz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电源适配器性能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★电源适配器电源效率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在20%/50%/100%负载下效率均应不低于87%</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待机性能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★满载待机性能（LTP）</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≥1.5 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内存扩展接口(板载内存不涉及)</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主板USB瞬间过流保护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支持瞬间过流保护功能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主板防静电保护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支持防静电保护功能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I/O</w:t>
            </w:r>
            <w:r>
              <w:rPr>
                <w:sz w:val="21"/>
                <w:color w:val="000000"/>
              </w:rPr>
              <w:t>接口功能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内置或通过扩展坞支持数据传输接口、视频接口、音频接口、网络接口、电源接口等各类标准接口产品应集成键盘、触控板输入部件，同时应具备接入键盘、鼠标、写字板等外设的能力，宜支持触摸屏、语音交互、手写笔等人机交互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显卡外接显示接口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显卡支持HDMI显示接口, 并与显示器接口相匹配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支持显示屏，同时应支持外接显示器。显示屏和外接显示器应支持多屏同时显示，显示模式应支持复制模式和扩展模式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外设功能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本次采购不作要求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★摄像头物理隐私保护开关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支持物理隐私保护开关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存储功能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支持信息存储功能，包括支持易失性存储功能和非易失性存储功能。为提升存储性能和降低存储功耗，非易失性存储宜支持固态存储设备，如 SSD/UFS。</w:t>
            </w:r>
          </w:p>
          <w:p>
            <w:pPr>
              <w:pStyle w:val="null3"/>
              <w:jc w:val="left"/>
            </w:pPr>
            <w:r>
              <w:rPr>
                <w:sz w:val="21"/>
                <w:color w:val="000000"/>
              </w:rPr>
              <w:t>产品应支持外出接口可以与独立的存储设备进行数据交互</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支持网络连接、网络开启/关闭功能；</w:t>
            </w:r>
          </w:p>
          <w:p>
            <w:pPr>
              <w:pStyle w:val="null3"/>
              <w:jc w:val="left"/>
            </w:pPr>
            <w:r>
              <w:rPr>
                <w:sz w:val="21"/>
                <w:color w:val="000000"/>
              </w:rPr>
              <w:t>b)</w:t>
            </w:r>
            <w:r>
              <w:rPr>
                <w:sz w:val="21"/>
                <w:color w:val="000000"/>
              </w:rPr>
              <w:t>支持访问网络和数据交换功能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支持2.4GHz、5GHz双频段</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数据传输</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支持数据传输能力，并提供数据流量和异常日志记录功能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★物理开关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支持网络设备物理开关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★蓝牙协议</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支持蓝牙模块，蓝牙协议不低于5.0版本</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有线网卡接口类型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支持RJ45 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★无线网卡标准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符合GB15629.11所有部分</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singl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网络设备拆装</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配备的网络设备应支持物理拆装，包括无线网卡和蓝牙模块等</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外部接口功能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音频接口类型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不少于1个，宜支持3.5mm孔径的3段式或4段式接口。若支持4段式接口，宜支持线序的自动识别及切换功能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视频接口类型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至少支持VGA、HDMI、DVI、DP、Type-C中1种显示接口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HDMI</w:t>
            </w:r>
            <w:r>
              <w:rPr>
                <w:sz w:val="21"/>
                <w:color w:val="000000"/>
              </w:rPr>
              <w:t>、DP、Type-C显示接口要求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若提供HDMI 或DP 或Type-C 作为显示接口， 应支持音频和视频同步输出</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★输入充电接口类型</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DC in</w:t>
            </w:r>
            <w:r>
              <w:rPr>
                <w:sz w:val="21"/>
                <w:color w:val="000000"/>
              </w:rPr>
              <w:t>或 Type-C接口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电源线适配能力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15934-2008</w:t>
            </w:r>
          </w:p>
          <w:p>
            <w:pPr>
              <w:pStyle w:val="null3"/>
              <w:jc w:val="left"/>
            </w:pPr>
            <w:r>
              <w:rPr>
                <w:sz w:val="21"/>
                <w:color w:val="000000"/>
              </w:rPr>
              <w:t>对于可拆线插头GB15934不做要求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操作系统及软件功能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中文信息处理要求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18030的相关规定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操作系统备份及还原功能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支持操作系统备份及还原功能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固件备份还原能力</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支持备份及还原固件的功能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操作系统及驱动升级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BIOS </w:t>
            </w:r>
            <w:r>
              <w:rPr>
                <w:sz w:val="21"/>
                <w:color w:val="000000"/>
              </w:rPr>
              <w:t>支持关闭通讯接口</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支持BIOS关闭以太网及USB接口功能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固件查看信息</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支持查看固件版本、内存信息、主板信息、处理器信息和系统时间信息等功能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固件设置启动顺序</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支持设置启动顺序功能，并按照设置的启动顺序启动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固件设置口令</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支持设置口令、修改口令、验证口令功能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固件设置网络引导</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支持网络引导启动和关闭功能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生物识别功能生物识别功能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★指纹识别</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w:t>
            </w:r>
            <w:r>
              <w:rPr>
                <w:sz w:val="21"/>
              </w:rPr>
              <w:t>指纹识别模块，</w:t>
            </w:r>
            <w:r>
              <w:rPr>
                <w:sz w:val="21"/>
                <w:color w:val="000000"/>
              </w:rPr>
              <w:t>指纹识别功能符合 GB/T 37742 的相</w:t>
            </w:r>
          </w:p>
          <w:p>
            <w:pPr>
              <w:pStyle w:val="null3"/>
              <w:jc w:val="left"/>
            </w:pPr>
            <w:r>
              <w:rPr>
                <w:sz w:val="21"/>
                <w:color w:val="000000"/>
              </w:rPr>
              <w:t>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固态存储寿命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TBW </w:t>
            </w:r>
            <w:r>
              <w:rPr>
                <w:sz w:val="21"/>
                <w:color w:val="000000"/>
              </w:rPr>
              <w:t>≥80TB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机械硬盘寿命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通电时间≥5万小时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显示屏屏幕失效点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 9813.2的要求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外设可靠性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鼠标按键寿命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≥500万次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键盘鼠标线材寿命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键盘鼠标所用线材经±60°弯折不低于3000次，功能、外观完好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风扇寿命</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整机可靠</w:t>
            </w:r>
          </w:p>
          <w:p>
            <w:pPr>
              <w:pStyle w:val="null3"/>
              <w:jc w:val="center"/>
            </w:pPr>
            <w:r>
              <w:rPr>
                <w:sz w:val="21"/>
                <w:color w:val="000000"/>
              </w:rPr>
              <w:t>性要求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电磁兼容性要求的抗扰度</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符合GB/T9254.2的规定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环境条件要求的气候环境适应性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环境条件要求的振动适应性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环境条件要求的冲击适应性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环境条件要求的碰撞适应性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环境条件要求的运输包装件跌落适应性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符合GB/T9813.2中规定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 xml:space="preserve">MTBF </w:t>
            </w:r>
            <w:r>
              <w:rPr>
                <w:sz w:val="21"/>
                <w:color w:val="000000"/>
              </w:rPr>
              <w:t>测试</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MTBF</w:t>
            </w:r>
            <w:r>
              <w:rPr>
                <w:sz w:val="21"/>
                <w:color w:val="000000"/>
              </w:rPr>
              <w:t>≥20万小时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常用软件兼容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支持流式软件、版式软件、浏览器、邮件客户端、解压软件、多媒体、图形图像处理等常用软件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数据库兼容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中间件兼容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平台软件兼容</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兼容3个及以上厂商云计算及大数据平台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w:t>
            </w:r>
          </w:p>
          <w:p>
            <w:pPr>
              <w:pStyle w:val="null3"/>
              <w:jc w:val="center"/>
            </w:pPr>
            <w:r>
              <w:rPr>
                <w:sz w:val="21"/>
                <w:color w:val="000000"/>
              </w:rPr>
              <w:t>输要求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标志、包装、运输和贮存</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GB/T9813.2和商品包装政府采购需求标准的相关规定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配置检查工具</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提供自检测试工具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服务响应</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供应商提供电话、电子邮件、远程连接等多种形式政企专线 7*24 在线服务；</w:t>
            </w:r>
          </w:p>
          <w:p>
            <w:pPr>
              <w:pStyle w:val="null3"/>
              <w:jc w:val="left"/>
            </w:pPr>
            <w:r>
              <w:rPr>
                <w:sz w:val="21"/>
              </w:rPr>
              <w:t>b)</w:t>
            </w:r>
            <w:r>
              <w:rPr>
                <w:sz w:val="21"/>
              </w:rPr>
              <w:t>供应商提供同城4h、异地12h 技术响应服务，2 个工作日解决问题，对于未能解决的问题和故障应提供可行的升级方案，并提供周转设备或更换设备；</w:t>
            </w:r>
          </w:p>
          <w:p>
            <w:pPr>
              <w:pStyle w:val="null3"/>
              <w:jc w:val="left"/>
            </w:pPr>
            <w:r>
              <w:rPr>
                <w:sz w:val="21"/>
              </w:rPr>
              <w:t>c)</w:t>
            </w:r>
            <w:r>
              <w:rPr>
                <w:sz w:val="21"/>
              </w:rPr>
              <w:t>建立全国技术服务体系和服务团体，符合专业服务体系标准要求，提供原厂中文服务；</w:t>
            </w:r>
          </w:p>
          <w:p>
            <w:pPr>
              <w:pStyle w:val="null3"/>
              <w:jc w:val="left"/>
            </w:pPr>
            <w:r>
              <w:rPr>
                <w:sz w:val="21"/>
              </w:rPr>
              <w:t>d)</w:t>
            </w:r>
            <w:r>
              <w:rPr>
                <w:sz w:val="21"/>
              </w:rPr>
              <w:t>服务周期内提供产品的维修、换件和升级服务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服务周期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支持产品延保≥3年。</w:t>
            </w:r>
          </w:p>
          <w:p>
            <w:pPr>
              <w:pStyle w:val="null3"/>
              <w:jc w:val="left"/>
            </w:pPr>
            <w:r>
              <w:rPr>
                <w:sz w:val="21"/>
                <w:color w:val="000000"/>
              </w:rPr>
              <w:t>提供每年延保服务报价。</w:t>
            </w:r>
          </w:p>
          <w:p>
            <w:pPr>
              <w:pStyle w:val="null3"/>
              <w:jc w:val="left"/>
            </w:pPr>
            <w:r>
              <w:rPr>
                <w:sz w:val="21"/>
                <w:color w:val="000000"/>
              </w:rPr>
              <w:t>提供备件服务能力≥6年（自购买之日起）。</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预装操作系统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预装符合桌面操作系统政府采购需求标准的正版统信UOS V20操作系统，并提供不小于一年升级服务。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培训服务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典型问题解决手册</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供应商提供典型问题解决说明文档或视频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厂家升级软件与扩容服务</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供应商提供上门升级部件/软件的增值服务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整机质量服务要求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免费服务周期（含换件和维修）≥3年，免费服务周期内硬盘损坏更换免回收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合格证书要求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供应商提供产品合格证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开箱组装/使用指导要求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供应商提供开箱组装/使用指导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驱动下载服务要求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供应商提供驱动光盘或下载方式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678"/>
            <w:vMerge/>
            <w:tcBorders>
              <w:top w:val="none" w:color="000000" w:sz="4"/>
              <w:left w:val="none" w:color="000000" w:sz="4"/>
              <w:bottom w:val="non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兼容适配软件下载服务要求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供应商提供兼容适配软件下载渠道(光盘、网站)</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供应链合规性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产品部件保障</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保障产品主要部件提供不少于6年的备件服务能力(自购买之日起)，或提供可兼容原设备的升级换代产品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供应链质量</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抗干扰性</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当产品部件出现供应风险时，供应商应通知采购人并提供风险应对方案确保产品的服务保障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供应能力证明</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供应商提供供应链稳定承诺书，确保产品的部件在产品服务周期内稳定供货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关键部件安全要求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和操作系统等关键部件应当符合安全可靠测评要求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安全要求</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整机安全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密码算法实现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CPU</w:t>
            </w:r>
            <w:r>
              <w:rPr>
                <w:sz w:val="21"/>
                <w:color w:val="000000"/>
              </w:rPr>
              <w:t>芯片应符合GM/T 0008的相关规定，或芯片密码模块应符合GB/T 37092或GM/T 0028的相关规定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信息安全基本要求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应符合GB/T 39276的5.2的规定；</w:t>
            </w:r>
          </w:p>
          <w:p>
            <w:pPr>
              <w:pStyle w:val="null3"/>
              <w:jc w:val="left"/>
            </w:pPr>
            <w:r>
              <w:rPr>
                <w:sz w:val="21"/>
                <w:color w:val="000000"/>
              </w:rPr>
              <w:t xml:space="preserve">b) </w:t>
            </w:r>
            <w:r>
              <w:rPr>
                <w:sz w:val="21"/>
                <w:color w:val="000000"/>
              </w:rPr>
              <w:t>生产厂商应建立漏洞跟踪表， 保证产品版本涉及到的漏洞(如驱动程序等)可查看；</w:t>
            </w:r>
          </w:p>
          <w:p>
            <w:pPr>
              <w:pStyle w:val="null3"/>
              <w:jc w:val="left"/>
            </w:pPr>
            <w:r>
              <w:rPr>
                <w:sz w:val="21"/>
                <w:color w:val="000000"/>
              </w:rPr>
              <w:t xml:space="preserve">c) </w:t>
            </w:r>
            <w:r>
              <w:rPr>
                <w:sz w:val="21"/>
                <w:color w:val="000000"/>
              </w:rPr>
              <w:t>产品不得包含已知的恶意代码或漏洞，不存在未声明的指令、功能、接口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固件安全启动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支持固件安全启动功能，固件启动过程中只有通过启动校验才能正常启动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678"/>
            <w:vMerge/>
            <w:tcBorders>
              <w:top w:val="none" w:color="000000" w:sz="4"/>
              <w:left w:val="none" w:color="000000" w:sz="4"/>
              <w:bottom w:val="single" w:color="000000" w:sz="4"/>
              <w:right w:val="single" w:color="000000" w:sz="4"/>
            </w:tcBorders>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限用物质的限量要求</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26572 中规定</w:t>
            </w:r>
          </w:p>
        </w:tc>
      </w:tr>
    </w:tbl>
    <w:p>
      <w:pPr>
        <w:pStyle w:val="null3"/>
        <w:ind w:firstLine="422"/>
        <w:jc w:val="both"/>
      </w:pPr>
      <w:r>
        <w:rPr>
          <w:sz w:val="21"/>
          <w:b/>
        </w:rPr>
        <w:t>2.</w:t>
      </w:r>
      <w:r>
        <w:rPr>
          <w:sz w:val="21"/>
          <w:b/>
        </w:rPr>
        <w:t>商务要求</w:t>
      </w:r>
    </w:p>
    <w:tbl>
      <w:tblPr>
        <w:tblW w:w="0" w:type="auto"/>
        <w:tblBorders>
          <w:top w:val="none" w:color="000000" w:sz="4"/>
          <w:left w:val="none" w:color="000000" w:sz="4"/>
          <w:bottom w:val="none" w:color="000000" w:sz="4"/>
          <w:right w:val="none" w:color="000000" w:sz="4"/>
          <w:insideH w:val="none"/>
          <w:insideV w:val="none"/>
        </w:tblBorders>
      </w:tblPr>
      <w:tblGrid>
        <w:gridCol w:w="1919"/>
        <w:gridCol w:w="6387"/>
      </w:tblGrid>
      <w:tr>
        <w:tc>
          <w:tcPr>
            <w:tcW w:type="dxa" w:w="1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标的提供的时间</w:t>
            </w:r>
          </w:p>
        </w:tc>
        <w:tc>
          <w:tcPr>
            <w:tcW w:type="dxa" w:w="6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合同生效之日起至</w:t>
            </w:r>
            <w:r>
              <w:rPr>
                <w:sz w:val="20"/>
              </w:rPr>
              <w:t>2024</w:t>
            </w:r>
            <w:r>
              <w:rPr>
                <w:sz w:val="20"/>
              </w:rPr>
              <w:t>年</w:t>
            </w:r>
            <w:r>
              <w:rPr>
                <w:sz w:val="20"/>
              </w:rPr>
              <w:t>12</w:t>
            </w:r>
            <w:r>
              <w:rPr>
                <w:sz w:val="20"/>
              </w:rPr>
              <w:t>月</w:t>
            </w:r>
            <w:r>
              <w:rPr>
                <w:sz w:val="20"/>
              </w:rPr>
              <w:t>18</w:t>
            </w:r>
            <w:r>
              <w:rPr>
                <w:sz w:val="20"/>
              </w:rPr>
              <w:t>日止。</w:t>
            </w:r>
          </w:p>
        </w:tc>
      </w:tr>
      <w:tr>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标的提供的地点</w:t>
            </w:r>
          </w:p>
        </w:tc>
        <w:tc>
          <w:tcPr>
            <w:tcW w:type="dxa" w:w="6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广东省广州市越秀区环市东路</w:t>
            </w:r>
            <w:r>
              <w:rPr>
                <w:sz w:val="20"/>
              </w:rPr>
              <w:t>468</w:t>
            </w:r>
            <w:r>
              <w:rPr>
                <w:sz w:val="20"/>
              </w:rPr>
              <w:t>号</w:t>
            </w:r>
            <w:r>
              <w:rPr>
                <w:sz w:val="20"/>
              </w:rPr>
              <w:t>1</w:t>
            </w:r>
            <w:r>
              <w:rPr>
                <w:sz w:val="20"/>
              </w:rPr>
              <w:t>号办公楼。</w:t>
            </w:r>
          </w:p>
        </w:tc>
      </w:tr>
      <w:tr>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付款方式</w:t>
            </w:r>
          </w:p>
        </w:tc>
        <w:tc>
          <w:tcPr>
            <w:tcW w:type="dxa" w:w="6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期：支付比例</w:t>
            </w:r>
            <w:r>
              <w:rPr>
                <w:sz w:val="20"/>
              </w:rPr>
              <w:t>50%,</w:t>
            </w:r>
            <w:r>
              <w:rPr>
                <w:sz w:val="20"/>
              </w:rPr>
              <w:t>本项目签订合同生效后，甲方在收到乙方提供本项目招标文件要求的所有原厂盖章证明材料和税务部门认可的有效增值税普通发票之日起</w:t>
            </w:r>
            <w:r>
              <w:rPr>
                <w:sz w:val="20"/>
              </w:rPr>
              <w:t>10</w:t>
            </w:r>
            <w:r>
              <w:rPr>
                <w:sz w:val="20"/>
              </w:rPr>
              <w:t>个工作日内，向乙方支付中标价款总额的</w:t>
            </w:r>
            <w:r>
              <w:rPr>
                <w:sz w:val="20"/>
              </w:rPr>
              <w:t>50%</w:t>
            </w:r>
            <w:r>
              <w:rPr>
                <w:sz w:val="20"/>
              </w:rPr>
              <w:t>；</w:t>
            </w:r>
          </w:p>
          <w:p>
            <w:pPr>
              <w:pStyle w:val="null3"/>
            </w:pPr>
            <w:r>
              <w:rPr>
                <w:sz w:val="20"/>
              </w:rPr>
              <w:t>2</w:t>
            </w:r>
            <w:r>
              <w:rPr>
                <w:sz w:val="20"/>
              </w:rPr>
              <w:t>期：支付比例</w:t>
            </w:r>
            <w:r>
              <w:rPr>
                <w:sz w:val="20"/>
              </w:rPr>
              <w:t>50%,</w:t>
            </w:r>
            <w:r>
              <w:rPr>
                <w:sz w:val="20"/>
              </w:rPr>
              <w:t>本项目通过验收和提交所有约定成果后，甲方在收到乙方提供的税务部门认可的有效增值税普通发票之日起</w:t>
            </w:r>
            <w:r>
              <w:rPr>
                <w:sz w:val="20"/>
              </w:rPr>
              <w:t>10</w:t>
            </w:r>
            <w:r>
              <w:rPr>
                <w:sz w:val="20"/>
              </w:rPr>
              <w:t>个工作日内，向乙方支付中标价款总额的</w:t>
            </w:r>
            <w:r>
              <w:rPr>
                <w:sz w:val="20"/>
              </w:rPr>
              <w:t>50%</w:t>
            </w:r>
            <w:r>
              <w:rPr>
                <w:sz w:val="20"/>
              </w:rPr>
              <w:t>。</w:t>
            </w:r>
          </w:p>
          <w:p>
            <w:pPr>
              <w:pStyle w:val="null3"/>
            </w:pPr>
            <w:r>
              <w:rPr>
                <w:sz w:val="20"/>
              </w:rPr>
              <w:t>如项目发生合同融资，甲方应当将合同款项支付到合同约定收款账户。</w:t>
            </w:r>
          </w:p>
        </w:tc>
      </w:tr>
      <w:tr>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验收要求</w:t>
            </w:r>
          </w:p>
        </w:tc>
        <w:tc>
          <w:tcPr>
            <w:tcW w:type="dxa" w:w="6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装箱单</w:t>
            </w:r>
            <w:r>
              <w:rPr>
                <w:sz w:val="20"/>
              </w:rPr>
              <w:t>(</w:t>
            </w:r>
            <w:r>
              <w:rPr>
                <w:sz w:val="20"/>
              </w:rPr>
              <w:t>包括但不限于质量合格证书、保修证书、产品使用说明书及其他应随产品一同装箱的配件、技术资料等</w:t>
            </w:r>
            <w:r>
              <w:rPr>
                <w:sz w:val="20"/>
              </w:rPr>
              <w:t>)</w:t>
            </w:r>
            <w:r>
              <w:rPr>
                <w:sz w:val="20"/>
              </w:rPr>
              <w:t>。</w:t>
            </w:r>
          </w:p>
          <w:p>
            <w:pPr>
              <w:pStyle w:val="null3"/>
            </w:pPr>
            <w:r>
              <w:rPr>
                <w:sz w:val="20"/>
              </w:rPr>
              <w:t>2.</w:t>
            </w:r>
            <w:r>
              <w:rPr>
                <w:sz w:val="20"/>
              </w:rPr>
              <w:t>验收应在乙方、甲方双方共同参加下进行，验收按国家有关的规定、规范、项目采购文件及乙方投标文件承诺的相关技术要求进行。</w:t>
            </w:r>
          </w:p>
          <w:p>
            <w:pPr>
              <w:pStyle w:val="null3"/>
            </w:pPr>
            <w:r>
              <w:rPr>
                <w:sz w:val="20"/>
              </w:rPr>
              <w:t>3.</w:t>
            </w:r>
            <w:r>
              <w:rPr>
                <w:sz w:val="20"/>
              </w:rPr>
              <w:t>乙方保证合同项下提供的货物（或者设备）不侵犯任何第三方的知识产权。否则，乙方需承担对第三方的侵权责任并承担因此而发生的所有费用。</w:t>
            </w:r>
          </w:p>
          <w:p>
            <w:pPr>
              <w:pStyle w:val="null3"/>
            </w:pPr>
            <w:r>
              <w:rPr>
                <w:sz w:val="20"/>
              </w:rPr>
              <w:t>4.</w:t>
            </w:r>
            <w:r>
              <w:rPr>
                <w:sz w:val="20"/>
              </w:rPr>
              <w:t>由甲方组织验收，必要时，可邀请第三方机构进行验收，由此产生的费用由乙方承担。</w:t>
            </w:r>
          </w:p>
          <w:p>
            <w:pPr>
              <w:pStyle w:val="null3"/>
            </w:pPr>
            <w:r>
              <w:rPr>
                <w:sz w:val="20"/>
              </w:rPr>
              <w:t>5.</w:t>
            </w:r>
            <w:r>
              <w:rPr>
                <w:sz w:val="20"/>
              </w:rPr>
              <w:t>所有设备需通过试运行。</w:t>
            </w:r>
          </w:p>
          <w:p>
            <w:pPr>
              <w:pStyle w:val="null3"/>
            </w:pPr>
            <w:r>
              <w:rPr>
                <w:sz w:val="20"/>
              </w:rPr>
              <w:t>6.</w:t>
            </w:r>
            <w:r>
              <w:rPr>
                <w:sz w:val="20"/>
              </w:rPr>
              <w:t>项目实施过程中约定的其他相关技术要求。</w:t>
            </w:r>
          </w:p>
          <w:p>
            <w:pPr>
              <w:pStyle w:val="null3"/>
            </w:pPr>
            <w:r>
              <w:rPr>
                <w:sz w:val="20"/>
              </w:rPr>
              <w:t>7.</w:t>
            </w:r>
            <w:r>
              <w:rPr>
                <w:sz w:val="20"/>
              </w:rPr>
              <w:t>甲方在收齐所有本项目约定产品后</w:t>
            </w:r>
            <w:r>
              <w:rPr>
                <w:sz w:val="20"/>
              </w:rPr>
              <w:t>3</w:t>
            </w:r>
            <w:r>
              <w:rPr>
                <w:sz w:val="20"/>
              </w:rPr>
              <w:t>个工作日内组织验收，乙方派代表参加验收。</w:t>
            </w:r>
          </w:p>
          <w:p>
            <w:pPr>
              <w:pStyle w:val="null3"/>
            </w:pPr>
            <w:r>
              <w:rPr>
                <w:sz w:val="20"/>
              </w:rPr>
              <w:t>★8.投标人须承诺本项目所投设备均符合国家相关法律法规要求，如所投设备属于 “中国强制性产品认证目录”（CCC认证），验收时提供相关证明（提供在http://cx.cnca.cn/查询的产品的证书编号及查询结果截图 ）。</w:t>
            </w:r>
          </w:p>
        </w:tc>
      </w:tr>
      <w:tr>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履约保证金</w:t>
            </w:r>
          </w:p>
        </w:tc>
        <w:tc>
          <w:tcPr>
            <w:tcW w:type="dxa" w:w="6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不收取</w:t>
            </w:r>
          </w:p>
        </w:tc>
      </w:tr>
    </w:tbl>
    <w:p>
      <w:pPr>
        <w:pStyle w:val="null3"/>
        <w:outlineLvl w:val="1"/>
      </w:pPr>
      <w:r>
        <w:rPr>
          <w:sz w:val="28"/>
          <w:b/>
        </w:rPr>
        <w:t>第二节 政府采购合同通用条款</w:t>
      </w:r>
    </w:p>
    <w:p>
      <w:pPr>
        <w:pStyle w:val="null3"/>
        <w:jc w:val="left"/>
      </w:pPr>
      <w:r>
        <w:rPr>
          <w:sz w:val="24"/>
          <w:b/>
        </w:rPr>
        <w:t xml:space="preserve">1. </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w:t>
      </w:r>
      <w:r>
        <w:rPr>
          <w:sz w:val="21"/>
          <w:color w:val="000000"/>
        </w:rPr>
        <w:t>其他</w:t>
      </w:r>
      <w:r>
        <w:rPr>
          <w:sz w:val="21"/>
          <w:color w:val="000000"/>
        </w:rPr>
        <w:t>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w:t>
      </w:r>
      <w:r>
        <w:rPr>
          <w:sz w:val="21"/>
          <w:color w:val="000000"/>
        </w:rPr>
        <w:t>其他</w:t>
      </w:r>
      <w:r>
        <w:rPr>
          <w:sz w:val="21"/>
          <w:color w:val="000000"/>
        </w:rPr>
        <w:t>服务，包括但不限于：管理和质量保证、运输、保险、检验、现场准备、安装、集成、调试、培训、维修、废弃处置、技术支持等以及合同中规定乙方应承担的</w:t>
      </w:r>
      <w:r>
        <w:rPr>
          <w:sz w:val="21"/>
          <w:color w:val="000000"/>
        </w:rPr>
        <w:t>其他</w:t>
      </w:r>
      <w:r>
        <w:rPr>
          <w:sz w:val="21"/>
          <w:color w:val="000000"/>
        </w:rPr>
        <w:t>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w:t>
      </w:r>
      <w:r>
        <w:rPr>
          <w:sz w:val="21"/>
          <w:color w:val="000000"/>
        </w:rPr>
        <w:t>其他</w:t>
      </w:r>
      <w:r>
        <w:rPr>
          <w:sz w:val="21"/>
          <w:color w:val="000000"/>
        </w:rPr>
        <w:t>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乙方应当在约定的时间、地点，按照约定方式履行合同。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 xml:space="preserve">4.3 </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 xml:space="preserve">4.5 </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 xml:space="preserve">4.6 </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w:t>
      </w:r>
      <w:r>
        <w:rPr>
          <w:sz w:val="21"/>
          <w:color w:val="000000"/>
        </w:rPr>
        <w:t>根据合同约定向甲方收取合同价款。</w:t>
      </w:r>
    </w:p>
    <w:p>
      <w:pPr>
        <w:pStyle w:val="null3"/>
        <w:ind w:firstLine="370"/>
        <w:jc w:val="both"/>
      </w:pPr>
      <w:r>
        <w:rPr>
          <w:sz w:val="21"/>
          <w:color w:val="000000"/>
        </w:rPr>
        <w:t>5.4</w:t>
      </w:r>
      <w:r>
        <w:rPr>
          <w:sz w:val="21"/>
          <w:color w:val="000000"/>
        </w:rPr>
        <w:t>国家法律法规规定</w:t>
      </w:r>
      <w:r>
        <w:rPr>
          <w:sz w:val="21"/>
          <w:color w:val="000000"/>
        </w:rPr>
        <w:t>及</w:t>
      </w:r>
      <w:r>
        <w:rPr>
          <w:sz w:val="21"/>
          <w:b/>
        </w:rPr>
        <w:t>【政府采购合同专用条款】</w:t>
      </w:r>
      <w:r>
        <w:rPr>
          <w:sz w:val="21"/>
        </w:rPr>
        <w:t>约定应</w:t>
      </w:r>
      <w:r>
        <w:rPr>
          <w:sz w:val="21"/>
          <w:color w:val="000000"/>
        </w:rPr>
        <w:t>由乙方承担的其他义务和责任。</w:t>
      </w:r>
    </w:p>
    <w:p>
      <w:pPr>
        <w:pStyle w:val="null3"/>
        <w:jc w:val="left"/>
      </w:pPr>
      <w:r>
        <w:rPr>
          <w:sz w:val="24"/>
          <w:b/>
          <w:color w:val="000000"/>
        </w:rPr>
        <w:t xml:space="preserve">6. </w:t>
      </w:r>
      <w:r>
        <w:rPr>
          <w:sz w:val="24"/>
          <w:b/>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乙方在运输到达之前应提前通知甲方，并提示货物运输装卸的注意事项，甲方配合乙方做好货物的接收工作。</w:t>
      </w:r>
    </w:p>
    <w:p>
      <w:pPr>
        <w:pStyle w:val="null3"/>
        <w:ind w:firstLine="420"/>
      </w:pPr>
      <w:r>
        <w:rPr>
          <w:sz w:val="21"/>
          <w:color w:val="000000"/>
        </w:rPr>
        <w:t xml:space="preserve">7.6 </w:t>
      </w:r>
      <w:r>
        <w:rPr>
          <w:sz w:val="21"/>
          <w:color w:val="000000"/>
        </w:rPr>
        <w:t>如因包装、运输问题导致货物损毁、丢失或者品质下降，甲方有权要求降价、换货、拒收部分或整批货物，由此产生的费用和损失，均由乙方承担。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在其使用寿命期内具备合同约定的性能</w:t>
      </w:r>
      <w:r>
        <w:rPr>
          <w:sz w:val="21"/>
        </w:rPr>
        <w:t>。存在质量保证期的，货物最终交付验收合格后在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jc w:val="left"/>
      </w:pPr>
      <w:r>
        <w:rPr>
          <w:sz w:val="24"/>
          <w:b/>
          <w:color w:val="000000"/>
        </w:rPr>
        <w:t>9</w:t>
      </w:r>
      <w:r>
        <w:rPr>
          <w:sz w:val="24"/>
          <w:b/>
        </w:rPr>
        <w:t xml:space="preserve">. </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 xml:space="preserve">10. </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 xml:space="preserve">11. </w:t>
      </w:r>
      <w:r>
        <w:rPr>
          <w:sz w:val="24"/>
          <w:b/>
        </w:rPr>
        <w:t>保密义务</w:t>
      </w:r>
    </w:p>
    <w:p>
      <w:pPr>
        <w:pStyle w:val="null3"/>
        <w:ind w:firstLine="420"/>
        <w:jc w:val="left"/>
      </w:pPr>
      <w:r>
        <w:rPr>
          <w:sz w:val="21"/>
        </w:rPr>
        <w:t xml:space="preserve">11.1 </w:t>
      </w:r>
      <w:r>
        <w:rPr>
          <w:sz w:val="2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sz w:val="21"/>
          <w:b/>
        </w:rPr>
        <w:t>【政府采购合同专用条款】</w:t>
      </w:r>
      <w:r>
        <w:rPr>
          <w:sz w:val="21"/>
        </w:rPr>
        <w:t>中约定。</w:t>
      </w:r>
    </w:p>
    <w:p>
      <w:pPr>
        <w:pStyle w:val="null3"/>
        <w:jc w:val="left"/>
      </w:pPr>
      <w:r>
        <w:rPr>
          <w:sz w:val="24"/>
          <w:b/>
        </w:rPr>
        <w:t xml:space="preserve">12. </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outlineLvl w:val="1"/>
      </w:pPr>
      <w:r>
        <w:rPr>
          <w:sz w:val="21"/>
          <w:b/>
        </w:rPr>
        <w:t xml:space="preserve">12.2 </w:t>
      </w:r>
      <w:r>
        <w:rPr>
          <w:sz w:val="21"/>
          <w:b/>
        </w:rPr>
        <w:t>对于满足合同约定支付条件的，甲方</w:t>
      </w:r>
      <w:r>
        <w:rPr>
          <w:sz w:val="21"/>
          <w:b/>
        </w:rPr>
        <w:t>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】中约定。</w:t>
      </w:r>
    </w:p>
    <w:p>
      <w:pPr>
        <w:pStyle w:val="null3"/>
        <w:jc w:val="both"/>
      </w:pPr>
      <w:r>
        <w:rPr>
          <w:sz w:val="24"/>
          <w:b/>
        </w:rPr>
        <w:t xml:space="preserve">13. </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 xml:space="preserve">14. </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 xml:space="preserve">15. </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 xml:space="preserve">    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 xml:space="preserve">17. </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 xml:space="preserve">18. </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 xml:space="preserve">19. </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 xml:space="preserve">20. </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4"/>
          <w:b/>
        </w:rPr>
        <w:t xml:space="preserve">21. </w:t>
      </w:r>
      <w:r>
        <w:rPr>
          <w:sz w:val="24"/>
          <w:b/>
        </w:rPr>
        <w:t>法律适用</w:t>
      </w:r>
    </w:p>
    <w:p>
      <w:pPr>
        <w:pStyle w:val="null3"/>
        <w:ind w:firstLine="420"/>
        <w:jc w:val="both"/>
      </w:pPr>
      <w:r>
        <w:rPr>
          <w:sz w:val="21"/>
        </w:rPr>
        <w:t xml:space="preserve">21.1 </w:t>
      </w:r>
      <w:r>
        <w:rPr>
          <w:sz w:val="21"/>
        </w:rPr>
        <w:t>本合同的订立、生效、解释、履行及与本合同有关的争议解决，均适用法律、行政法规。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 xml:space="preserve">22.1 </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 xml:space="preserve">    22.2 </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验收中甲方发现所供设备不符合本合同要求或不能正常运行的，甲方当场与乙方参与验收的代表反馈，乙方需在5个自然日内更换为符合要求本合同要求且正常运行的设备，逾期或更换后的设备仍不符合本合同要求或不能正常运行的，作退货处理，2期款项支付时扣除退货处理设备所占比例款项的120%。</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1"/>
              </w:rPr>
              <w:t>/</w:t>
            </w: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1"/>
              </w:rPr>
              <w:t>甲方对所收到的货物在验收前不作开箱检查，故在验收前因生产、包装、运输、</w:t>
            </w:r>
            <w:r>
              <w:rPr>
                <w:sz w:val="21"/>
                <w:color w:val="000000"/>
              </w:rPr>
              <w:t>装卸等原因导致的</w:t>
            </w:r>
            <w:r>
              <w:rPr>
                <w:sz w:val="21"/>
                <w:color w:val="000000"/>
              </w:rPr>
              <w:t>货物损毁、缺失、丢失或者品质下降由乙方完全承担其风险和保险责任。</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免费质量保证期为</w:t>
            </w:r>
            <w:r>
              <w:rPr>
                <w:sz w:val="21"/>
                <w:u w:val="single"/>
              </w:rPr>
              <w:t xml:space="preserve">   </w:t>
            </w:r>
            <w:r>
              <w:rPr>
                <w:sz w:val="21"/>
              </w:rPr>
              <w:t>年，自验收合格通过之日起计。</w:t>
            </w:r>
            <w:r>
              <w:rPr>
                <w:sz w:val="21"/>
                <w:i/>
              </w:rPr>
              <w:t>（根据乙方响应情况修改）</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1.</w:t>
            </w:r>
            <w:r>
              <w:rPr>
                <w:sz w:val="21"/>
              </w:rPr>
              <w:t>质量保障服务内容：质保期内乙方需对本项目所有软硬件设备及其集成功能提供维修维护服务(含备件)，硬盘损坏更换免回收，所有设备维修服务均为上门服务，由此产生的费用包含在此次投标总报价中。</w:t>
            </w:r>
          </w:p>
          <w:p>
            <w:pPr>
              <w:pStyle w:val="null3"/>
              <w:jc w:val="left"/>
            </w:pPr>
            <w:r>
              <w:rPr>
                <w:sz w:val="21"/>
              </w:rPr>
              <w:t>2.</w:t>
            </w:r>
            <w:r>
              <w:rPr>
                <w:sz w:val="21"/>
              </w:rPr>
              <w:t>质量保障服务要求：在质量保障服务期内，对所采购的软硬件设备提供技术支持和服务，不得另加收费。</w:t>
            </w:r>
          </w:p>
          <w:p>
            <w:pPr>
              <w:pStyle w:val="null3"/>
              <w:jc w:val="left"/>
            </w:pPr>
            <w:r>
              <w:rPr>
                <w:sz w:val="21"/>
              </w:rPr>
              <w:t>3.</w:t>
            </w:r>
            <w:r>
              <w:rPr>
                <w:sz w:val="21"/>
              </w:rPr>
              <w:t>质量保障期内，如因设备质量问题导致设备停止使用超过24小时的，质量保障期相应顺延。如果设备停止使用时间累计超过30个自然日的，则免费质量保证期从0开始重新计算；如果设备停止使用时间累计超过60个自然日的，则需将故障设备更换为同型号同配置的全新设备，更换的设备免费质保期从0开始重新计算。</w:t>
            </w:r>
          </w:p>
          <w:p>
            <w:pPr>
              <w:pStyle w:val="null3"/>
              <w:jc w:val="left"/>
            </w:pPr>
            <w:r>
              <w:rPr>
                <w:sz w:val="21"/>
              </w:rPr>
              <w:t>4.</w:t>
            </w:r>
            <w:r>
              <w:rPr>
                <w:sz w:val="21"/>
              </w:rPr>
              <w:t>质量保障期内，如果出现紧急技术问题，乙方提供同城4小时、异地12小时技术响应服务（服务响应以现场为主，远程协助），2个工作日解决问题，对于未能解决的问题和故障应提供可行的升级方案，并提供周转设备或更换全新设备，更换的设备免费质保期从0开始重新计算。</w:t>
            </w:r>
          </w:p>
          <w:p>
            <w:pPr>
              <w:pStyle w:val="null3"/>
              <w:jc w:val="left"/>
            </w:pPr>
            <w:r>
              <w:rPr>
                <w:sz w:val="21"/>
              </w:rPr>
              <w:t>5.</w:t>
            </w:r>
            <w:r>
              <w:rPr>
                <w:sz w:val="21"/>
              </w:rPr>
              <w:t>乙方提供电话、电子邮件、远程连接等多种形式政企专线，以保证能够提供每天24小时、每周7天的响应服务(“7x24小时响应服务”)。</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本项目签订合同生效后，甲方在收到乙方提供的税务部门认可的有效增值税普通发票之日起</w:t>
            </w:r>
            <w:r>
              <w:rPr>
                <w:sz w:val="21"/>
              </w:rPr>
              <w:t>10</w:t>
            </w:r>
            <w:r>
              <w:rPr>
                <w:sz w:val="21"/>
              </w:rPr>
              <w:t>个工作日内支付第</w:t>
            </w:r>
            <w:r>
              <w:rPr>
                <w:sz w:val="21"/>
              </w:rPr>
              <w:t>1</w:t>
            </w:r>
            <w:r>
              <w:rPr>
                <w:sz w:val="21"/>
              </w:rPr>
              <w:t>期款项；</w:t>
            </w:r>
          </w:p>
          <w:p>
            <w:pPr>
              <w:pStyle w:val="null3"/>
              <w:jc w:val="left"/>
            </w:pPr>
            <w:r>
              <w:rPr>
                <w:sz w:val="21"/>
              </w:rPr>
              <w:t>本项目通过验收和提交所有约定成果后，甲方在收到乙方提供的税务部门认可的有效增值税普通发票之日起</w:t>
            </w:r>
            <w:r>
              <w:rPr>
                <w:sz w:val="21"/>
              </w:rPr>
              <w:t>10</w:t>
            </w:r>
            <w:r>
              <w:rPr>
                <w:sz w:val="21"/>
              </w:rPr>
              <w:t>个工作日内支付第</w:t>
            </w:r>
            <w:r>
              <w:rPr>
                <w:sz w:val="21"/>
              </w:rPr>
              <w:t>2</w:t>
            </w:r>
            <w:r>
              <w:rPr>
                <w:sz w:val="21"/>
              </w:rPr>
              <w:t>期款项。</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乙方需在验收合格后10个自然日内对甲方提供设备使用方面的现场培训，特别是针对配套提供的国产操作系统的使用、升级、故障排除、组网等培训，培训时间不少于2天，并提供相应的培训资料给甲方。培训人员应具有相应的技术水平和培训经验，以保证培训效果。因培训产生的费用已包含在报价中，供应商不得另加收费。</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详见前面“货物质量缺陷响应时间”条款约定。</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乙方逾期交货的，从逾期之日起每日按本合同总金额的</w:t>
            </w:r>
            <w:r>
              <w:rPr>
                <w:sz w:val="21"/>
              </w:rPr>
              <w:t>3</w:t>
            </w:r>
            <w:r>
              <w:rPr>
                <w:sz w:val="21"/>
              </w:rPr>
              <w:t>‰向甲方偿付违约金；逾期交货超过</w:t>
            </w:r>
            <w:r>
              <w:rPr>
                <w:sz w:val="21"/>
              </w:rPr>
              <w:t>10</w:t>
            </w:r>
            <w:r>
              <w:rPr>
                <w:sz w:val="21"/>
              </w:rPr>
              <w:t>天的，甲方有权终止合同，乙方在逾期交货</w:t>
            </w:r>
            <w:r>
              <w:rPr>
                <w:sz w:val="21"/>
              </w:rPr>
              <w:t>10</w:t>
            </w:r>
            <w:r>
              <w:rPr>
                <w:sz w:val="21"/>
              </w:rPr>
              <w:t>天之日起</w:t>
            </w:r>
            <w:r>
              <w:rPr>
                <w:sz w:val="21"/>
              </w:rPr>
              <w:t>5</w:t>
            </w:r>
            <w:r>
              <w:rPr>
                <w:sz w:val="21"/>
              </w:rPr>
              <w:t>天内将甲方已支付的第</w:t>
            </w:r>
            <w:r>
              <w:rPr>
                <w:sz w:val="21"/>
              </w:rPr>
              <w:t>1</w:t>
            </w:r>
            <w:r>
              <w:rPr>
                <w:sz w:val="21"/>
              </w:rPr>
              <w:t>期款项全部退回给甲方，并按照合同总金额的</w:t>
            </w:r>
            <w:r>
              <w:rPr>
                <w:sz w:val="21"/>
              </w:rPr>
              <w:t>20%</w:t>
            </w:r>
            <w:r>
              <w:rPr>
                <w:sz w:val="21"/>
              </w:rPr>
              <w:t>偿付违约金给甲方。</w:t>
            </w:r>
          </w:p>
          <w:p>
            <w:pPr>
              <w:pStyle w:val="null3"/>
              <w:jc w:val="left"/>
            </w:pPr>
            <w:r>
              <w:rPr>
                <w:sz w:val="21"/>
              </w:rPr>
              <w:t>乙方不按合同要求的时间内供货造成甲方不能在财政部门要求的本年度财政资金支付时限内支付本项目合同尾款而导致相应的年度财政资金被财政部门收回的，甲方不承担相应支付义务，相应的责任和后果由乙方承担。</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甲方逾期付款，则每日按本合同总价的3‰向乙方偿付违约金（因乙方逾期交货造成的甲方</w:t>
            </w:r>
            <w:r>
              <w:rPr>
                <w:sz w:val="21"/>
              </w:rPr>
              <w:t>不能在财政部门要求的本年度财政资金支付时限内支付本项目合同尾款的情况除外）</w:t>
            </w:r>
            <w:r>
              <w:rPr>
                <w:sz w:val="21"/>
              </w:rPr>
              <w:t>。</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1.</w:t>
            </w:r>
            <w:r>
              <w:rPr>
                <w:sz w:val="21"/>
              </w:rPr>
              <w:t>免费质保期内，本项目下设备发生故障，甲方通知乙方或设备制造商维修却不能按照本合同要求得到有效解决的，甲方有权聘请第三方予以维修，产生的费用全部由乙方负责在维修后15天内支付。</w:t>
            </w:r>
          </w:p>
          <w:p>
            <w:pPr>
              <w:pStyle w:val="null3"/>
            </w:pPr>
            <w:r>
              <w:rPr>
                <w:sz w:val="21"/>
              </w:rPr>
              <w:t>2.</w:t>
            </w:r>
            <w:r>
              <w:rPr>
                <w:sz w:val="21"/>
              </w:rPr>
              <w:t>乙方同意：如果不能在签订合同后2个工作日内提供本项目招标文件要求的所有原厂盖章证明材料，则视作乙方违约，本项目合同作废，乙方需在违约之日起10个工作日内向甲方赔付本合同总价的50%作为违约金，逾期则每日按本合同总金额的3‰向甲方另行偿付违约金。甲方同时按照《中华人民共和国政府采购法》第七十七条第一款规定“提供虚假材料谋取中标、成交的”情况，将情况上报政府采购监管部门。</w:t>
            </w: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w:t>
            </w:r>
            <w:r>
              <w:rPr>
                <w:sz w:val="21"/>
                <w:u w:val="single"/>
              </w:rPr>
              <w:t xml:space="preserve"> 2 </w:t>
            </w:r>
            <w:r>
              <w:rPr>
                <w:sz w:val="21"/>
              </w:rPr>
              <w:t>种方式解决：</w:t>
            </w:r>
          </w:p>
          <w:p>
            <w:pPr>
              <w:pStyle w:val="null3"/>
              <w:jc w:val="left"/>
            </w:pPr>
            <w:r>
              <w:rPr>
                <w:sz w:val="21"/>
              </w:rPr>
              <w:t>（1）向</w:t>
            </w:r>
            <w:r>
              <w:rPr>
                <w:sz w:val="21"/>
                <w:u w:val="single"/>
              </w:rPr>
              <w:t xml:space="preserve">                    </w:t>
            </w:r>
            <w:r>
              <w:rPr>
                <w:sz w:val="21"/>
              </w:rPr>
              <w:t>仲裁委员会申请仲裁，仲裁地点为</w:t>
            </w:r>
            <w:r>
              <w:rPr>
                <w:sz w:val="21"/>
                <w:u w:val="single"/>
              </w:rPr>
              <w:t xml:space="preserve">           </w:t>
            </w:r>
            <w:r>
              <w:rPr>
                <w:sz w:val="21"/>
              </w:rPr>
              <w:t>；</w:t>
            </w:r>
          </w:p>
          <w:p>
            <w:pPr>
              <w:pStyle w:val="null3"/>
              <w:jc w:val="left"/>
            </w:pPr>
            <w:r>
              <w:rPr>
                <w:sz w:val="21"/>
              </w:rPr>
              <w:t>（2）向</w:t>
            </w:r>
            <w:r>
              <w:rPr>
                <w:sz w:val="21"/>
                <w:u w:val="single"/>
              </w:rPr>
              <w:t xml:space="preserve"> 甲方所在地 </w:t>
            </w:r>
            <w:r>
              <w:rPr>
                <w:sz w:val="21"/>
              </w:rPr>
              <w:t>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r>
              <w:rPr>
                <w:sz w:val="21"/>
                <w:b/>
                <w:color w:val="000000"/>
              </w:rPr>
              <w:t>廉政责任：</w:t>
            </w:r>
          </w:p>
          <w:p>
            <w:pPr>
              <w:pStyle w:val="null3"/>
              <w:jc w:val="both"/>
            </w:pPr>
            <w:r>
              <w:rPr>
                <w:sz w:val="21"/>
                <w:color w:val="000000"/>
              </w:rPr>
              <w:t>1.</w:t>
            </w:r>
            <w:r>
              <w:rPr>
                <w:sz w:val="21"/>
                <w:color w:val="000000"/>
              </w:rPr>
              <w:t>甲乙双方的业务活动严格遵守党和国家有关的法律法规、廉洁自律规定，以及相关行业的有关规定。</w:t>
            </w:r>
          </w:p>
          <w:p>
            <w:pPr>
              <w:pStyle w:val="null3"/>
              <w:jc w:val="both"/>
            </w:pPr>
            <w:r>
              <w:rPr>
                <w:sz w:val="21"/>
                <w:color w:val="000000"/>
              </w:rPr>
              <w:t>2.</w:t>
            </w:r>
            <w:r>
              <w:rPr>
                <w:sz w:val="21"/>
                <w:color w:val="000000"/>
              </w:rPr>
              <w:t>甲乙双方的业务活动严格执行合同的条款，自觉履行合同双方的权利、义务和责任。</w:t>
            </w:r>
          </w:p>
          <w:p>
            <w:pPr>
              <w:pStyle w:val="null3"/>
              <w:jc w:val="both"/>
            </w:pPr>
            <w:r>
              <w:rPr>
                <w:sz w:val="21"/>
                <w:color w:val="000000"/>
              </w:rPr>
              <w:t>3.</w:t>
            </w:r>
            <w:r>
              <w:rPr>
                <w:sz w:val="21"/>
                <w:color w:val="000000"/>
              </w:rPr>
              <w:t>甲乙双方的业务活动坚持公开、公正、诚信、透明的原则（除法律认定的商业秘密和合同文件另有规定之外），不得损害国家和集体利益，违反相关行业管理的规章制度。</w:t>
            </w:r>
          </w:p>
          <w:p>
            <w:pPr>
              <w:pStyle w:val="null3"/>
              <w:jc w:val="both"/>
            </w:pPr>
            <w:r>
              <w:rPr>
                <w:sz w:val="21"/>
                <w:color w:val="000000"/>
              </w:rPr>
              <w:t>4.</w:t>
            </w:r>
            <w:r>
              <w:rPr>
                <w:sz w:val="21"/>
                <w:color w:val="000000"/>
              </w:rPr>
              <w:t>甲乙双方工作人员必须严格执行本合同的条款，不得与对方工作人员串通，损害己方的利益。</w:t>
            </w:r>
          </w:p>
          <w:p>
            <w:pPr>
              <w:pStyle w:val="null3"/>
              <w:jc w:val="both"/>
            </w:pPr>
            <w:r>
              <w:rPr>
                <w:sz w:val="21"/>
                <w:color w:val="000000"/>
              </w:rPr>
              <w:t>5.</w:t>
            </w:r>
            <w:r>
              <w:rPr>
                <w:sz w:val="21"/>
                <w:color w:val="000000"/>
              </w:rPr>
              <w:t>甲乙双方在双方合作过程中发现对方有违反本合同的行为倾向，有及时提醒对方纠正的权利和义务。</w:t>
            </w:r>
          </w:p>
          <w:p>
            <w:pPr>
              <w:pStyle w:val="null3"/>
              <w:jc w:val="both"/>
            </w:pPr>
            <w:r>
              <w:rPr>
                <w:sz w:val="21"/>
                <w:b/>
                <w:color w:val="000000"/>
              </w:rPr>
              <w:t>6.</w:t>
            </w:r>
            <w:r>
              <w:rPr>
                <w:sz w:val="21"/>
                <w:b/>
                <w:color w:val="000000"/>
              </w:rPr>
              <w:t>甲方：</w:t>
            </w:r>
          </w:p>
          <w:p>
            <w:pPr>
              <w:pStyle w:val="null3"/>
              <w:ind w:firstLine="600"/>
              <w:jc w:val="both"/>
            </w:pPr>
            <w:r>
              <w:rPr>
                <w:sz w:val="21"/>
                <w:color w:val="000000"/>
              </w:rPr>
              <w:t>1</w:t>
            </w:r>
            <w:r>
              <w:rPr>
                <w:sz w:val="21"/>
                <w:color w:val="000000"/>
              </w:rPr>
              <w:t>）甲方工作人员不得向乙方索要或收受乙方馈赠的礼品（包括现金、礼金、有价证券、支付凭证及贵重物品）；有责任教育自己的亲属不得接受乙方及其工作人员以各种名义赠送的上述礼品。</w:t>
            </w:r>
          </w:p>
          <w:p>
            <w:pPr>
              <w:pStyle w:val="null3"/>
              <w:ind w:firstLine="600"/>
              <w:jc w:val="both"/>
            </w:pPr>
            <w:r>
              <w:rPr>
                <w:sz w:val="21"/>
                <w:color w:val="000000"/>
              </w:rPr>
              <w:t>2</w:t>
            </w:r>
            <w:r>
              <w:rPr>
                <w:sz w:val="21"/>
                <w:color w:val="000000"/>
              </w:rPr>
              <w:t>）甲方工作人员不得要求或接受乙方为甲方单位或个人购置、提供通信工具、交通工具和办公用品。</w:t>
            </w:r>
          </w:p>
          <w:p>
            <w:pPr>
              <w:pStyle w:val="null3"/>
              <w:ind w:firstLine="600"/>
              <w:jc w:val="both"/>
            </w:pPr>
            <w:r>
              <w:rPr>
                <w:sz w:val="21"/>
                <w:color w:val="000000"/>
              </w:rPr>
              <w:t>3</w:t>
            </w:r>
            <w:r>
              <w:rPr>
                <w:sz w:val="21"/>
                <w:color w:val="000000"/>
              </w:rPr>
              <w:t>）甲方工作人员不得以任何理由要求乙方提供宴请、联谊活动、度假、出国（出境）旅游，以及到营业性娱乐场所（包括：歌厅、舞厅、卡拉ok厅、夜总会和高尔夫球场）活动。</w:t>
            </w:r>
          </w:p>
          <w:p>
            <w:pPr>
              <w:pStyle w:val="null3"/>
              <w:ind w:firstLine="600"/>
              <w:jc w:val="both"/>
            </w:pPr>
            <w:r>
              <w:rPr>
                <w:sz w:val="21"/>
                <w:color w:val="000000"/>
              </w:rPr>
              <w:t>4</w:t>
            </w:r>
            <w:r>
              <w:rPr>
                <w:sz w:val="21"/>
                <w:color w:val="000000"/>
              </w:rPr>
              <w:t>）甲方工作人员不得要求乙方为其配偶子女安排工作；以及为其个人及其家属支付应由个人自付的各种费用，包括住宅装修、婚丧嫁娶、旅游、度假、食宿、购物、学习、子女出国留学等费用。</w:t>
            </w:r>
          </w:p>
          <w:p>
            <w:pPr>
              <w:pStyle w:val="null3"/>
              <w:jc w:val="both"/>
            </w:pPr>
            <w:r>
              <w:rPr>
                <w:sz w:val="21"/>
                <w:b/>
                <w:color w:val="000000"/>
              </w:rPr>
              <w:t>7.</w:t>
            </w:r>
            <w:r>
              <w:rPr>
                <w:sz w:val="21"/>
                <w:b/>
                <w:color w:val="000000"/>
              </w:rPr>
              <w:t>乙方：</w:t>
            </w:r>
          </w:p>
          <w:p>
            <w:pPr>
              <w:pStyle w:val="null3"/>
              <w:ind w:firstLine="600"/>
              <w:jc w:val="both"/>
            </w:pPr>
            <w:r>
              <w:rPr>
                <w:sz w:val="21"/>
                <w:color w:val="000000"/>
              </w:rPr>
              <w:t>1</w:t>
            </w:r>
            <w:r>
              <w:rPr>
                <w:sz w:val="21"/>
                <w:color w:val="000000"/>
              </w:rPr>
              <w:t>）乙方不得向甲方工作人员行贿或馈赠礼品（包括现金、礼金、有价证券、支付凭证及贵重物品）；也不得以各种形式向甲方工作人员的亲属赠送上述礼品。</w:t>
            </w:r>
          </w:p>
          <w:p>
            <w:pPr>
              <w:pStyle w:val="null3"/>
              <w:ind w:firstLine="600"/>
              <w:jc w:val="both"/>
            </w:pPr>
            <w:r>
              <w:rPr>
                <w:sz w:val="21"/>
                <w:color w:val="000000"/>
              </w:rPr>
              <w:t>2</w:t>
            </w:r>
            <w:r>
              <w:rPr>
                <w:sz w:val="21"/>
                <w:color w:val="000000"/>
              </w:rPr>
              <w:t>）乙方不得为甲方单位和个人购置或提供通信工具、交通工具和办公用品等。</w:t>
            </w:r>
          </w:p>
          <w:p>
            <w:pPr>
              <w:pStyle w:val="null3"/>
              <w:ind w:firstLine="600"/>
              <w:jc w:val="both"/>
            </w:pPr>
            <w:r>
              <w:rPr>
                <w:sz w:val="21"/>
                <w:color w:val="000000"/>
              </w:rPr>
              <w:t>3</w:t>
            </w:r>
            <w:r>
              <w:rPr>
                <w:sz w:val="21"/>
                <w:color w:val="000000"/>
              </w:rPr>
              <w:t>）乙方不得向甲方工作人员提供宴请、联谊活动、度假、出国（出境）旅游，以及到营业性娱乐场所（包括：歌厅、舞厅、卡拉ok厅、夜总会和高尔夫球场）活动。</w:t>
            </w:r>
          </w:p>
          <w:p>
            <w:pPr>
              <w:pStyle w:val="null3"/>
              <w:ind w:firstLine="630"/>
              <w:jc w:val="left"/>
            </w:pPr>
            <w:r>
              <w:rPr>
                <w:sz w:val="21"/>
                <w:color w:val="000000"/>
              </w:rPr>
              <w:t>4</w:t>
            </w:r>
            <w:r>
              <w:rPr>
                <w:sz w:val="21"/>
                <w:color w:val="000000"/>
              </w:rPr>
              <w:t>）乙方不得以任何名义为甲方工作人员的配偶子女安排工作，以及为甲方工作人员及其家属支付应由其个人自付的各种费用，包括住宅装修、婚丧嫁娶、旅游、度假、食宿、购物、学习、子女出国留学等费用。</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440001-2024-45668</w:t>
      </w:r>
    </w:p>
    <w:p>
      <w:pPr>
        <w:pStyle w:val="null3"/>
        <w:jc w:val="center"/>
        <w:outlineLvl w:val="3"/>
      </w:pPr>
      <w:r>
        <w:rPr>
          <w:sz w:val="24"/>
          <w:b/>
        </w:rPr>
        <w:t>采购项目编号：</w:t>
      </w:r>
      <w:r>
        <w:rPr>
          <w:sz w:val="24"/>
          <w:b/>
        </w:rPr>
        <w:t>GPCGD243109HG224J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广东省地图院图形工作站和移动工作站采购（2024年）</w:t>
      </w:r>
      <w:r>
        <w:rPr>
          <w:u w:val="single"/>
        </w:rPr>
        <w:t>”</w:t>
      </w:r>
      <w:r>
        <w:rPr/>
        <w:t>项目的招标[采购项目编号为：</w:t>
      </w:r>
      <w:r>
        <w:rPr>
          <w:u w:val="single"/>
        </w:rPr>
        <w:t>GPCGD243109HG224J</w:t>
      </w:r>
      <w:r>
        <w:rPr/>
        <w:t>]，我方愿参与投标。</w:t>
      </w:r>
    </w:p>
    <w:p>
      <w:pPr>
        <w:pStyle w:val="null3"/>
        <w:ind w:firstLine="480"/>
      </w:pPr>
      <w:r>
        <w:rPr/>
        <w:t>我方确认收到贵方提供的</w:t>
      </w:r>
      <w:r>
        <w:rPr>
          <w:u w:val="single"/>
        </w:rPr>
        <w:t>“</w:t>
      </w:r>
      <w:r>
        <w:rPr>
          <w:u w:val="single"/>
        </w:rPr>
        <w:t>广东省地图院图形工作站和移动工作站采购（2024年）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广东省地图院图形工作站和移动工作站采购（2024年）</w:t>
      </w:r>
      <w:r>
        <w:rPr/>
        <w:t>”项目采购[采购项目编号为</w:t>
      </w:r>
      <w:r>
        <w:rPr/>
        <w:t>GPCGD243109HG224J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广东省地图院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广东省地图院图形工作站和移动工作站采购（2024年）</w:t>
      </w:r>
      <w:r>
        <w:rPr/>
        <w:t>招标中获中标（采购项目编号：</w:t>
      </w:r>
      <w:r>
        <w:rPr/>
        <w:t>GPCGD243109HG224J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广东省地图院图形工作站和移动工作站采购（2024年）</w:t>
      </w:r>
      <w:r>
        <w:rPr/>
        <w:t>”项目（采购项目编号：</w:t>
      </w:r>
      <w:r>
        <w:rPr/>
        <w:t>GPCGD243109HG224J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