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440001-2024-38086</w:t>
      </w:r>
    </w:p>
    <w:p>
      <w:pPr>
        <w:pStyle w:val="null3"/>
        <w:jc w:val="center"/>
        <w:outlineLvl w:val="3"/>
      </w:pPr>
      <w:r>
        <w:rPr>
          <w:sz w:val="24"/>
          <w:b/>
        </w:rPr>
        <w:t>采购项目编号：</w:t>
      </w:r>
      <w:r>
        <w:rPr>
          <w:sz w:val="24"/>
          <w:b/>
        </w:rPr>
        <w:t>GPCGD243109HG166J</w:t>
      </w:r>
    </w:p>
    <w:p>
      <w:pPr>
        <w:pStyle w:val="null3"/>
        <w:jc w:val="center"/>
        <w:outlineLvl w:val="3"/>
      </w:pPr>
      <w:r>
        <w:rPr>
          <w:sz w:val="24"/>
          <w:b/>
        </w:rPr>
        <w:t>项目名称：</w:t>
      </w:r>
      <w:r>
        <w:rPr>
          <w:sz w:val="24"/>
          <w:b/>
        </w:rPr>
        <w:t>广东省海洋发展规划研究中心备份一体机与GPU服务器采购项目(二次)</w:t>
      </w:r>
    </w:p>
    <w:p>
      <w:pPr>
        <w:pStyle w:val="null3"/>
        <w:jc w:val="center"/>
        <w:outlineLvl w:val="3"/>
      </w:pPr>
      <w:r>
        <w:rPr>
          <w:sz w:val="24"/>
          <w:b/>
        </w:rPr>
        <w:t>采购人：</w:t>
      </w:r>
      <w:r>
        <w:rPr>
          <w:sz w:val="24"/>
          <w:b/>
        </w:rPr>
        <w:t>广东省海洋发展规划研究中心</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广东省海洋发展规划研究中心</w:t>
      </w:r>
      <w:r>
        <w:rPr/>
        <w:t>的委托，采用</w:t>
      </w:r>
      <w:r>
        <w:rPr/>
        <w:t>公开招标</w:t>
      </w:r>
      <w:r>
        <w:rPr/>
        <w:t>方式组织采购</w:t>
      </w:r>
      <w:r>
        <w:rPr/>
        <w:t>广东省海洋发展规划研究中心备份一体机与GPU服务器采购项目(二次)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广东省海洋发展规划研究中心备份一体机与GPU服务器采购项目(二次)</w:t>
      </w:r>
    </w:p>
    <w:p>
      <w:pPr>
        <w:pStyle w:val="null3"/>
        <w:ind w:firstLine="480"/>
      </w:pPr>
      <w:r>
        <w:rPr/>
        <w:t>采购计划编号：</w:t>
      </w:r>
      <w:r>
        <w:rPr/>
        <w:t>440001-2024-38086</w:t>
      </w:r>
    </w:p>
    <w:p>
      <w:pPr>
        <w:pStyle w:val="null3"/>
        <w:ind w:firstLine="480"/>
      </w:pPr>
      <w:r>
        <w:rPr/>
        <w:t>采购项目编号：</w:t>
      </w:r>
      <w:r>
        <w:rPr/>
        <w:t>GPCGD243109HG166J</w:t>
      </w:r>
    </w:p>
    <w:p>
      <w:pPr>
        <w:pStyle w:val="null3"/>
        <w:ind w:firstLine="480"/>
      </w:pPr>
      <w:r>
        <w:rPr/>
        <w:t>采购方式：</w:t>
      </w:r>
      <w:r>
        <w:rPr/>
        <w:t>公开招标</w:t>
      </w:r>
    </w:p>
    <w:p>
      <w:pPr>
        <w:pStyle w:val="null3"/>
        <w:ind w:firstLine="480"/>
      </w:pPr>
      <w:r>
        <w:rPr/>
        <w:t>预算金额：</w:t>
      </w:r>
      <w:r>
        <w:rPr/>
        <w:t>1,270,000.00</w:t>
      </w:r>
      <w:r>
        <w:rPr/>
        <w:t>元</w:t>
      </w:r>
    </w:p>
    <w:p>
      <w:pPr>
        <w:pStyle w:val="null3"/>
        <w:outlineLvl w:val="3"/>
      </w:pPr>
      <w:r>
        <w:rPr>
          <w:sz w:val="24"/>
          <w:b/>
        </w:rPr>
        <w:t>2.项目内容及需求情况（采购项目技术规格、参数及要求）</w:t>
      </w:r>
    </w:p>
    <w:p>
      <w:pPr>
        <w:pStyle w:val="null3"/>
      </w:pPr>
      <w:r>
        <w:rPr/>
        <w:t>采购包1(广东省海洋发展规划研究中心备份一体机与GPU服务器采购项目):</w:t>
      </w:r>
    </w:p>
    <w:p>
      <w:pPr>
        <w:pStyle w:val="null3"/>
      </w:pPr>
      <w:r>
        <w:rPr/>
        <w:t>采购包预算金额：1,270,000.00元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服务器</w:t>
            </w:r>
          </w:p>
        </w:tc>
        <w:tc>
          <w:tcPr>
            <w:tcW w:type="dxa" w:w="2136"/>
          </w:tcPr>
          <w:p>
            <w:pPr>
              <w:pStyle w:val="null3"/>
            </w:pPr>
            <w:r>
              <w:rPr/>
              <w:t>GPU服务器</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网络存储设备</w:t>
            </w:r>
          </w:p>
        </w:tc>
        <w:tc>
          <w:tcPr>
            <w:tcW w:type="dxa" w:w="2136"/>
          </w:tcPr>
          <w:p>
            <w:pPr>
              <w:pStyle w:val="null3"/>
            </w:pPr>
            <w:r>
              <w:rPr/>
              <w:t>备份一体机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合同履行期限：本项目服务期限为合同签订之日起至项目全部实施完毕并通过最终验收为止，项目工期不超过2024年12月30日。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具有良好的商业信誉和健全的财务会计制度：（提供以下2种证明材料之一：①2023年度经会计师事务所审计的财务状况报告；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采购包1（广东省海洋发展规划研究中心备份一体机与GPU服务器采购项目）：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广东省海洋发展规划研究中心</w:t>
      </w:r>
    </w:p>
    <w:p>
      <w:pPr>
        <w:pStyle w:val="null3"/>
        <w:ind w:firstLine="480"/>
      </w:pPr>
      <w:r>
        <w:rPr/>
        <w:t xml:space="preserve"> 地址：</w:t>
      </w:r>
      <w:r>
        <w:rPr/>
        <w:t>广州市海珠区南华东路547号5-7楼</w:t>
      </w:r>
    </w:p>
    <w:p>
      <w:pPr>
        <w:pStyle w:val="null3"/>
        <w:ind w:firstLine="480"/>
      </w:pPr>
      <w:r>
        <w:rPr/>
        <w:t xml:space="preserve"> 联系方式：</w:t>
      </w:r>
      <w:r>
        <w:rPr/>
        <w:t>020-84475453</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020-83187191</w:t>
      </w:r>
    </w:p>
    <w:p>
      <w:pPr>
        <w:pStyle w:val="null3"/>
        <w:outlineLvl w:val="3"/>
      </w:pPr>
      <w:r>
        <w:rPr>
          <w:sz w:val="24"/>
          <w:b/>
        </w:rPr>
        <w:t xml:space="preserve"> 3.项目联系方式</w:t>
      </w:r>
    </w:p>
    <w:p>
      <w:pPr>
        <w:pStyle w:val="null3"/>
        <w:ind w:firstLine="480"/>
      </w:pPr>
      <w:r>
        <w:rPr/>
        <w:t xml:space="preserve"> 项目联系人：</w:t>
      </w:r>
      <w:r>
        <w:rPr/>
        <w:t>王工</w:t>
      </w:r>
    </w:p>
    <w:p>
      <w:pPr>
        <w:pStyle w:val="null3"/>
        <w:ind w:firstLine="480"/>
      </w:pPr>
      <w:r>
        <w:rPr/>
        <w:t xml:space="preserve"> 电话：</w:t>
      </w:r>
      <w:r>
        <w:rPr/>
        <w:t>020-83187191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一、采购</w:t>
      </w:r>
      <w:r>
        <w:rPr>
          <w:sz w:val="21"/>
        </w:rPr>
        <w:t>项目</w:t>
      </w:r>
      <w:r>
        <w:rPr>
          <w:sz w:val="21"/>
        </w:rPr>
        <w:t>编号：GPCGD243109HG166J</w:t>
      </w:r>
    </w:p>
    <w:p>
      <w:pPr>
        <w:pStyle w:val="null3"/>
        <w:ind w:firstLine="420"/>
        <w:jc w:val="both"/>
      </w:pPr>
      <w:r>
        <w:rPr>
          <w:sz w:val="21"/>
        </w:rPr>
        <w:t>二、采购项目名称：</w:t>
      </w:r>
      <w:r>
        <w:rPr>
          <w:sz w:val="21"/>
        </w:rPr>
        <w:t xml:space="preserve">广东省海洋发展规划研究中心备份一体机与GPU服务器采购项目 </w:t>
      </w:r>
    </w:p>
    <w:p>
      <w:pPr>
        <w:pStyle w:val="null3"/>
        <w:ind w:firstLine="420"/>
        <w:jc w:val="both"/>
      </w:pPr>
      <w:r>
        <w:rPr>
          <w:sz w:val="21"/>
        </w:rPr>
        <w:t>三、采购预算：127</w:t>
      </w:r>
      <w:r>
        <w:rPr>
          <w:sz w:val="21"/>
        </w:rPr>
        <w:t>万元</w:t>
      </w:r>
      <w:r>
        <w:rPr>
          <w:sz w:val="21"/>
        </w:rPr>
        <w:t>。</w:t>
      </w:r>
    </w:p>
    <w:p>
      <w:pPr>
        <w:pStyle w:val="null3"/>
        <w:ind w:firstLine="420"/>
        <w:jc w:val="both"/>
      </w:pPr>
      <w:r>
        <w:rPr>
          <w:sz w:val="21"/>
        </w:rPr>
        <w:t>四、</w:t>
      </w:r>
      <w:r>
        <w:rPr>
          <w:sz w:val="21"/>
        </w:rPr>
        <w:t>项目内容及需求：</w:t>
      </w:r>
    </w:p>
    <w:tbl>
      <w:tblPr>
        <w:tblW w:w="0" w:type="auto"/>
        <w:tblBorders>
          <w:top w:val="none" w:color="000000" w:sz="4"/>
          <w:left w:val="none" w:color="000000" w:sz="4"/>
          <w:bottom w:val="none" w:color="000000" w:sz="4"/>
          <w:right w:val="none" w:color="000000" w:sz="4"/>
          <w:insideH w:val="none"/>
          <w:insideV w:val="none"/>
        </w:tblBorders>
      </w:tblPr>
      <w:tblGrid>
        <w:gridCol w:w="1102"/>
        <w:gridCol w:w="3051"/>
        <w:gridCol w:w="1271"/>
        <w:gridCol w:w="2882"/>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采购内容</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数量（台）</w:t>
            </w:r>
          </w:p>
        </w:tc>
        <w:tc>
          <w:tcPr>
            <w:tcW w:type="dxa" w:w="28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单价最高预算（万元）</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GPU</w:t>
            </w:r>
            <w:r>
              <w:rPr>
                <w:sz w:val="21"/>
              </w:rPr>
              <w:t>服务器</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备份一体机(核心产品）</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r>
    </w:tbl>
    <w:p>
      <w:pPr>
        <w:pStyle w:val="null3"/>
        <w:ind w:firstLine="441"/>
        <w:jc w:val="both"/>
      </w:pPr>
      <w:r>
        <w:rPr>
          <w:sz w:val="21"/>
        </w:rPr>
        <w:t>本项目为非专门面向中小企业预留项目。不接受联合体投标。</w:t>
      </w:r>
    </w:p>
    <w:p>
      <w:pPr>
        <w:pStyle w:val="null3"/>
        <w:ind w:firstLine="441"/>
        <w:jc w:val="both"/>
      </w:pPr>
      <w:r>
        <w:rPr>
          <w:sz w:val="21"/>
        </w:rPr>
        <w:t>本项目属于货物类项目，中小企业划分标准所属行业为：工业</w:t>
      </w:r>
    </w:p>
    <w:p>
      <w:pPr>
        <w:pStyle w:val="null3"/>
        <w:ind w:firstLine="441"/>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w:t>
      </w:r>
      <w:r>
        <w:rPr>
          <w:sz w:val="21"/>
          <w:shd w:fill="FFFFFF" w:val="clear"/>
        </w:rPr>
        <w:t>、《关于调整优化节能产品、环境标志产品政府采购执行机制的通知》（财库〔</w:t>
      </w:r>
      <w:r>
        <w:rPr>
          <w:sz w:val="21"/>
          <w:shd w:fill="FFFFFF" w:val="clear"/>
        </w:rPr>
        <w:t>2019</w:t>
      </w:r>
      <w:r>
        <w:rPr>
          <w:sz w:val="21"/>
          <w:shd w:fill="FFFFFF" w:val="clear"/>
        </w:rPr>
        <w:t>〕</w:t>
      </w:r>
      <w:r>
        <w:rPr>
          <w:sz w:val="21"/>
          <w:shd w:fill="FFFFFF" w:val="clear"/>
        </w:rPr>
        <w:t>9</w:t>
      </w:r>
      <w:r>
        <w:rPr>
          <w:sz w:val="21"/>
          <w:shd w:fill="FFFFFF" w:val="clear"/>
        </w:rPr>
        <w:t>号）等。</w:t>
      </w:r>
    </w:p>
    <w:p>
      <w:pPr>
        <w:pStyle w:val="null3"/>
        <w:jc w:val="center"/>
      </w:pPr>
      <w:r>
        <w:rPr>
          <w:sz w:val="28"/>
          <w:b/>
        </w:rPr>
        <w:t>第二部分　用户需求书</w:t>
      </w:r>
    </w:p>
    <w:p>
      <w:pPr>
        <w:pStyle w:val="null3"/>
        <w:jc w:val="both"/>
      </w:pPr>
      <w:r>
        <w:rPr>
          <w:sz w:val="21"/>
          <w:b/>
        </w:rPr>
        <w:t>1</w:t>
      </w:r>
      <w:r>
        <w:rPr>
          <w:sz w:val="21"/>
          <w:b/>
        </w:rPr>
        <w:t>、项目说明</w:t>
      </w:r>
    </w:p>
    <w:p>
      <w:pPr>
        <w:pStyle w:val="null3"/>
        <w:ind w:firstLine="420"/>
        <w:jc w:val="both"/>
      </w:pPr>
      <w:r>
        <w:rPr>
          <w:sz w:val="21"/>
        </w:rPr>
        <w:t>供应商须对本项目为单位的货物及服务进行整体响应，任何只对本项目其中一部分内容进行的响应都被视为无效响应。</w:t>
      </w:r>
    </w:p>
    <w:p>
      <w:pPr>
        <w:pStyle w:val="null3"/>
        <w:ind w:firstLine="420"/>
        <w:jc w:val="both"/>
      </w:pPr>
      <w:r>
        <w:rPr>
          <w:sz w:val="21"/>
        </w:rPr>
        <w:t>《用户需求书》中标注有“★”号的条款必须实质性响应，负偏离任一“★”号条款（不满足要求）将导致报价无效。</w:t>
      </w:r>
    </w:p>
    <w:p>
      <w:pPr>
        <w:pStyle w:val="null3"/>
        <w:ind w:firstLine="420"/>
        <w:jc w:val="both"/>
      </w:pPr>
      <w:r>
        <w:rPr>
          <w:sz w:val="21"/>
        </w:rPr>
        <w:t>《用户需求书》中标注有“▲”的为重要参数指标，投标人若有部分“▲”条款未响应或不满足，将导致其响应性评审扣分。</w:t>
      </w:r>
    </w:p>
    <w:p>
      <w:pPr>
        <w:pStyle w:val="null3"/>
        <w:ind w:firstLine="422"/>
        <w:jc w:val="both"/>
      </w:pPr>
      <w:r>
        <w:rPr>
          <w:sz w:val="21"/>
          <w:b/>
        </w:rPr>
        <w:t>2</w:t>
      </w:r>
      <w:r>
        <w:rPr>
          <w:sz w:val="21"/>
          <w:b/>
        </w:rPr>
        <w:t>、供应商所投的产品，符合节能产品、环境标志产品政策要求的，按附件中《政策适用性说明》格式提供说明。</w:t>
      </w:r>
    </w:p>
    <w:p>
      <w:pPr>
        <w:pStyle w:val="null3"/>
        <w:ind w:firstLine="422"/>
        <w:jc w:val="both"/>
        <w:outlineLvl w:val="0"/>
      </w:pPr>
      <w:r>
        <w:rPr>
          <w:sz w:val="21"/>
          <w:b/>
        </w:rPr>
        <w:t>一、项目概况</w:t>
      </w:r>
    </w:p>
    <w:p>
      <w:pPr>
        <w:pStyle w:val="null3"/>
        <w:spacing w:before="60" w:after="60"/>
        <w:jc w:val="both"/>
        <w:outlineLvl w:val="1"/>
      </w:pPr>
      <w:r>
        <w:rPr>
          <w:sz w:val="21"/>
          <w:b/>
        </w:rPr>
        <w:t>（一）项目名称</w:t>
      </w:r>
    </w:p>
    <w:p>
      <w:pPr>
        <w:pStyle w:val="null3"/>
        <w:ind w:firstLine="420"/>
        <w:jc w:val="both"/>
      </w:pPr>
      <w:r>
        <w:rPr>
          <w:sz w:val="21"/>
        </w:rPr>
        <w:t>广东省海洋发展规划研究中心——备份一体机与GPU服务器采购项目。</w:t>
      </w:r>
    </w:p>
    <w:p>
      <w:pPr>
        <w:pStyle w:val="null3"/>
        <w:spacing w:before="60" w:after="60"/>
        <w:jc w:val="both"/>
        <w:outlineLvl w:val="1"/>
      </w:pPr>
      <w:r>
        <w:rPr>
          <w:sz w:val="21"/>
          <w:b/>
        </w:rPr>
        <w:t>（二）服务地点</w:t>
      </w:r>
    </w:p>
    <w:p>
      <w:pPr>
        <w:pStyle w:val="null3"/>
        <w:jc w:val="both"/>
      </w:pPr>
      <w:r>
        <w:rPr>
          <w:sz w:val="21"/>
        </w:rPr>
        <w:t xml:space="preserve">    </w:t>
      </w:r>
      <w:r>
        <w:rPr>
          <w:sz w:val="21"/>
        </w:rPr>
        <w:t>广东省广州市。</w:t>
      </w:r>
    </w:p>
    <w:p>
      <w:pPr>
        <w:pStyle w:val="null3"/>
        <w:spacing w:before="60" w:after="60"/>
        <w:jc w:val="both"/>
        <w:outlineLvl w:val="1"/>
      </w:pPr>
      <w:r>
        <w:rPr>
          <w:sz w:val="21"/>
          <w:b/>
        </w:rPr>
        <w:t>（三）采购预算</w:t>
      </w:r>
    </w:p>
    <w:p>
      <w:pPr>
        <w:pStyle w:val="null3"/>
        <w:ind w:firstLine="420"/>
        <w:jc w:val="both"/>
      </w:pPr>
      <w:r>
        <w:rPr>
          <w:sz w:val="21"/>
        </w:rPr>
        <w:t>本项目采购预算为人民币127万元。其中</w:t>
      </w:r>
      <w:r>
        <w:rPr>
          <w:sz w:val="21"/>
        </w:rPr>
        <w:t>GPU</w:t>
      </w:r>
      <w:r>
        <w:rPr>
          <w:sz w:val="21"/>
        </w:rPr>
        <w:t>服务器数量三台，总费用</w:t>
      </w:r>
      <w:r>
        <w:rPr>
          <w:sz w:val="21"/>
        </w:rPr>
        <w:t>84</w:t>
      </w:r>
      <w:r>
        <w:rPr>
          <w:sz w:val="21"/>
        </w:rPr>
        <w:t>万元；备份一体机一台，费用</w:t>
      </w:r>
      <w:r>
        <w:rPr>
          <w:sz w:val="21"/>
        </w:rPr>
        <w:t>43</w:t>
      </w:r>
      <w:r>
        <w:rPr>
          <w:sz w:val="21"/>
        </w:rPr>
        <w:t>万元。</w:t>
      </w:r>
    </w:p>
    <w:p>
      <w:pPr>
        <w:pStyle w:val="null3"/>
        <w:jc w:val="both"/>
        <w:outlineLvl w:val="1"/>
      </w:pPr>
      <w:r>
        <w:rPr>
          <w:sz w:val="21"/>
          <w:b/>
        </w:rPr>
        <w:t>（四）服务期限</w:t>
      </w:r>
    </w:p>
    <w:p>
      <w:pPr>
        <w:pStyle w:val="null3"/>
        <w:ind w:firstLine="420"/>
        <w:jc w:val="both"/>
      </w:pPr>
      <w:r>
        <w:rPr>
          <w:sz w:val="21"/>
        </w:rPr>
        <w:t>本项目服务期限为合同签订之日起至项目全部实施完毕并通过最终验收为止，项目工期不超过2024年12月30日。</w:t>
      </w:r>
    </w:p>
    <w:p>
      <w:pPr>
        <w:pStyle w:val="null3"/>
        <w:ind w:firstLine="422"/>
        <w:jc w:val="both"/>
      </w:pPr>
      <w:r>
        <w:rPr>
          <w:sz w:val="21"/>
          <w:b/>
        </w:rPr>
        <w:t>二、采购内容</w:t>
      </w:r>
      <w:r>
        <w:rPr>
          <w:sz w:val="21"/>
          <w:b/>
        </w:rPr>
        <w:t>与技术标准</w:t>
      </w:r>
    </w:p>
    <w:p>
      <w:pPr>
        <w:pStyle w:val="null3"/>
        <w:ind w:firstLine="420"/>
        <w:jc w:val="both"/>
      </w:pPr>
      <w:r>
        <w:rPr>
          <w:sz w:val="21"/>
        </w:rPr>
        <w:t>★</w:t>
      </w:r>
      <w:r>
        <w:rPr>
          <w:sz w:val="21"/>
        </w:rPr>
        <w:t>为了提升用户操作和运维的便利性，本项目采购的</w:t>
      </w:r>
      <w:r>
        <w:rPr>
          <w:sz w:val="21"/>
        </w:rPr>
        <w:t>GPU</w:t>
      </w:r>
      <w:r>
        <w:rPr>
          <w:sz w:val="21"/>
        </w:rPr>
        <w:t>服务器需内置虚拟化平台软件，并能够被单位现有的超融合云管平台“深信服</w:t>
      </w:r>
      <w:r>
        <w:rPr>
          <w:sz w:val="21"/>
        </w:rPr>
        <w:t>HCI680</w:t>
      </w:r>
      <w:r>
        <w:rPr>
          <w:sz w:val="21"/>
        </w:rPr>
        <w:t>版本”统一纳管，方便用户通过云管平台管理分配存储资源（需出具投标人承诺函以及相关截图证明材料，并加盖公章。如未提供证明材料，评标委员会可视为不满足）。</w:t>
      </w:r>
    </w:p>
    <w:p>
      <w:pPr>
        <w:pStyle w:val="null3"/>
        <w:ind w:firstLine="420"/>
        <w:jc w:val="both"/>
      </w:pPr>
      <w:r>
        <w:rPr>
          <w:sz w:val="21"/>
        </w:rPr>
        <w:t>★本项目不允许分包，如供应商在投标</w:t>
      </w:r>
      <w:r>
        <w:rPr>
          <w:sz w:val="21"/>
        </w:rPr>
        <w:t>/</w:t>
      </w:r>
      <w:r>
        <w:rPr>
          <w:sz w:val="21"/>
        </w:rPr>
        <w:t>响应文件中未出现《分包协议意向书》，则视为未采取分包。</w:t>
      </w:r>
    </w:p>
    <w:p>
      <w:pPr>
        <w:pStyle w:val="null3"/>
        <w:ind w:firstLine="420"/>
        <w:jc w:val="both"/>
      </w:pPr>
      <w:r>
        <w:rPr>
          <w:sz w:val="21"/>
        </w:rPr>
        <w:t>★投标人须承诺所投设备均符合国家强制性要求。（投标时提供承诺，可参照“投标（响应）文件格式”中《承诺函》格式）。</w:t>
      </w:r>
    </w:p>
    <w:p>
      <w:pPr>
        <w:pStyle w:val="null3"/>
        <w:ind w:firstLine="420"/>
        <w:jc w:val="both"/>
      </w:pPr>
      <w:r>
        <w:rPr>
          <w:sz w:val="21"/>
        </w:rPr>
        <w:t>★投标人须承诺本项目所投设备均符合国家相关法律法规要求，如所投设备属于</w:t>
      </w:r>
      <w:r>
        <w:rPr>
          <w:sz w:val="21"/>
        </w:rPr>
        <w:t>“中国强制性产品认证目录”（</w:t>
      </w:r>
      <w:r>
        <w:rPr>
          <w:sz w:val="21"/>
        </w:rPr>
        <w:t>CCC</w:t>
      </w:r>
      <w:r>
        <w:rPr>
          <w:sz w:val="21"/>
        </w:rPr>
        <w:t>认证），供货时提供相关证明（提供在</w:t>
      </w:r>
      <w:r>
        <w:rPr>
          <w:sz w:val="21"/>
        </w:rPr>
        <w:t>http://cx.cnca.cn/</w:t>
      </w:r>
      <w:r>
        <w:rPr>
          <w:sz w:val="21"/>
        </w:rPr>
        <w:t>查询的产品的证书编号及查询结果截图）。（投标时提供承诺，可参照“投标文件格式”中《承诺函》格式）。</w:t>
      </w:r>
    </w:p>
    <w:p>
      <w:pPr>
        <w:pStyle w:val="null3"/>
        <w:spacing w:after="120"/>
        <w:ind w:left="420"/>
        <w:jc w:val="both"/>
      </w:pPr>
      <w:r>
        <w:rPr>
          <w:sz w:val="21"/>
          <w:b/>
        </w:rPr>
        <w:t>（一）项目采购清单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1102"/>
        <w:gridCol w:w="3051"/>
        <w:gridCol w:w="1271"/>
        <w:gridCol w:w="2882"/>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采购内容</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数量（台）</w:t>
            </w:r>
          </w:p>
        </w:tc>
        <w:tc>
          <w:tcPr>
            <w:tcW w:type="dxa" w:w="28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单价最高预算（万元）</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GPU</w:t>
            </w:r>
            <w:r>
              <w:rPr>
                <w:sz w:val="21"/>
              </w:rPr>
              <w:t>服务器</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备份一体机（核心产品）</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r>
    </w:tbl>
    <w:p>
      <w:pPr>
        <w:pStyle w:val="null3"/>
        <w:ind w:firstLine="420"/>
        <w:jc w:val="both"/>
      </w:pPr>
      <w:r>
        <w:rPr>
          <w:sz w:val="21"/>
          <w:b/>
        </w:rPr>
        <w:t>（二）</w:t>
      </w:r>
      <w:r>
        <w:rPr>
          <w:sz w:val="21"/>
          <w:b/>
        </w:rPr>
        <w:t>GPU</w:t>
      </w:r>
      <w:r>
        <w:rPr>
          <w:sz w:val="21"/>
          <w:b/>
        </w:rPr>
        <w:t>服务器技术参数要求</w:t>
      </w:r>
    </w:p>
    <w:tbl>
      <w:tblPr>
        <w:tblW w:w="0" w:type="auto"/>
        <w:tblBorders>
          <w:top w:val="single"/>
          <w:left w:val="single"/>
          <w:bottom w:val="single"/>
          <w:right w:val="single"/>
          <w:insideH w:val="single"/>
          <w:insideV w:val="single"/>
        </w:tblBorders>
      </w:tblPr>
      <w:tblGrid>
        <w:gridCol w:w="1175"/>
        <w:gridCol w:w="1426"/>
        <w:gridCol w:w="1258"/>
        <w:gridCol w:w="1510"/>
        <w:gridCol w:w="2936"/>
      </w:tblGrid>
      <w:tr>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b/>
              </w:rPr>
              <w:t>序号</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指标分类</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一级指标</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b/>
              </w:rPr>
              <w:t>二级指标</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b/>
              </w:rPr>
              <w:t>指标要求</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CPU</w:t>
            </w:r>
            <w:r>
              <w:br/>
            </w:r>
            <w:r>
              <w:rPr>
                <w:sz w:val="20"/>
              </w:rPr>
              <w:t>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w:t>
            </w:r>
            <w:r>
              <w:rPr>
                <w:sz w:val="20"/>
              </w:rPr>
              <w:t xml:space="preserve">CPU </w:t>
            </w:r>
            <w:r>
              <w:rPr>
                <w:sz w:val="20"/>
              </w:rPr>
              <w:t>信息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配置≥2颗海光C86-3G处理器，每颗CPU核心数≥32核，每颗CPU线程数≥64线程，每颗CPU主频≥2.3GHz，每颗CPU三级缓存≥64MB，L3缓存≥64MB，支持内存的最高速率≥3200MHz、通道数≥8和位宽64bit</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主板规格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★主板支持的CPU 和内存情况</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主板支持≥2颗海光C86-3G处理器，支持16GB、32GB、64GB等规格的内存，最大支持≥32条内存</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★主板内存槽数量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非板载内存的可扩展插槽数量≥32 个</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★主板存储接口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板载存储接口提供支持 SATA、M.2、U.2 等存储接口</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★PCIe 插槽接口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 PCIe4.0 或以上的高速串行计算机扩展总线标准，PCIe 的接口速率与位宽需保证向下兼容</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★主板PCIe插槽数量及规格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可支持≥12个PCIe4.0 x16插槽（可支持≥8个双宽x16插槽和≥4个单宽x16插槽）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主板OCP 插</w:t>
            </w:r>
            <w:r>
              <w:br/>
            </w:r>
            <w:r>
              <w:rPr>
                <w:sz w:val="20"/>
              </w:rPr>
              <w:t xml:space="preserve"> 槽数量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支持OCP3.0 及以上插槽的数量不少于 1 个</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内存规格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配置≥8条</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★内存规格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≥32GB DDR4  3200MHz内存</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★内存通道</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每CPU支持≥8个内存通道，每通道支持 2DPC</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硬盘类型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支持SAS/SATA硬盘、SSD混插，支持NVMe U.2 SSD</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★硬磁盘实配容量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、配置≥4块 16TB 3.5吋7.2K 6Gb SATA硬盘 ； 2、配置≥1块960G 2.5 SATA 6Gb R SSD硬盘</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硬盘接口类型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硬磁盘提供SATA 3.0或以上接口；</w:t>
            </w:r>
            <w:r>
              <w:br/>
            </w:r>
            <w:r>
              <w:rPr>
                <w:sz w:val="20"/>
              </w:rPr>
              <w:t xml:space="preserve"> b)固态盘SATA 3.0接口</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★硬盘实配数量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、配置≥4块 16TB 3.5吋7.2K 6Gb SATA硬盘 ； 2、配置≥1块960G 2.5 SATA 6Gb R SSD硬盘</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★硬盘插槽数量及规格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最大支持≥24个3.5寸热插拔硬盘，可支持SAS/SATA硬盘、SSD混插，最大支持≥16个NVMe U.2 SSD</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RAID</w:t>
            </w:r>
            <w:r>
              <w:br/>
            </w:r>
            <w:r>
              <w:rPr>
                <w:sz w:val="20"/>
              </w:rPr>
              <w:t>卡规</w:t>
            </w:r>
            <w:r>
              <w:rPr>
                <w:sz w:val="20"/>
                <w:color w:val="000000"/>
              </w:rPr>
              <w:t>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卡支持的 SAS接口数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配置≥4GB SAS 8口 RAID控制器，支持RAID 0/1/5/10/50/60，支持电容掉电保护，RAID状态迁移、RAID配置记忆等功能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网络规格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★网口速率和数量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、配备1G网口数量不少于2个，且网口速率不少于1GE</w:t>
            </w:r>
            <w:r>
              <w:br/>
            </w:r>
            <w:r>
              <w:rPr>
                <w:sz w:val="20"/>
              </w:rPr>
              <w:t xml:space="preserve"> 2、配备10G网口数量不少于2个，且网口速率不少于10GE</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独立网卡网口数量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 xml:space="preserve">、配置≥1块双口1G RJ45网卡  </w:t>
            </w:r>
            <w:r>
              <w:br/>
            </w:r>
            <w:r>
              <w:rPr>
                <w:sz w:val="20"/>
              </w:rPr>
              <w:t xml:space="preserve"> 2、配置≥1块双口10G SFP+网卡（满配10G SFP+多模光模块）；</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独立网卡接口类型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RJ45</w:t>
            </w:r>
            <w:r>
              <w:rPr>
                <w:sz w:val="20"/>
              </w:rPr>
              <w:t>、SFP+</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外部接口规格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★显示接口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配备VGA显示接口，且VGA接口≥2个</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★USB 接口</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配备USB接口，且USB接口≥4 个</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电源规格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电源冗余模式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支持3+1/2+2冗余</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★电源模块数量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★电源功率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电源模块功率≥2700W电源，满足处理器满载时的需求</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电源指示灯</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配备电源指示灯，指示待机、工作异常等状态</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整机规格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★外观和结构</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服务器的零部件应紧固无松动，可插拔部件应可靠连接，开关、按钮和其它控制部件应灵活可靠，布局应方便使用；</w:t>
            </w:r>
            <w:r>
              <w:br/>
            </w:r>
            <w:r>
              <w:rPr>
                <w:sz w:val="20"/>
              </w:rPr>
              <w:t xml:space="preserve"> b) 产品表面不应有明显的凹痕、划伤、裂缝、变形和污染等。表面涂层均匀，不应起泡、龟裂、脱落和磨损，金属零部件无锈蚀及其它机械损伤；</w:t>
            </w:r>
            <w:r>
              <w:br/>
            </w:r>
            <w:r>
              <w:rPr>
                <w:sz w:val="20"/>
              </w:rPr>
              <w:t xml:space="preserve"> c) 产品表面说明功能的文字、符号和标志应清晰、端正且牢固；</w:t>
            </w:r>
            <w:r>
              <w:br/>
            </w:r>
            <w:r>
              <w:rPr>
                <w:sz w:val="20"/>
              </w:rPr>
              <w:t xml:space="preserve"> d) 应在服务器的显著位置提供运行状态的指示功能，并在随机文件中明确具体含义；</w:t>
            </w:r>
            <w:r>
              <w:br/>
            </w:r>
            <w:r>
              <w:rPr>
                <w:sz w:val="20"/>
              </w:rPr>
              <w:t xml:space="preserve"> e) 机架、机箱的尺寸应符合通用机柜的安装要求，插入总线插座的电路板接口外形尺寸应符合有关总线标准的规定，将机箱固定在机柜上，机箱底面最大下垂变形不得干涉相邻机体；</w:t>
            </w:r>
            <w:r>
              <w:br/>
            </w:r>
            <w:r>
              <w:rPr>
                <w:sz w:val="20"/>
              </w:rPr>
              <w:t xml:space="preserve"> f) 高密度服务器应给出CPU 个数与</w:t>
            </w:r>
            <w:r>
              <w:rPr>
                <w:sz w:val="20"/>
                <w:color w:val="000000"/>
              </w:rPr>
              <w:t>机柜高度；</w:t>
            </w:r>
            <w:r>
              <w:br/>
            </w:r>
            <w:r>
              <w:rPr>
                <w:sz w:val="20"/>
                <w:color w:val="000000"/>
              </w:rPr>
              <w:t xml:space="preserve"> g) 服务器尺寸具体要求在随机文件中明确</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★尺寸（高</w:t>
            </w:r>
            <w:r>
              <w:br/>
            </w:r>
            <w:r>
              <w:rPr>
                <w:sz w:val="20"/>
              </w:rPr>
              <w:t xml:space="preserve"> ×宽×深）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机箱尺寸≤175.8mm（高）×≤432mm（宽）×≤850mm（深）</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服务器导轨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配置服务器上架导轨</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个数与机柜高度单位(U)比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CPU</w:t>
            </w:r>
            <w:r>
              <w:rPr>
                <w:sz w:val="20"/>
              </w:rPr>
              <w:t>个数2，机柜高4U</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★环境适应性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气候环境适应性应符合GB/T 9813.3 的有关规定，工作温度 10～35℃，贮存运输温度-40～55℃；工作相对湿度 35%～80%，贮存运输相对湿度 20％～93%（40℃）；大气压 86～106kPa</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★机械环境适应性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机械环境适应性应符合GB/T 9813.3 的有关规定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★噪声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符合GB/T 9813.3 的有关规定，在产品说明中给出具体测试值塔式服务器噪声在空闲状态下不大于 50dB</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 xml:space="preserve">AI </w:t>
            </w:r>
            <w:r>
              <w:rPr>
                <w:sz w:val="20"/>
              </w:rPr>
              <w:t>计算单元规格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AI </w:t>
            </w:r>
            <w:r>
              <w:rPr>
                <w:sz w:val="20"/>
              </w:rPr>
              <w:t>计算单元</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配置≥1块 NVIDIA L40 48GB 300W 双宽 GPU卡，每张GPU卡CUDA核心≥18176，每张GPU卡支持FP16、BF16、FP32、FP8、INT8等计算精度，每张GPU卡FP32 算力≥90.5 TFLOPS，FP16算力≥181 TFLOPS，FP8算力≥362 TFLOPS,INT8算力≥362 TOPS；</w:t>
            </w:r>
            <w:r>
              <w:br/>
            </w:r>
            <w:r>
              <w:rPr>
                <w:sz w:val="20"/>
              </w:rPr>
              <w:t xml:space="preserve"> 整机最大可支持8块双宽GPU加速卡，实际运行带宽均为PCIe 4.0 x16，全部GPU卡须安装在同一个服务器GPU主板（非多计算节点堆叠方式）</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机柜规格</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★机柜尺寸</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高2000mm，宽600mm，深12000mm</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机柜电源规格</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机柜电源支持集中供电，电源输入不少于 2 路且支持自动切换；</w:t>
            </w:r>
            <w:r>
              <w:br/>
            </w:r>
            <w:r>
              <w:rPr>
                <w:sz w:val="20"/>
              </w:rPr>
              <w:t xml:space="preserve"> b) 机柜电源模块支持 N+1 冗余配置，电源模块可独立更换</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主板功能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★主板外部接口种类</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支持USB、显示、管理等接口，如：VGA、DP、HDMI、USB3.0、PS/2 接口、BMC 管理端口</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主板防烧板设计</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支持主板防烧板设计，保证电源故障后不扩散</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扩展功能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支持存储功能卡、显示功能卡、运算加速功能卡及网络功能卡等扩展功能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网络功能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★网络功能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支持网络连接、网络访问、数据交换和网络管控功能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CPU</w:t>
            </w:r>
            <w:r>
              <w:br/>
            </w:r>
            <w:r>
              <w:rPr>
                <w:sz w:val="20"/>
              </w:rPr>
              <w:t>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★计算处理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支持通用计算及虚拟化功能。处理器需集成整型计算单元、浮点计算单元、内存控制器、I/O 模块等，处理器与存储部件、网络部件、I/O部件等组成计算系统，提供数据处理、网络接入等计算相关功能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★密码算法实现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芯片应符合 GM/T 0028 的相关规定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内存校验</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支持内存校验或内存增强型纠错功能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RAID</w:t>
            </w:r>
            <w:r>
              <w:br/>
            </w:r>
            <w:r>
              <w:rPr>
                <w:sz w:val="20"/>
              </w:rPr>
              <w:t>卡功 能（若支持 RAID</w:t>
            </w:r>
            <w:r>
              <w:br/>
            </w:r>
            <w:r>
              <w:rPr>
                <w:sz w:val="20"/>
              </w:rPr>
              <w:t xml:space="preserve"> 卡）</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w:t>
            </w:r>
            <w:r>
              <w:br/>
            </w:r>
            <w:r>
              <w:rPr>
                <w:sz w:val="20"/>
              </w:rPr>
              <w:t xml:space="preserve"> RAID 级别支持</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模式支持RAID 0/1/5/10/50/60</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w:t>
            </w:r>
            <w:r>
              <w:br/>
            </w:r>
            <w:r>
              <w:rPr>
                <w:sz w:val="20"/>
              </w:rPr>
              <w:t xml:space="preserve"> BBU 单元</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卡支持电容</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电源功能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★电源热插拔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整机电源模块应具备热插拔功能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★电源过流保护</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支持过流及短路保护的功能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整机功能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★散热方式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支持风冷散热方式</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其他功能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支持关键部件冗余（包括电源、风扇等）；</w:t>
            </w:r>
            <w:r>
              <w:br/>
            </w:r>
            <w:r>
              <w:rPr>
                <w:sz w:val="20"/>
              </w:rPr>
              <w:t xml:space="preserve"> b) 支持熔断保护与恢复功能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管理系统功能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★BMC 固件基础功能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1) </w:t>
            </w:r>
            <w:r>
              <w:rPr>
                <w:sz w:val="20"/>
              </w:rPr>
              <w:t>支持DHCP 设置网络功能；</w:t>
            </w:r>
            <w:r>
              <w:br/>
            </w:r>
            <w:r>
              <w:rPr>
                <w:sz w:val="20"/>
              </w:rPr>
              <w:t xml:space="preserve"> 2)支持静态IP 设置网络功能；</w:t>
            </w:r>
            <w:r>
              <w:br/>
            </w:r>
            <w:r>
              <w:rPr>
                <w:sz w:val="20"/>
              </w:rPr>
              <w:t xml:space="preserve"> 3)支持设备日志记录，包括但不限于登录日志、操作日志和报警日志等功能；</w:t>
            </w:r>
            <w:r>
              <w:br/>
            </w:r>
            <w:r>
              <w:rPr>
                <w:sz w:val="20"/>
              </w:rPr>
              <w:t xml:space="preserve"> 4)支持日志信息导出和记录删除功能；</w:t>
            </w:r>
            <w:r>
              <w:br/>
            </w:r>
            <w:r>
              <w:rPr>
                <w:sz w:val="20"/>
              </w:rPr>
              <w:t xml:space="preserve"> 5)支持通过管理接口向外输出准确的报警信息功能；</w:t>
            </w:r>
            <w:r>
              <w:br/>
            </w:r>
            <w:r>
              <w:rPr>
                <w:sz w:val="20"/>
              </w:rPr>
              <w:t xml:space="preserve"> 6)设备的BMC 管理软件应能够按报警的严重程度进行区分；</w:t>
            </w:r>
            <w:r>
              <w:br/>
            </w:r>
            <w:r>
              <w:rPr>
                <w:sz w:val="20"/>
              </w:rPr>
              <w:t xml:space="preserve"> 7)支持IPMI2.0、SNMP 或Redfish等接口功能；</w:t>
            </w:r>
            <w:r>
              <w:br/>
            </w:r>
            <w:r>
              <w:rPr>
                <w:sz w:val="20"/>
              </w:rPr>
              <w:t xml:space="preserve"> 8)支持键盘、鼠标和视频的重定向、文本控制台的重定向、远程虚拟媒体、高可靠的硬件监控和管理功能；</w:t>
            </w:r>
            <w:r>
              <w:br/>
            </w:r>
            <w:r>
              <w:rPr>
                <w:sz w:val="20"/>
              </w:rPr>
              <w:t xml:space="preserve"> 9)支持基于网络开启、关闭和重启设备的功能，并查询当前设备开机运行状态；</w:t>
            </w:r>
            <w:r>
              <w:br/>
            </w:r>
            <w:r>
              <w:rPr>
                <w:sz w:val="20"/>
              </w:rPr>
              <w:t xml:space="preserve"> 10)支持故障提示功能，并可通过接口读取服务器故障信息；</w:t>
            </w:r>
            <w:r>
              <w:br/>
            </w:r>
            <w:r>
              <w:rPr>
                <w:sz w:val="20"/>
              </w:rPr>
              <w:t xml:space="preserve"> 11)支持基于网络的固件更新功能，包括BMC 和BIOS 等；</w:t>
            </w:r>
            <w:r>
              <w:br/>
            </w:r>
            <w:r>
              <w:rPr>
                <w:sz w:val="20"/>
              </w:rPr>
              <w:t xml:space="preserve"> 12)支持基于网络安装操作系统的功能，并可通过网络控制台访问设备；</w:t>
            </w:r>
            <w:r>
              <w:br/>
            </w:r>
            <w:r>
              <w:rPr>
                <w:sz w:val="20"/>
              </w:rPr>
              <w:t xml:space="preserve"> 13)支持通过本地的硬盘或光驱等存储设备，基于网络完成设备的操作系统安装功能；</w:t>
            </w:r>
            <w:r>
              <w:br/>
            </w:r>
            <w:r>
              <w:rPr>
                <w:sz w:val="20"/>
              </w:rPr>
              <w:t xml:space="preserve"> 14)支持通过浏览器打开管理界面并登录功能；</w:t>
            </w:r>
            <w:r>
              <w:br/>
            </w:r>
            <w:r>
              <w:rPr>
                <w:sz w:val="20"/>
              </w:rPr>
              <w:t xml:space="preserve"> 15)支持设置口令策略功能；</w:t>
            </w:r>
            <w:r>
              <w:br/>
            </w:r>
            <w:r>
              <w:rPr>
                <w:sz w:val="20"/>
              </w:rPr>
              <w:t xml:space="preserve"> 16)支持访问权限设置功能，并通过日志记录访问事件；</w:t>
            </w:r>
            <w:r>
              <w:br/>
            </w:r>
            <w:r>
              <w:rPr>
                <w:sz w:val="20"/>
              </w:rPr>
              <w:t xml:space="preserve"> 17)支持对出厂默认的用户名及口令进行安全保护功能，并提供默认口令修改提示；</w:t>
            </w:r>
            <w:r>
              <w:br/>
            </w:r>
            <w:r>
              <w:rPr>
                <w:sz w:val="20"/>
              </w:rPr>
              <w:t xml:space="preserve"> 18)支持读取设备主板的工作环境温度功能；</w:t>
            </w:r>
            <w:r>
              <w:br/>
            </w:r>
            <w:r>
              <w:rPr>
                <w:sz w:val="20"/>
              </w:rPr>
              <w:t xml:space="preserve"> 19)支持读取服务器CPU 等核心器件的温度功能；</w:t>
            </w:r>
            <w:r>
              <w:br/>
            </w:r>
            <w:r>
              <w:rPr>
                <w:sz w:val="20"/>
              </w:rPr>
              <w:t xml:space="preserve"> 20)支持通过外部管理工具进行 BMC</w:t>
            </w:r>
            <w:r>
              <w:rPr>
                <w:sz w:val="20"/>
                <w:color w:val="000000"/>
              </w:rPr>
              <w:t>参数设置的功能，并可基于网络通过外部管理工具对BMC 进行管理；</w:t>
            </w:r>
            <w:r>
              <w:br/>
            </w:r>
            <w:r>
              <w:rPr>
                <w:sz w:val="20"/>
                <w:color w:val="000000"/>
              </w:rPr>
              <w:t xml:space="preserve"> 21)应支持固件版本查询、固件升级</w:t>
            </w:r>
            <w:r>
              <w:br/>
            </w:r>
            <w:r>
              <w:rPr>
                <w:sz w:val="20"/>
                <w:color w:val="000000"/>
              </w:rPr>
              <w:t xml:space="preserve"> 22)支持基于网络实现开关机和复位控制的功能；</w:t>
            </w:r>
            <w:r>
              <w:br/>
            </w:r>
            <w:r>
              <w:rPr>
                <w:sz w:val="20"/>
                <w:color w:val="000000"/>
              </w:rPr>
              <w:t xml:space="preserve"> 23)BMC 启动时间应不超过 180s，实现功能包括网络、IPMI、散热、传感器服务可用；</w:t>
            </w:r>
            <w:r>
              <w:br/>
            </w:r>
            <w:r>
              <w:rPr>
                <w:sz w:val="20"/>
                <w:color w:val="000000"/>
              </w:rPr>
              <w:t xml:space="preserve"> 24)支持BMC 固件设置的恢复出厂功能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BMC </w:t>
            </w:r>
            <w:r>
              <w:rPr>
                <w:sz w:val="20"/>
              </w:rPr>
              <w:t>固件增强功能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）网络控制、安装提供图形访问界面网络；</w:t>
            </w:r>
            <w:r>
              <w:br/>
            </w:r>
            <w:r>
              <w:rPr>
                <w:sz w:val="20"/>
              </w:rPr>
              <w:t xml:space="preserve"> b）设备的BMC 管理软件界面显示报警信息，且能够按报警的严重程度进行区分；</w:t>
            </w:r>
            <w:r>
              <w:br/>
            </w:r>
            <w:r>
              <w:rPr>
                <w:sz w:val="20"/>
              </w:rPr>
              <w:t xml:space="preserve"> c）Web GUI 采用 BMC 端口直连，平均响应时间为不大于 1s</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★BIOS 固件基础功能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）支持查看固件版本、内存信息、主板信息、处理器信息和系统时间信息功能；</w:t>
            </w:r>
            <w:r>
              <w:br/>
            </w:r>
            <w:r>
              <w:rPr>
                <w:sz w:val="20"/>
              </w:rPr>
              <w:t xml:space="preserve"> b）支持上电初始化界面显示 CPU 信息、内存信息、固件版本和部分快捷键信息功能；</w:t>
            </w:r>
            <w:r>
              <w:br/>
            </w:r>
            <w:r>
              <w:rPr>
                <w:sz w:val="20"/>
              </w:rPr>
              <w:t xml:space="preserve"> c）支持设置界面中英文显示切换功能；</w:t>
            </w:r>
            <w:r>
              <w:br/>
            </w:r>
            <w:r>
              <w:rPr>
                <w:sz w:val="20"/>
              </w:rPr>
              <w:t xml:space="preserve"> d）支持查看 PCIe 设备信息，SATA设备信息功能；</w:t>
            </w:r>
            <w:r>
              <w:br/>
            </w:r>
            <w:r>
              <w:rPr>
                <w:sz w:val="20"/>
              </w:rPr>
              <w:t xml:space="preserve"> e）支持操作系统安装和引导功能，应并向操作系统提供计算机主板信息和服务接口；</w:t>
            </w:r>
            <w:r>
              <w:br/>
            </w:r>
            <w:r>
              <w:rPr>
                <w:sz w:val="20"/>
              </w:rPr>
              <w:t xml:space="preserve"> f）支持设置启动顺序，并按照设置的启动顺序启动功能；</w:t>
            </w:r>
            <w:r>
              <w:br/>
            </w:r>
            <w:r>
              <w:rPr>
                <w:sz w:val="20"/>
              </w:rPr>
              <w:t xml:space="preserve"> g）支持安全启动功能；</w:t>
            </w:r>
            <w:r>
              <w:br/>
            </w:r>
            <w:r>
              <w:rPr>
                <w:sz w:val="20"/>
              </w:rPr>
              <w:t xml:space="preserve"> h）支持设置口令、修改口令、验证口令功能；</w:t>
            </w:r>
            <w:r>
              <w:br/>
            </w:r>
            <w:r>
              <w:rPr>
                <w:sz w:val="20"/>
              </w:rPr>
              <w:t xml:space="preserve"> i）支持板载显示控制或独立显卡的显示控制功能；</w:t>
            </w:r>
            <w:r>
              <w:br/>
            </w:r>
            <w:r>
              <w:rPr>
                <w:sz w:val="20"/>
              </w:rPr>
              <w:t xml:space="preserve"> j）支持 RAID 识别和启动功能；</w:t>
            </w:r>
            <w:r>
              <w:br/>
            </w:r>
            <w:r>
              <w:rPr>
                <w:sz w:val="20"/>
              </w:rPr>
              <w:t xml:space="preserve"> k）支持串口重定向功能；</w:t>
            </w:r>
            <w:r>
              <w:br/>
            </w:r>
            <w:r>
              <w:rPr>
                <w:sz w:val="20"/>
              </w:rPr>
              <w:t xml:space="preserve"> l）支持固件更新功能；</w:t>
            </w:r>
            <w:r>
              <w:br/>
            </w:r>
            <w:r>
              <w:rPr>
                <w:sz w:val="20"/>
              </w:rPr>
              <w:t xml:space="preserve"> m）支持 BIOS 固件设置的恢复出厂功能；</w:t>
            </w:r>
            <w:r>
              <w:br/>
            </w:r>
            <w:r>
              <w:rPr>
                <w:sz w:val="20"/>
              </w:rPr>
              <w:t xml:space="preserve"> n）支持网络引导启用和关闭功能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★远程控制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支持远程关机和重新启动功能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操作系统及驱动功能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★操作系统及驱动的升级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支持通过网络、闪存盘对操作系统、驱动进行升级</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★操作系统功能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支持访问控制、安全审计、网络接入鉴别等功能；</w:t>
            </w:r>
            <w:r>
              <w:br/>
            </w:r>
            <w:r>
              <w:rPr>
                <w:sz w:val="20"/>
              </w:rPr>
              <w:t xml:space="preserve"> b) 操作系统其他功能应满足操作</w:t>
            </w:r>
            <w:r>
              <w:br/>
            </w:r>
            <w:r>
              <w:rPr>
                <w:sz w:val="20"/>
              </w:rPr>
              <w:t xml:space="preserve"> 系统政府采购需求标准中加*的指</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中文信息处理功能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★中文信息处理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 18030 的有关规定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机柜功能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机柜管理功能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机柜管理系统包括服务器节点BMC管理系统、机柜管理系统或交换节点管理系统</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机柜通信方式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若配备机柜管理板可实现包括：资产管理、电源模块、功耗管理和液冷漏液检测等功能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多集群作业管理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支持多集群作业管理功能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关键部件安全要求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★关键部件安全要求</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和操作系统等关键部件应当符合安全可靠测评要求</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固件安全要求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★故障检测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支持故障检测功能，可以检测到具体的FRU（内存、硬盘等）的故障并发出告警</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内存故障智能预测和自愈修复</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支持内存故障智能预测和自愈修 复，提前自动硬隔离，避免内存故障引起的非预期宕机以及内存寿命的降低</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硬盘故障智能预测</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支持硬盘故障智能预测，基于故障模型预测出硬盘的故障</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PCIe </w:t>
            </w:r>
            <w:r>
              <w:rPr>
                <w:sz w:val="20"/>
              </w:rPr>
              <w:t>链路故障智能诊断</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支持PCIe 链路故障智能诊断，判断出现故障的PCIe 链路</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内存故障隔离</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支持内存故障隔离，在内存产生CE故障时，内存地址被隔离成功，服务器正常运行，业务系统不中断</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内存、PCIe卡的故障精准告警功能</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支持内存、PCIe 卡的故障精准告警功能，触发告警并明确指示具体的故障位置</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异常下电关键数据保护</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支持异常下电关键数据保护，支持数据备份恢复机制，防止系统异常掉电导致的数据文件丢失</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BMC/BIOS</w:t>
            </w:r>
            <w:r>
              <w:br/>
            </w:r>
            <w:r>
              <w:rPr>
                <w:sz w:val="20"/>
              </w:rPr>
              <w:t>固件双镜像保护</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支持BMC/BIOS 固件双镜像保护，运行异常时自动切换到备份镜像运 行，提升系统稳定性</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核重启隔离</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支持CPU 核发生不可纠正故障后，重启后由BIOS 隔离该故障核，OS不可见，防止 OS 再次使用导致系统异常，核 0 除外</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内存地址隔离</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在硬件支持的情况下，支持故障内存地址重启后隔离</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内存存储阵列替换</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在硬件支持的情况下，支持故障内存存储阵列替换</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安全启动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支持执行环境要求在整个系统启动的过程中，系统应提供一个机制来保护平台的完整性</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系统安全要求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syslog </w:t>
            </w:r>
            <w:r>
              <w:rPr>
                <w:sz w:val="20"/>
              </w:rPr>
              <w:t>双向鉴别</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支持系统日志双向鉴别，对服务器根证书和客户端根证书进行鉴别</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★弱口令字典检查</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支持弱口令字典检查功能，出现在弱口令字典中的字符串不能被设置为用户口令</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★白名单访问控制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支持基于时间、IP 或 MAC 白名单访问控制</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双因素鉴别</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支持使用客户端证书和证书密码的双因素鉴别方式登录管理系统</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★二次鉴别</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支持二次鉴别功能。对于用户配置、权限配置、公钥导入等重要的管理操作，已登录用户应通过二次鉴别后，才能执行操作</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匿名化用户告警接收邮箱</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支持带外管理系统中的用户告警接收邮箱进行匿名化处理</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★密码证书安全加密存储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支持对带外管理系统中的用户口令和证书等敏感信息进行加密存储，禁止使用私有的和业界已知不安全的密码算法</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★敏感信息安全加密传输</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支持使用安全的传输加密协议（如SSH 或 HTTPS 等）传输用户的敏感信息</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信息安全要求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★研发过程安全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供应商承诺，生产商已建立从需求、设计、开发、测试、维护端到端的开发流程管理机制，输出和保存开发流程中每个阶段的产品需求清单、设计文档、开发文档、测试记录等材料，保证各个流程可追溯</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漏洞管理</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供应商承诺，生产商已建立漏洞全量视图，保证产品版本涉及到的所有漏洞(如驱动程序、BMC 软件等)都可以查看</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网络关键设备服务器要求</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作为网络关键设备的服务器应符合 GB 40050 的相关规定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增强要求</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嵌入物理可信根，实现设备的信任链构建；</w:t>
            </w:r>
            <w:r>
              <w:br/>
            </w:r>
            <w:r>
              <w:rPr>
                <w:sz w:val="20"/>
              </w:rPr>
              <w:t xml:space="preserve"> b) 支持可信平台控制模块(TPCM)；</w:t>
            </w:r>
            <w:r>
              <w:br/>
            </w:r>
            <w:r>
              <w:rPr>
                <w:sz w:val="20"/>
              </w:rPr>
              <w:t xml:space="preserve"> c) 支持在固件系统（BMC、BIOS）启动前实现对固件度量的功能，支持物理可信根对BMC 固件或BIOS 固件进行完整性检测、更新和恢复；</w:t>
            </w:r>
            <w:r>
              <w:rPr>
                <w:sz w:val="20"/>
                <w:color w:val="000000"/>
              </w:rPr>
              <w:t xml:space="preserve">d) </w:t>
            </w:r>
            <w:r>
              <w:rPr>
                <w:sz w:val="20"/>
                <w:color w:val="000000"/>
              </w:rPr>
              <w:t>支持对 CPU、网络控制器等关键处理器进行身份识别与度量的功 能；</w:t>
            </w:r>
            <w:r>
              <w:br/>
            </w:r>
            <w:r>
              <w:rPr>
                <w:sz w:val="20"/>
                <w:color w:val="000000"/>
              </w:rPr>
              <w:t xml:space="preserve"> e) 支持基于处理器或可信计算模块度量的功能；</w:t>
            </w:r>
            <w:r>
              <w:br/>
            </w:r>
            <w:r>
              <w:rPr>
                <w:sz w:val="20"/>
                <w:color w:val="000000"/>
              </w:rPr>
              <w:t xml:space="preserve"> f) 所采用的可信密码模块接口应符合GM/T 0012 的相关规定；</w:t>
            </w:r>
            <w:r>
              <w:br/>
            </w:r>
            <w:r>
              <w:rPr>
                <w:sz w:val="20"/>
                <w:color w:val="000000"/>
              </w:rPr>
              <w:t xml:space="preserve"> g) 可信安全管理模块、处理器等硬件载体应通过国家相关部门的认证和许可</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物理安全</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★物理安全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安全要求应符合GB 4943.1 的规定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限用物质的限量要</w:t>
            </w:r>
            <w:r>
              <w:br/>
            </w:r>
            <w:r>
              <w:rPr>
                <w:sz w:val="20"/>
              </w:rPr>
              <w:t xml:space="preserve"> 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★限用物质的限量要求</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限用物质的限量应符合GB/T 26572的要求</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CPU</w:t>
            </w:r>
            <w:r>
              <w:br/>
            </w:r>
            <w:r>
              <w:rPr>
                <w:sz w:val="20"/>
              </w:rPr>
              <w:t>性能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★CPU 主频</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≥2.3GHz</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★单CPU 核数</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★单CPU 末级缓存容量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≥64MB</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内存性能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单内存模</w:t>
            </w:r>
            <w:r>
              <w:br/>
            </w:r>
            <w:r>
              <w:rPr>
                <w:sz w:val="20"/>
              </w:rPr>
              <w:t xml:space="preserve"> 块容量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≥32GB</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★内存速率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≥3200MT/s</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存储性能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硬盘转速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安装的硬磁盘转速不小于 7200rpm</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RAID</w:t>
            </w:r>
            <w:r>
              <w:br/>
            </w:r>
            <w:r>
              <w:rPr>
                <w:sz w:val="20"/>
              </w:rPr>
              <w:t>卡性能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卡缓存容量大小</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配备RAID 卡且 RAID 卡有缓存容量，容量不少于4GB</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网络性能</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独立网卡</w:t>
            </w:r>
            <w:r>
              <w:br/>
            </w:r>
            <w:r>
              <w:rPr>
                <w:sz w:val="20"/>
              </w:rPr>
              <w:t xml:space="preserve"> 速率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≥10GE</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板载网卡</w:t>
            </w:r>
            <w:r>
              <w:br/>
            </w:r>
            <w:r>
              <w:rPr>
                <w:sz w:val="20"/>
              </w:rPr>
              <w:t xml:space="preserve"> 速率</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≥1GE</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电源</w:t>
            </w:r>
            <w:r>
              <w:br/>
            </w:r>
            <w:r>
              <w:rPr>
                <w:sz w:val="20"/>
              </w:rPr>
              <w:t xml:space="preserve"> 能耗</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★电源能耗</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符合GB/T 9813.3 的有关规定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部件兼容性要求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★内存兼容性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适配 3 种及以上厂商的内存产品，且均不低于产品支持的内存规格</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★固态存储兼容性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适配 3 种或以上厂商的固态存储产品，且均不低于产品支持的固态存储设备规格</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FC HBA </w:t>
            </w:r>
            <w:r>
              <w:rPr>
                <w:sz w:val="20"/>
              </w:rPr>
              <w:t>卡</w:t>
            </w:r>
            <w:r>
              <w:br/>
            </w:r>
            <w:r>
              <w:rPr>
                <w:sz w:val="20"/>
              </w:rPr>
              <w:t xml:space="preserve"> 兼容性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FC HBA </w:t>
            </w:r>
            <w:r>
              <w:rPr>
                <w:sz w:val="20"/>
              </w:rPr>
              <w:t>应适配两种或以上厂商产品</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卡兼</w:t>
            </w:r>
            <w:r>
              <w:br/>
            </w:r>
            <w:r>
              <w:rPr>
                <w:sz w:val="20"/>
              </w:rPr>
              <w:t xml:space="preserve"> 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卡应适配两种或以上厂商产品</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★网卡兼容性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网卡应适配两种或以上厂商产品</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★功能卡兼容性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内置或适配符合PCIe 的功能卡，如：网络功能卡、存储功能卡及图形显示功能卡</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外设兼容性</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★外设兼容性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兼容多种主流生产商的外部设备，包括显示器、键盘、鼠标、闪存盘、移动硬盘、USB 光驱及 KVM 等，要求使用不同厂商的外部设备时，系统均能正常识别和安装驱动</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软件兼容性</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★数据库兼</w:t>
            </w:r>
            <w:r>
              <w:br/>
            </w:r>
            <w:r>
              <w:rPr>
                <w:sz w:val="20"/>
              </w:rPr>
              <w:t xml:space="preserve"> 容</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3 个及以上厂商的数据库产品</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★中间件兼容</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3 个及以上厂商的中间件产品</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★平台软件兼容</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3 个及以上厂商的大数据平台</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虚拟化软件兼容</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2 款及以上虚拟化软件</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存储可靠性要求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SATA SSD</w:t>
            </w:r>
            <w:r>
              <w:br/>
            </w:r>
            <w:r>
              <w:rPr>
                <w:sz w:val="20"/>
              </w:rPr>
              <w:t>可靠性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SSD </w:t>
            </w:r>
            <w:r>
              <w:rPr>
                <w:sz w:val="20"/>
              </w:rPr>
              <w:t>的 m1 值（MTBF 的不可接受值）不低于 200000h</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整机可靠性要求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★整机可靠性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m1 </w:t>
            </w:r>
            <w:r>
              <w:rPr>
                <w:sz w:val="20"/>
              </w:rPr>
              <w:t>值（MTBF 的不可接受值）不得低于 100000h</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★风扇可靠性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风扇寿命应不低于 40000h</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★部件可靠性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支持硬盘、电源、风扇热插拔(内置风扇除外)</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包装及运输要求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包装及运输要求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★标志、包装、运输和贮存</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符合GB/T 9813.3 和商品包装政府采购需求标准的相关规定</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112</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服务响应</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★服务响应</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提供电话、电子邮件、远程连接等多种形式服务；</w:t>
            </w:r>
            <w:r>
              <w:br/>
            </w:r>
            <w:r>
              <w:rPr>
                <w:sz w:val="20"/>
              </w:rPr>
              <w:t xml:space="preserve"> b) 提供同城 4h、异地 12h 技术响应服务，2 个工作日解决问题，对于未能解决的问题和故障应提供可行的升级方案，并提供周转设备；</w:t>
            </w:r>
            <w:r>
              <w:br/>
            </w:r>
            <w:r>
              <w:rPr>
                <w:sz w:val="20"/>
              </w:rPr>
              <w:t xml:space="preserve"> c) 建立全国技术服务体系和服务 团体，符合专业服务体系标准要求，提供原厂中文服务；</w:t>
            </w:r>
            <w:r>
              <w:br/>
            </w:r>
            <w:r>
              <w:rPr>
                <w:sz w:val="20"/>
              </w:rPr>
              <w:t xml:space="preserve"> d) 服务周期内提供产品的维修、换件和升级服务</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★培训服务</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供应商提供培训材料、产品手册、培训视频等培训相关内容</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服务周期</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★服务周期</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产品免费服务周期（含换件和维修）应不小于 3 年；</w:t>
            </w:r>
            <w:r>
              <w:br/>
            </w:r>
            <w:r>
              <w:rPr>
                <w:sz w:val="20"/>
              </w:rPr>
              <w:t xml:space="preserve"> b) 设备停产后继续提供质量保障服务（含备品备件），服务终止时间与最后一批设备交付时间间隔不低于 6 年；</w:t>
            </w:r>
            <w:r>
              <w:br/>
            </w:r>
            <w:r>
              <w:rPr>
                <w:sz w:val="20"/>
              </w:rPr>
              <w:t xml:space="preserve"> c) 产品停止服务时间应提前 1 年告知客户；</w:t>
            </w:r>
            <w:r>
              <w:br/>
            </w:r>
            <w:r>
              <w:rPr>
                <w:sz w:val="20"/>
              </w:rPr>
              <w:t xml:space="preserve"> d) 产品发布日期需在随机文件中</w:t>
            </w:r>
            <w:r>
              <w:rPr>
                <w:sz w:val="20"/>
                <w:color w:val="000000"/>
              </w:rPr>
              <w:t>明确</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115</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服务工具要求</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★工具要求</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供应商提供设置服务器硬件、辅助操作系统安装等功能的辅助工具和管理软件。且随附软件应具有合法授权或版权</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★驱动安装升级指引</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供应商提供出厂安装的配件所需的驱动程序，形式包括但不限于驱动光盘、驱动下载链接等。其他配件应提供指引</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117</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★管理软件</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具备资源管理、系统管理、性能监控、健康监控、基于网络控制、报警设置功能</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118</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增值服务</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★厂家升级产品软件与扩容服务</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供应商提供原厂级的部件/软件产品升级和扩容能力</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119</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★提供上门</w:t>
            </w:r>
            <w:r>
              <w:br/>
            </w:r>
            <w:r>
              <w:rPr>
                <w:sz w:val="20"/>
              </w:rPr>
              <w:t xml:space="preserve"> 服务</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供应商具备提供3年维保上门服务（费用包含在报价中）</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120</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供保要求</w:t>
            </w:r>
          </w:p>
        </w:tc>
        <w:tc>
          <w:tcPr>
            <w:tcW w:type="dxa" w:w="1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供应链质量</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★抗干扰性</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当产品部件出现供应风险时，应通知客户并提供风险应对方案确保产品的服务保障，必要时应停止相关受影响产品的销售</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121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供保要求</w:t>
            </w:r>
          </w:p>
        </w:tc>
        <w:tc>
          <w:tcPr>
            <w:tcW w:type="dxa" w:w="1258"/>
            <w:vMerge/>
            <w:tcBorders>
              <w:top w:val="none" w:color="000000" w:sz="4"/>
              <w:left w:val="none" w:color="000000" w:sz="4"/>
              <w:bottom w:val="single" w:color="000000" w:sz="4"/>
              <w:right w:val="single" w:color="000000" w:sz="4"/>
            </w:tcBorders>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★供应能力证明</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供应商提供供应链稳定承诺书，确保产品的部件在产品服务周期内稳定供货</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b/>
              </w:rPr>
              <w:t>说明：供应商在投标时出具关于所提供的“</w:t>
            </w:r>
            <w:r>
              <w:rPr>
                <w:sz w:val="21"/>
                <w:b/>
              </w:rPr>
              <w:t>GPU</w:t>
            </w:r>
            <w:r>
              <w:rPr>
                <w:sz w:val="21"/>
                <w:b/>
              </w:rPr>
              <w:t>服务器</w:t>
            </w:r>
            <w:r>
              <w:rPr>
                <w:sz w:val="20"/>
                <w:b/>
              </w:rPr>
              <w:t>”是否满足采购文件要求的承诺函（上述“★”指标应逐项响应，可参照“格式”中《承诺函》格式）。</w:t>
            </w:r>
          </w:p>
        </w:tc>
      </w:tr>
    </w:tbl>
    <w:p>
      <w:pPr>
        <w:pStyle w:val="null3"/>
        <w:jc w:val="both"/>
      </w:pPr>
      <w:r>
        <w:rPr>
          <w:sz w:val="21"/>
          <w:b/>
        </w:rPr>
        <w:t>（三）备份一体机技术参数要求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671"/>
        <w:gridCol w:w="839"/>
        <w:gridCol w:w="6796"/>
      </w:tblGrid>
      <w:tr>
        <w:tc>
          <w:tcPr>
            <w:tcW w:type="dxa" w:w="671"/>
            <w:tcBorders>
              <w:top w:val="single" w:color="000000" w:sz="4"/>
              <w:left w:val="single" w:color="000000" w:sz="4"/>
              <w:bottom w:val="single" w:color="000000" w:sz="4"/>
              <w:right w:val="single" w:color="000000" w:sz="4"/>
            </w:tcBorders>
            <w:shd w:fill="D8D8D8"/>
            <w:tcMar>
              <w:top w:type="dxa" w:w="45"/>
              <w:left w:type="dxa" w:w="105"/>
              <w:bottom w:type="dxa" w:w="45"/>
              <w:right w:type="dxa" w:w="105"/>
            </w:tcMar>
          </w:tcPr>
          <w:p>
            <w:pPr>
              <w:pStyle w:val="null3"/>
              <w:jc w:val="both"/>
            </w:pPr>
            <w:r>
              <w:rPr>
                <w:sz w:val="21"/>
              </w:rPr>
              <w:t>序号</w:t>
            </w:r>
          </w:p>
        </w:tc>
        <w:tc>
          <w:tcPr>
            <w:tcW w:type="dxa" w:w="839"/>
            <w:tcBorders>
              <w:top w:val="single" w:color="000000" w:sz="4"/>
              <w:left w:val="none" w:color="000000" w:sz="4"/>
              <w:bottom w:val="single" w:color="000000" w:sz="4"/>
              <w:right w:val="single" w:color="000000" w:sz="4"/>
            </w:tcBorders>
            <w:shd w:fill="D8D8D8"/>
            <w:tcMar>
              <w:top w:type="dxa" w:w="45"/>
              <w:left w:type="dxa" w:w="105"/>
              <w:bottom w:type="dxa" w:w="45"/>
              <w:right w:type="dxa" w:w="105"/>
            </w:tcMar>
          </w:tcPr>
          <w:p>
            <w:pPr>
              <w:pStyle w:val="null3"/>
              <w:jc w:val="both"/>
            </w:pPr>
            <w:r>
              <w:rPr>
                <w:sz w:val="21"/>
              </w:rPr>
              <w:t>指标项</w:t>
            </w:r>
          </w:p>
        </w:tc>
        <w:tc>
          <w:tcPr>
            <w:tcW w:type="dxa" w:w="6796"/>
            <w:tcBorders>
              <w:top w:val="single" w:color="000000" w:sz="4"/>
              <w:left w:val="none" w:color="000000" w:sz="4"/>
              <w:bottom w:val="single" w:color="000000" w:sz="4"/>
              <w:right w:val="single" w:color="000000" w:sz="4"/>
            </w:tcBorders>
            <w:shd w:fill="D8D8D8"/>
            <w:tcMar>
              <w:top w:type="dxa" w:w="45"/>
              <w:left w:type="dxa" w:w="105"/>
              <w:bottom w:type="dxa" w:w="45"/>
              <w:right w:type="dxa" w:w="105"/>
            </w:tcMar>
          </w:tcPr>
          <w:p>
            <w:pPr>
              <w:pStyle w:val="null3"/>
              <w:jc w:val="both"/>
            </w:pPr>
            <w:r>
              <w:rPr>
                <w:sz w:val="21"/>
              </w:rPr>
              <w:t>指标要求</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★产品规格</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产品形态：</w:t>
            </w:r>
            <w:r>
              <w:rPr>
                <w:sz w:val="21"/>
              </w:rPr>
              <w:t>4U</w:t>
            </w:r>
            <w:r>
              <w:rPr>
                <w:sz w:val="21"/>
              </w:rPr>
              <w:t>机架式设备，软、硬件一体机，无需额外配置备份服务器；</w:t>
            </w:r>
            <w:r>
              <w:rPr>
                <w:sz w:val="21"/>
              </w:rPr>
              <w:t>CPU</w:t>
            </w:r>
            <w:r>
              <w:rPr>
                <w:sz w:val="21"/>
              </w:rPr>
              <w:t>：配置</w:t>
            </w:r>
            <w:r>
              <w:rPr>
                <w:sz w:val="21"/>
              </w:rPr>
              <w:t xml:space="preserve"> 2</w:t>
            </w:r>
            <w:r>
              <w:rPr>
                <w:sz w:val="21"/>
              </w:rPr>
              <w:t>颗</w:t>
            </w:r>
            <w:r>
              <w:rPr>
                <w:sz w:val="21"/>
              </w:rPr>
              <w:t xml:space="preserve"> Intel </w:t>
            </w:r>
            <w:r>
              <w:rPr>
                <w:sz w:val="21"/>
              </w:rPr>
              <w:t>处理器。主频≥</w:t>
            </w:r>
            <w:r>
              <w:rPr>
                <w:sz w:val="21"/>
              </w:rPr>
              <w:t>2.1GHz</w:t>
            </w:r>
            <w:r>
              <w:rPr>
                <w:sz w:val="21"/>
              </w:rPr>
              <w:t>，单</w:t>
            </w:r>
            <w:r>
              <w:rPr>
                <w:sz w:val="21"/>
              </w:rPr>
              <w:t>CPU</w:t>
            </w:r>
            <w:r>
              <w:rPr>
                <w:sz w:val="21"/>
              </w:rPr>
              <w:t>核数≥</w:t>
            </w:r>
            <w:r>
              <w:rPr>
                <w:sz w:val="21"/>
              </w:rPr>
              <w:t>12</w:t>
            </w:r>
            <w:r>
              <w:rPr>
                <w:sz w:val="21"/>
              </w:rPr>
              <w:t>核；内存≥</w:t>
            </w:r>
            <w:r>
              <w:rPr>
                <w:sz w:val="21"/>
              </w:rPr>
              <w:t>128GB</w:t>
            </w:r>
            <w:r>
              <w:rPr>
                <w:sz w:val="21"/>
              </w:rPr>
              <w:t>内存；系统盘：≥</w:t>
            </w:r>
            <w:r>
              <w:rPr>
                <w:sz w:val="21"/>
              </w:rPr>
              <w:t>2</w:t>
            </w:r>
            <w:r>
              <w:rPr>
                <w:sz w:val="21"/>
              </w:rPr>
              <w:t>块</w:t>
            </w:r>
            <w:r>
              <w:rPr>
                <w:sz w:val="21"/>
              </w:rPr>
              <w:t>960GB SSD</w:t>
            </w:r>
            <w:r>
              <w:rPr>
                <w:sz w:val="21"/>
              </w:rPr>
              <w:t>；数据盘：≥</w:t>
            </w:r>
            <w:r>
              <w:rPr>
                <w:sz w:val="21"/>
              </w:rPr>
              <w:t>6</w:t>
            </w:r>
            <w:r>
              <w:rPr>
                <w:sz w:val="21"/>
              </w:rPr>
              <w:t>块</w:t>
            </w:r>
            <w:r>
              <w:rPr>
                <w:sz w:val="21"/>
              </w:rPr>
              <w:t>12TB STAT</w:t>
            </w:r>
            <w:r>
              <w:rPr>
                <w:sz w:val="21"/>
              </w:rPr>
              <w:t>企业级硬盘；外部接口：配置板载</w:t>
            </w:r>
            <w:r>
              <w:rPr>
                <w:sz w:val="21"/>
              </w:rPr>
              <w:t xml:space="preserve"> 1 </w:t>
            </w:r>
            <w:r>
              <w:rPr>
                <w:sz w:val="21"/>
              </w:rPr>
              <w:t>块双端口千兆电口卡和</w:t>
            </w:r>
            <w:r>
              <w:rPr>
                <w:sz w:val="21"/>
              </w:rPr>
              <w:t xml:space="preserve"> 1 </w:t>
            </w:r>
            <w:r>
              <w:rPr>
                <w:sz w:val="21"/>
              </w:rPr>
              <w:t>块双端口万兆光口卡（含光模块），空闲</w:t>
            </w:r>
            <w:r>
              <w:rPr>
                <w:sz w:val="21"/>
              </w:rPr>
              <w:t xml:space="preserve"> 5 </w:t>
            </w:r>
            <w:r>
              <w:rPr>
                <w:sz w:val="21"/>
              </w:rPr>
              <w:t>个</w:t>
            </w:r>
            <w:r>
              <w:rPr>
                <w:sz w:val="21"/>
              </w:rPr>
              <w:t xml:space="preserve"> PCIe </w:t>
            </w:r>
            <w:r>
              <w:rPr>
                <w:sz w:val="21"/>
              </w:rPr>
              <w:t>插槽。</w:t>
            </w:r>
            <w:r>
              <w:rPr>
                <w:sz w:val="21"/>
              </w:rPr>
              <w:t xml:space="preserve"> (</w:t>
            </w:r>
            <w:r>
              <w:rPr>
                <w:sz w:val="21"/>
              </w:rPr>
              <w:t>投标时根据《技术和服务要求响应表》对应参数做为评定是否响应该要求）</w:t>
            </w:r>
            <w:r>
              <w:rPr>
                <w:sz w:val="21"/>
              </w:rPr>
              <w:t xml:space="preserve">                    </w:t>
            </w:r>
          </w:p>
          <w:p>
            <w:pPr>
              <w:pStyle w:val="null3"/>
              <w:jc w:val="both"/>
            </w:pPr>
            <w:r>
              <w:rPr>
                <w:sz w:val="21"/>
              </w:rPr>
              <w:t>2.</w:t>
            </w:r>
            <w:r>
              <w:rPr>
                <w:sz w:val="21"/>
              </w:rPr>
              <w:t>本次配置≥</w:t>
            </w:r>
            <w:r>
              <w:rPr>
                <w:sz w:val="21"/>
              </w:rPr>
              <w:t>30TB</w:t>
            </w:r>
            <w:r>
              <w:rPr>
                <w:sz w:val="21"/>
              </w:rPr>
              <w:t>定时备份容量许可，，不限制前端备份源的数量，不限制前端备份数据的类型；</w:t>
            </w:r>
          </w:p>
          <w:p>
            <w:pPr>
              <w:pStyle w:val="null3"/>
              <w:jc w:val="both"/>
            </w:pPr>
            <w:r>
              <w:rPr>
                <w:sz w:val="21"/>
              </w:rPr>
              <w:t>配置</w:t>
            </w:r>
            <w:r>
              <w:rPr>
                <w:sz w:val="21"/>
              </w:rPr>
              <w:t>1</w:t>
            </w:r>
            <w:r>
              <w:rPr>
                <w:sz w:val="21"/>
              </w:rPr>
              <w:t>个重复数据删除代理，不限重删数据容量；</w:t>
            </w:r>
          </w:p>
          <w:p>
            <w:pPr>
              <w:pStyle w:val="null3"/>
              <w:jc w:val="both"/>
            </w:pPr>
            <w:r>
              <w:rPr>
                <w:sz w:val="21"/>
              </w:rPr>
              <w:t>配置</w:t>
            </w:r>
            <w:r>
              <w:rPr>
                <w:sz w:val="21"/>
              </w:rPr>
              <w:t>1</w:t>
            </w:r>
            <w:r>
              <w:rPr>
                <w:sz w:val="21"/>
              </w:rPr>
              <w:t>个永久增量备份代理；</w:t>
            </w:r>
          </w:p>
          <w:p>
            <w:pPr>
              <w:pStyle w:val="null3"/>
              <w:jc w:val="both"/>
            </w:pPr>
            <w:r>
              <w:rPr>
                <w:sz w:val="21"/>
              </w:rPr>
              <w:t>配置</w:t>
            </w:r>
            <w:r>
              <w:rPr>
                <w:sz w:val="21"/>
              </w:rPr>
              <w:t xml:space="preserve">1 </w:t>
            </w:r>
            <w:r>
              <w:rPr>
                <w:sz w:val="21"/>
              </w:rPr>
              <w:t>个</w:t>
            </w:r>
            <w:r>
              <w:rPr>
                <w:sz w:val="21"/>
              </w:rPr>
              <w:t xml:space="preserve"> CDP </w:t>
            </w:r>
            <w:r>
              <w:rPr>
                <w:sz w:val="21"/>
              </w:rPr>
              <w:t>持续数据保护场地授权代理许可</w:t>
            </w:r>
            <w:r>
              <w:rPr>
                <w:sz w:val="21"/>
              </w:rPr>
              <w:t>.</w:t>
            </w:r>
          </w:p>
          <w:p>
            <w:pPr>
              <w:pStyle w:val="null3"/>
              <w:jc w:val="both"/>
            </w:pPr>
            <w:r>
              <w:rPr>
                <w:sz w:val="21"/>
              </w:rPr>
              <w:t>（提供产品制造商的官网、产品彩页或产品技术白皮书截图并加盖投标人公章）</w:t>
            </w:r>
          </w:p>
          <w:p>
            <w:pPr>
              <w:pStyle w:val="null3"/>
              <w:jc w:val="both"/>
            </w:pPr>
            <w:r>
              <w:rPr>
                <w:sz w:val="21"/>
              </w:rPr>
              <w:t>3.</w:t>
            </w:r>
            <w:r>
              <w:rPr>
                <w:sz w:val="21"/>
              </w:rPr>
              <w:t>原厂售后服务：原厂安装服务，提供自项目验收起不少于</w:t>
            </w:r>
            <w:r>
              <w:rPr>
                <w:sz w:val="21"/>
              </w:rPr>
              <w:t>5</w:t>
            </w:r>
            <w:r>
              <w:rPr>
                <w:sz w:val="21"/>
              </w:rPr>
              <w:t>年</w:t>
            </w:r>
            <w:r>
              <w:rPr>
                <w:sz w:val="21"/>
              </w:rPr>
              <w:t>7x24x4</w:t>
            </w:r>
            <w:r>
              <w:rPr>
                <w:sz w:val="21"/>
              </w:rPr>
              <w:t>原厂维保服务、每半年度巡检服务、优化服务，含软件、硬件；重大故障提供</w:t>
            </w:r>
            <w:r>
              <w:rPr>
                <w:sz w:val="21"/>
              </w:rPr>
              <w:t>4</w:t>
            </w:r>
            <w:r>
              <w:rPr>
                <w:sz w:val="21"/>
              </w:rPr>
              <w:t>小时抵达现场的应急服务。签订合同前需提供产品制造商对本项目的售后服务承诺函。（提供投标人承诺函并加盖投标人公章）</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2</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品牌</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中国大陆生产，生产厂家具有自主研发能力，非</w:t>
            </w:r>
            <w:r>
              <w:rPr>
                <w:sz w:val="21"/>
              </w:rPr>
              <w:t>OEM</w:t>
            </w:r>
            <w:r>
              <w:rPr>
                <w:sz w:val="21"/>
              </w:rPr>
              <w:t>产品。</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3</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备份系统功能</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▲支持通过一个</w:t>
            </w:r>
            <w:r>
              <w:rPr>
                <w:sz w:val="21"/>
              </w:rPr>
              <w:t>Web</w:t>
            </w:r>
            <w:r>
              <w:rPr>
                <w:sz w:val="21"/>
              </w:rPr>
              <w:t>页面管理定时备份、副本数据管理（</w:t>
            </w:r>
            <w:r>
              <w:rPr>
                <w:sz w:val="21"/>
              </w:rPr>
              <w:t>CDM)</w:t>
            </w:r>
            <w:r>
              <w:rPr>
                <w:sz w:val="21"/>
              </w:rPr>
              <w:t>和持续数据保护</w:t>
            </w:r>
            <w:r>
              <w:rPr>
                <w:sz w:val="21"/>
              </w:rPr>
              <w:t>(CDP)</w:t>
            </w:r>
            <w:r>
              <w:rPr>
                <w:sz w:val="21"/>
              </w:rPr>
              <w:t>功能。支持单节点部署扩展为三节点灾备集群部署，三节点灾备集群备份速度不小于</w:t>
            </w:r>
            <w:r>
              <w:rPr>
                <w:sz w:val="21"/>
              </w:rPr>
              <w:t>3000M/S</w:t>
            </w:r>
            <w:r>
              <w:rPr>
                <w:sz w:val="21"/>
              </w:rPr>
              <w:t>。（提供第三方评测机构出具的具备</w:t>
            </w:r>
            <w:r>
              <w:rPr>
                <w:sz w:val="21"/>
              </w:rPr>
              <w:t>CMA</w:t>
            </w:r>
            <w:r>
              <w:rPr>
                <w:sz w:val="21"/>
              </w:rPr>
              <w:t>标志的测评报告截图并加盖投标人公章）</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4</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数据库备份和恢复功能要求</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、支持对</w:t>
            </w:r>
            <w:r>
              <w:rPr>
                <w:sz w:val="21"/>
              </w:rPr>
              <w:t>Oracle</w:t>
            </w:r>
            <w:r>
              <w:rPr>
                <w:sz w:val="21"/>
              </w:rPr>
              <w:t>、</w:t>
            </w:r>
            <w:r>
              <w:rPr>
                <w:sz w:val="21"/>
              </w:rPr>
              <w:t>DB2</w:t>
            </w:r>
            <w:r>
              <w:rPr>
                <w:sz w:val="21"/>
              </w:rPr>
              <w:t>、</w:t>
            </w:r>
            <w:r>
              <w:rPr>
                <w:sz w:val="21"/>
              </w:rPr>
              <w:t>MySQL</w:t>
            </w:r>
            <w:r>
              <w:rPr>
                <w:sz w:val="21"/>
              </w:rPr>
              <w:t>、</w:t>
            </w:r>
            <w:r>
              <w:rPr>
                <w:sz w:val="21"/>
              </w:rPr>
              <w:t>MariaDB</w:t>
            </w:r>
            <w:r>
              <w:rPr>
                <w:sz w:val="21"/>
              </w:rPr>
              <w:t>、</w:t>
            </w:r>
            <w:r>
              <w:rPr>
                <w:sz w:val="21"/>
              </w:rPr>
              <w:t>PostgreSQL</w:t>
            </w:r>
            <w:r>
              <w:rPr>
                <w:sz w:val="21"/>
              </w:rPr>
              <w:t>、</w:t>
            </w:r>
            <w:r>
              <w:rPr>
                <w:sz w:val="21"/>
              </w:rPr>
              <w:t>SQL Server</w:t>
            </w:r>
            <w:r>
              <w:rPr>
                <w:sz w:val="21"/>
              </w:rPr>
              <w:t>、</w:t>
            </w:r>
            <w:r>
              <w:rPr>
                <w:sz w:val="21"/>
              </w:rPr>
              <w:t>SAP HANA</w:t>
            </w:r>
            <w:r>
              <w:rPr>
                <w:sz w:val="21"/>
              </w:rPr>
              <w:t>等主流数据库进行在线备份保护，备份任务配置过程全部由图形化向导指引完成，可在图形化界面选择相应数据库，无需编写脚本。</w:t>
            </w:r>
          </w:p>
          <w:p>
            <w:pPr>
              <w:pStyle w:val="null3"/>
              <w:jc w:val="both"/>
            </w:pPr>
            <w:r>
              <w:rPr>
                <w:sz w:val="21"/>
              </w:rPr>
              <w:t>2</w:t>
            </w:r>
            <w:r>
              <w:rPr>
                <w:sz w:val="21"/>
              </w:rPr>
              <w:t>、</w:t>
            </w:r>
            <w:r>
              <w:rPr>
                <w:sz w:val="21"/>
              </w:rPr>
              <w:t>Oracle</w:t>
            </w:r>
            <w:r>
              <w:rPr>
                <w:sz w:val="21"/>
              </w:rPr>
              <w:t>数据库支持各平台下</w:t>
            </w:r>
            <w:r>
              <w:rPr>
                <w:sz w:val="21"/>
              </w:rPr>
              <w:t>10g</w:t>
            </w:r>
            <w:r>
              <w:rPr>
                <w:sz w:val="21"/>
              </w:rPr>
              <w:t>、</w:t>
            </w:r>
            <w:r>
              <w:rPr>
                <w:sz w:val="21"/>
              </w:rPr>
              <w:t>11g</w:t>
            </w:r>
            <w:r>
              <w:rPr>
                <w:sz w:val="21"/>
              </w:rPr>
              <w:t>、</w:t>
            </w:r>
            <w:r>
              <w:rPr>
                <w:sz w:val="21"/>
              </w:rPr>
              <w:t>12c</w:t>
            </w:r>
            <w:r>
              <w:rPr>
                <w:sz w:val="21"/>
              </w:rPr>
              <w:t>、</w:t>
            </w:r>
            <w:r>
              <w:rPr>
                <w:sz w:val="21"/>
              </w:rPr>
              <w:t>18c</w:t>
            </w:r>
            <w:r>
              <w:rPr>
                <w:sz w:val="21"/>
              </w:rPr>
              <w:t>、</w:t>
            </w:r>
            <w:r>
              <w:rPr>
                <w:sz w:val="21"/>
              </w:rPr>
              <w:t>19c</w:t>
            </w:r>
            <w:r>
              <w:rPr>
                <w:sz w:val="21"/>
              </w:rPr>
              <w:t>、</w:t>
            </w:r>
            <w:r>
              <w:rPr>
                <w:sz w:val="21"/>
              </w:rPr>
              <w:t>21c</w:t>
            </w:r>
            <w:r>
              <w:rPr>
                <w:sz w:val="21"/>
              </w:rPr>
              <w:t>全系列版本的定时备份，支持配置对</w:t>
            </w:r>
            <w:r>
              <w:rPr>
                <w:sz w:val="21"/>
              </w:rPr>
              <w:t>Oracle</w:t>
            </w:r>
            <w:r>
              <w:rPr>
                <w:sz w:val="21"/>
              </w:rPr>
              <w:t>的日志进行详细解析，可以查看每条日志数据的实际执行内容。在数据恢复作业中可以选择准确的</w:t>
            </w:r>
            <w:r>
              <w:rPr>
                <w:sz w:val="21"/>
              </w:rPr>
              <w:t>SCN</w:t>
            </w:r>
            <w:r>
              <w:rPr>
                <w:sz w:val="21"/>
              </w:rPr>
              <w:t>来确定数据恢复点。（提供该功能截图并加盖公章）</w:t>
            </w:r>
          </w:p>
          <w:p>
            <w:pPr>
              <w:pStyle w:val="null3"/>
              <w:jc w:val="both"/>
            </w:pPr>
            <w:r>
              <w:rPr>
                <w:sz w:val="21"/>
              </w:rPr>
              <w:t>▲</w:t>
            </w:r>
            <w:r>
              <w:rPr>
                <w:sz w:val="21"/>
              </w:rPr>
              <w:t>3</w:t>
            </w:r>
            <w:r>
              <w:rPr>
                <w:sz w:val="21"/>
              </w:rPr>
              <w:t>、支持数据库（如</w:t>
            </w:r>
            <w:r>
              <w:rPr>
                <w:sz w:val="21"/>
              </w:rPr>
              <w:t>MySQL</w:t>
            </w:r>
            <w:r>
              <w:rPr>
                <w:sz w:val="21"/>
              </w:rPr>
              <w:t>、</w:t>
            </w:r>
            <w:r>
              <w:rPr>
                <w:sz w:val="21"/>
              </w:rPr>
              <w:t>Oracle</w:t>
            </w:r>
            <w:r>
              <w:rPr>
                <w:sz w:val="21"/>
              </w:rPr>
              <w:t>）接口级的连续日志备份（非</w:t>
            </w:r>
            <w:r>
              <w:rPr>
                <w:sz w:val="21"/>
              </w:rPr>
              <w:t>CDP</w:t>
            </w:r>
            <w:r>
              <w:rPr>
                <w:sz w:val="21"/>
              </w:rPr>
              <w:t>模式），以持续的对数据库（如</w:t>
            </w:r>
            <w:r>
              <w:rPr>
                <w:sz w:val="21"/>
              </w:rPr>
              <w:t>MySQL</w:t>
            </w:r>
            <w:r>
              <w:rPr>
                <w:sz w:val="21"/>
              </w:rPr>
              <w:t>、</w:t>
            </w:r>
            <w:r>
              <w:rPr>
                <w:sz w:val="21"/>
              </w:rPr>
              <w:t>Oracle</w:t>
            </w:r>
            <w:r>
              <w:rPr>
                <w:sz w:val="21"/>
              </w:rPr>
              <w:t>）产生的日志做实时备份；支持数据库（如</w:t>
            </w:r>
            <w:r>
              <w:rPr>
                <w:sz w:val="21"/>
              </w:rPr>
              <w:t>Oracle</w:t>
            </w:r>
            <w:r>
              <w:rPr>
                <w:sz w:val="21"/>
              </w:rPr>
              <w:t>、</w:t>
            </w:r>
            <w:r>
              <w:rPr>
                <w:sz w:val="21"/>
              </w:rPr>
              <w:t>MySQL</w:t>
            </w:r>
            <w:r>
              <w:rPr>
                <w:sz w:val="21"/>
              </w:rPr>
              <w:t>）单表级细粒度直接恢复至生产环境中，实现高效精准的恢复。【投标时提供产品功能截图加盖投标人公章，在相应指标作出</w:t>
            </w:r>
          </w:p>
          <w:p>
            <w:pPr>
              <w:pStyle w:val="null3"/>
              <w:jc w:val="both"/>
            </w:pPr>
            <w:r>
              <w:rPr>
                <w:sz w:val="21"/>
              </w:rPr>
              <w:t>标记并注明针对的参数（例如用红色方框标记）。未做标记出现漏评风险由投标人承担，评标委员会可视为不满足。】</w:t>
            </w:r>
          </w:p>
          <w:p>
            <w:pPr>
              <w:pStyle w:val="null3"/>
              <w:jc w:val="both"/>
            </w:pPr>
            <w:r>
              <w:rPr>
                <w:sz w:val="21"/>
              </w:rPr>
              <w:t>4</w:t>
            </w:r>
            <w:r>
              <w:rPr>
                <w:sz w:val="21"/>
              </w:rPr>
              <w:t>、支持</w:t>
            </w:r>
            <w:r>
              <w:rPr>
                <w:sz w:val="21"/>
              </w:rPr>
              <w:t xml:space="preserve">Oracle PDB </w:t>
            </w:r>
            <w:r>
              <w:rPr>
                <w:sz w:val="21"/>
              </w:rPr>
              <w:t>租户备份恢复高级特性，支持</w:t>
            </w:r>
            <w:r>
              <w:rPr>
                <w:sz w:val="21"/>
              </w:rPr>
              <w:t xml:space="preserve"> Oracle BCT </w:t>
            </w:r>
            <w:r>
              <w:rPr>
                <w:sz w:val="21"/>
              </w:rPr>
              <w:t>备份加速。</w:t>
            </w:r>
          </w:p>
          <w:p>
            <w:pPr>
              <w:pStyle w:val="null3"/>
              <w:jc w:val="both"/>
            </w:pPr>
            <w:r>
              <w:rPr>
                <w:sz w:val="21"/>
              </w:rPr>
              <w:t>5</w:t>
            </w:r>
            <w:r>
              <w:rPr>
                <w:sz w:val="21"/>
              </w:rPr>
              <w:t>、支持达梦、人大金仓、神舟通用、南大通用、瀚高和优炫等主流数据库的备份。具有数据库副本数据管理（</w:t>
            </w:r>
            <w:r>
              <w:rPr>
                <w:sz w:val="21"/>
              </w:rPr>
              <w:t>CDM</w:t>
            </w:r>
            <w:r>
              <w:rPr>
                <w:sz w:val="21"/>
              </w:rPr>
              <w:t>）能力，数据库类型包括但不限于：</w:t>
            </w:r>
            <w:r>
              <w:rPr>
                <w:sz w:val="21"/>
              </w:rPr>
              <w:t>Oracle</w:t>
            </w:r>
            <w:r>
              <w:rPr>
                <w:sz w:val="21"/>
              </w:rPr>
              <w:t>、</w:t>
            </w:r>
            <w:r>
              <w:rPr>
                <w:sz w:val="21"/>
              </w:rPr>
              <w:t>MySQL</w:t>
            </w:r>
            <w:r>
              <w:rPr>
                <w:sz w:val="21"/>
              </w:rPr>
              <w:t>、</w:t>
            </w:r>
            <w:r>
              <w:rPr>
                <w:sz w:val="21"/>
              </w:rPr>
              <w:t>SQL Server</w:t>
            </w:r>
            <w:r>
              <w:rPr>
                <w:sz w:val="21"/>
              </w:rPr>
              <w:t>、达梦单机和</w:t>
            </w:r>
            <w:r>
              <w:rPr>
                <w:sz w:val="21"/>
              </w:rPr>
              <w:t>DSC</w:t>
            </w:r>
            <w:r>
              <w:rPr>
                <w:sz w:val="21"/>
              </w:rPr>
              <w:t>集群等。</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5</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云平台和虚拟化保护</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、支持对</w:t>
            </w:r>
            <w:r>
              <w:rPr>
                <w:sz w:val="21"/>
              </w:rPr>
              <w:t>VMware</w:t>
            </w:r>
            <w:r>
              <w:rPr>
                <w:sz w:val="21"/>
              </w:rPr>
              <w:t>、</w:t>
            </w:r>
            <w:r>
              <w:rPr>
                <w:sz w:val="21"/>
              </w:rPr>
              <w:t>FusionCompute</w:t>
            </w:r>
            <w:r>
              <w:rPr>
                <w:sz w:val="21"/>
              </w:rPr>
              <w:t>、</w:t>
            </w:r>
            <w:r>
              <w:rPr>
                <w:sz w:val="21"/>
              </w:rPr>
              <w:t>H3C CAS/UIS</w:t>
            </w:r>
            <w:r>
              <w:rPr>
                <w:sz w:val="21"/>
              </w:rPr>
              <w:t>、中兴</w:t>
            </w:r>
            <w:r>
              <w:rPr>
                <w:sz w:val="21"/>
              </w:rPr>
              <w:t>iROS</w:t>
            </w:r>
            <w:r>
              <w:rPr>
                <w:sz w:val="21"/>
              </w:rPr>
              <w:t>、浪潮</w:t>
            </w:r>
            <w:r>
              <w:rPr>
                <w:sz w:val="21"/>
              </w:rPr>
              <w:t>InCloud Sphere</w:t>
            </w:r>
            <w:r>
              <w:rPr>
                <w:sz w:val="21"/>
              </w:rPr>
              <w:t>、</w:t>
            </w:r>
            <w:r>
              <w:rPr>
                <w:sz w:val="21"/>
              </w:rPr>
              <w:t>ZStack</w:t>
            </w:r>
            <w:r>
              <w:rPr>
                <w:sz w:val="21"/>
              </w:rPr>
              <w:t>、</w:t>
            </w:r>
            <w:r>
              <w:rPr>
                <w:sz w:val="21"/>
              </w:rPr>
              <w:t>SmartX</w:t>
            </w:r>
            <w:r>
              <w:rPr>
                <w:sz w:val="21"/>
              </w:rPr>
              <w:t>、青云、</w:t>
            </w:r>
            <w:r>
              <w:rPr>
                <w:sz w:val="21"/>
              </w:rPr>
              <w:t>EasyStack</w:t>
            </w:r>
            <w:r>
              <w:rPr>
                <w:sz w:val="21"/>
              </w:rPr>
              <w:t>等虚拟化应用的备份，支持单机和集群部署环境。以上虚拟化应用均支持以虚拟机、资源池和整个集群为单位进行备份保护，无需在虚拟机内部安装任何代理软件；</w:t>
            </w:r>
            <w:r>
              <w:rPr>
                <w:sz w:val="21"/>
              </w:rPr>
              <w:t xml:space="preserve"> </w:t>
            </w:r>
          </w:p>
          <w:p>
            <w:pPr>
              <w:pStyle w:val="null3"/>
              <w:jc w:val="both"/>
            </w:pPr>
            <w:r>
              <w:rPr>
                <w:sz w:val="21"/>
              </w:rPr>
              <w:t>▲</w:t>
            </w:r>
            <w:r>
              <w:rPr>
                <w:sz w:val="21"/>
              </w:rPr>
              <w:t>2</w:t>
            </w:r>
            <w:r>
              <w:rPr>
                <w:sz w:val="21"/>
              </w:rPr>
              <w:t>、</w:t>
            </w:r>
            <w:r>
              <w:rPr>
                <w:sz w:val="21"/>
              </w:rPr>
              <w:t xml:space="preserve">VMware </w:t>
            </w:r>
            <w:r>
              <w:rPr>
                <w:sz w:val="21"/>
              </w:rPr>
              <w:t>虚拟机备份支持备份进度条查看，可查看备份进度百分比与备份速度；【投标时提供产品功能截图加盖投标人公章，在相应指标作出标记并注明针对的参数（例如用红色方框标记）。未做标记出现漏评风险由投标人承担，评标委员会可视为不满足。】</w:t>
            </w:r>
          </w:p>
          <w:p>
            <w:pPr>
              <w:pStyle w:val="null3"/>
              <w:jc w:val="both"/>
            </w:pPr>
            <w:r>
              <w:rPr>
                <w:sz w:val="21"/>
              </w:rPr>
              <w:t>3</w:t>
            </w:r>
            <w:r>
              <w:rPr>
                <w:sz w:val="21"/>
              </w:rPr>
              <w:t>、支持虚拟机并发备份和恢复功能，支持在</w:t>
            </w:r>
            <w:r>
              <w:rPr>
                <w:sz w:val="21"/>
              </w:rPr>
              <w:t>WEB</w:t>
            </w:r>
            <w:r>
              <w:rPr>
                <w:sz w:val="21"/>
              </w:rPr>
              <w:t>页面中设置单个备份和恢复任务中的虚拟机并发备份和恢复数量，可大幅提高备份恢复效率；</w:t>
            </w:r>
          </w:p>
          <w:p>
            <w:pPr>
              <w:pStyle w:val="null3"/>
              <w:jc w:val="both"/>
            </w:pPr>
            <w:r>
              <w:rPr>
                <w:sz w:val="21"/>
              </w:rPr>
              <w:t>支持将</w:t>
            </w:r>
            <w:r>
              <w:rPr>
                <w:sz w:val="21"/>
              </w:rPr>
              <w:t xml:space="preserve"> VMware </w:t>
            </w:r>
            <w:r>
              <w:rPr>
                <w:sz w:val="21"/>
              </w:rPr>
              <w:t>虚拟机无代理备份和异构恢复能力，支持</w:t>
            </w:r>
            <w:r>
              <w:rPr>
                <w:sz w:val="21"/>
              </w:rPr>
              <w:t xml:space="preserve">VMware </w:t>
            </w:r>
            <w:r>
              <w:rPr>
                <w:sz w:val="21"/>
              </w:rPr>
              <w:t>虚拟机恢复到</w:t>
            </w:r>
            <w:r>
              <w:rPr>
                <w:sz w:val="21"/>
              </w:rPr>
              <w:t xml:space="preserve"> FusionCompute</w:t>
            </w:r>
            <w:r>
              <w:rPr>
                <w:sz w:val="21"/>
              </w:rPr>
              <w:t>、</w:t>
            </w:r>
            <w:r>
              <w:rPr>
                <w:sz w:val="21"/>
              </w:rPr>
              <w:t xml:space="preserve">H3C CAS </w:t>
            </w:r>
            <w:r>
              <w:rPr>
                <w:sz w:val="21"/>
              </w:rPr>
              <w:t>平台以及华为公有云等。</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6</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海量小文件备份功能</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小文件聚合功能，将同目录层下一定数量的小文件进行元数据及对应数据的聚合，通过该功能可将小文件转化为相对较大的文件进行备份，增大写入存储的单个数据块的大小，从而大幅提高备份速度。【投标时提供产品功能截图加盖投标人公章，在相应指标作出标记并注明针对的参数（例如用红色方框标记）。未做标记出现漏评风险由投标人承担，评标委员会可视为不满足。】</w:t>
            </w:r>
          </w:p>
          <w:p>
            <w:pPr>
              <w:pStyle w:val="null3"/>
              <w:jc w:val="both"/>
            </w:pPr>
            <w:r>
              <w:rPr>
                <w:sz w:val="21"/>
              </w:rPr>
              <w:t>▲</w:t>
            </w:r>
            <w:r>
              <w:rPr>
                <w:sz w:val="21"/>
              </w:rPr>
              <w:t>2</w:t>
            </w:r>
            <w:r>
              <w:rPr>
                <w:sz w:val="21"/>
              </w:rPr>
              <w:t>、支持以图形界面灵活定义文件聚合后最大值和被聚合文件最大值参数，实现同目录下符合被聚合条件的若干文件会聚合成为一个不超过聚合后文件大小最大值的相对较大的文件然后写入备份存储中，以大幅提高备份性能。【投标时提供产品功能截图加盖投标人公章，在相应指标作出标记并注明针对的参数（例如用红色方框标记）。未做标记出现漏评风险由投标人承担，评标委员会可视为不满足。】</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7</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重复数据删除功能</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基于源端的可变长度切片的重复数据删除技术，多个备份任务可以共享同一个重复数据删除指纹池，也可以根据数据的不同单独设置专属指纹池，最大限度地提升重复数据删除效率，减轻带宽压力，降低传输数据量和备份数据存储成本。</w:t>
            </w:r>
          </w:p>
          <w:p>
            <w:pPr>
              <w:pStyle w:val="null3"/>
              <w:jc w:val="both"/>
            </w:pPr>
            <w:r>
              <w:rPr>
                <w:sz w:val="21"/>
              </w:rPr>
              <w:t>▲</w:t>
            </w:r>
            <w:r>
              <w:rPr>
                <w:sz w:val="21"/>
              </w:rPr>
              <w:t>2</w:t>
            </w:r>
            <w:r>
              <w:rPr>
                <w:sz w:val="21"/>
              </w:rPr>
              <w:t>、支持并行重复数据删除，通过在多个不同的节点上构建指纹池，并将指纹并行分布于多个节点，有效解决单点性能和存储空间压力问题。【投标时提供产品功能截图加盖投标人公章，在相应指标作出标记并注明针对的参数（例如用红色方框标记）。未做标记出现漏评风险由投标人承担，评标委员会可视为不满足。】</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8</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永久增量功能</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永久增量备份技术，初次备份对数据进行完全备份，之后只对新增加或改动过的数据做增量备份。每个增量备份的数据副本将自动合成为完全副本，能够大幅度减少备份时间，节省备份数据所需的存储空间，且提升了恢复效率。</w:t>
            </w:r>
          </w:p>
          <w:p>
            <w:pPr>
              <w:pStyle w:val="null3"/>
              <w:jc w:val="both"/>
            </w:pPr>
            <w:r>
              <w:rPr>
                <w:sz w:val="21"/>
              </w:rPr>
              <w:t>2</w:t>
            </w:r>
            <w:r>
              <w:rPr>
                <w:sz w:val="21"/>
              </w:rPr>
              <w:t>、支持永久增量与重复数据删除同时开启，进一步提高备份空间利用率。【投标时提供产品功能截图加盖投标人公章，在相应指标作出标记并注明针对的参数（例如用红色方框标记）。未做标记出现漏评风险由投标人承担，评标委员会可视为不满足。】</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9</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远程复制功能</w:t>
            </w:r>
          </w:p>
          <w:p>
            <w:pPr>
              <w:pStyle w:val="null3"/>
              <w:jc w:val="both"/>
            </w:pP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、支持将本地备份数据基于任务级分级远程复制到异地的功能，支持按照备份作业任务的粒度分配灾备传输，容灾备份选择更灵活精准。</w:t>
            </w:r>
          </w:p>
          <w:p>
            <w:pPr>
              <w:pStyle w:val="null3"/>
              <w:jc w:val="both"/>
            </w:pPr>
            <w:r>
              <w:rPr>
                <w:sz w:val="21"/>
              </w:rPr>
              <w:t>2</w:t>
            </w:r>
            <w:r>
              <w:rPr>
                <w:sz w:val="21"/>
              </w:rPr>
              <w:t>、支持设置数据复制窗口，在非数据复制窗口期自动关断网络，让复制设备之间网络物理隔离，从而避免非数据复制时间段，备份一体机服务对外暴露而产生的安全风险。【投标时提供产品功能截图加盖投标人公章，在相应指标作出标记并注明针对的参数（例如用红色方框标记）。未做标记出现漏评风险由投标人承担，评标委员会可视为不满足。】</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10</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安全管控能力</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、系统支持密钥加密和密钥更新，避免密钥外泄引起数据泄露，提高系统和数据安全性。</w:t>
            </w:r>
          </w:p>
          <w:p>
            <w:pPr>
              <w:pStyle w:val="null3"/>
              <w:jc w:val="both"/>
            </w:pPr>
            <w:r>
              <w:rPr>
                <w:sz w:val="21"/>
              </w:rPr>
              <w:t>2</w:t>
            </w:r>
            <w:r>
              <w:rPr>
                <w:sz w:val="21"/>
              </w:rPr>
              <w:t>、数据传输支持</w:t>
            </w:r>
            <w:r>
              <w:rPr>
                <w:sz w:val="21"/>
              </w:rPr>
              <w:t xml:space="preserve">Open-SSL </w:t>
            </w:r>
            <w:r>
              <w:rPr>
                <w:sz w:val="21"/>
              </w:rPr>
              <w:t>的</w:t>
            </w:r>
            <w:r>
              <w:rPr>
                <w:sz w:val="21"/>
              </w:rPr>
              <w:t xml:space="preserve">TLS </w:t>
            </w:r>
            <w:r>
              <w:rPr>
                <w:sz w:val="21"/>
              </w:rPr>
              <w:t>双向认证和加密，认证证书不低于</w:t>
            </w:r>
            <w:r>
              <w:rPr>
                <w:sz w:val="21"/>
              </w:rPr>
              <w:t>3072</w:t>
            </w:r>
            <w:r>
              <w:rPr>
                <w:sz w:val="21"/>
              </w:rPr>
              <w:t>位。（提供该功能操作界面截图并加盖投标人公章</w:t>
            </w:r>
            <w:r>
              <w:rPr>
                <w:sz w:val="21"/>
              </w:rPr>
              <w:t>)</w:t>
            </w:r>
          </w:p>
          <w:p>
            <w:pPr>
              <w:pStyle w:val="null3"/>
              <w:jc w:val="both"/>
            </w:pPr>
            <w:r>
              <w:rPr>
                <w:sz w:val="21"/>
              </w:rPr>
              <w:t>3</w:t>
            </w:r>
            <w:r>
              <w:rPr>
                <w:sz w:val="21"/>
              </w:rPr>
              <w:t>、支持对备份数据进行加密传输和存储，支持</w:t>
            </w:r>
            <w:r>
              <w:rPr>
                <w:sz w:val="21"/>
              </w:rPr>
              <w:t>AES256</w:t>
            </w:r>
            <w:r>
              <w:rPr>
                <w:sz w:val="21"/>
              </w:rPr>
              <w:t>和</w:t>
            </w:r>
            <w:r>
              <w:rPr>
                <w:sz w:val="21"/>
              </w:rPr>
              <w:t>SM4</w:t>
            </w:r>
            <w:r>
              <w:rPr>
                <w:sz w:val="21"/>
              </w:rPr>
              <w:t>两种加密算法，提升传输过程以及存储的安全性。</w:t>
            </w:r>
          </w:p>
          <w:p>
            <w:pPr>
              <w:pStyle w:val="null3"/>
              <w:jc w:val="both"/>
            </w:pPr>
            <w:r>
              <w:rPr>
                <w:sz w:val="21"/>
              </w:rPr>
              <w:t>▲</w:t>
            </w:r>
            <w:r>
              <w:rPr>
                <w:sz w:val="21"/>
              </w:rPr>
              <w:t>4</w:t>
            </w:r>
            <w:r>
              <w:rPr>
                <w:sz w:val="21"/>
              </w:rPr>
              <w:t>、支持重要配置变更和任务执行时的二次确认功能。在执行备份或者恢复时，最后步骤输入指定信息进行确认，避免失误；在执行本地和异地同步时输入指定信息进行确认；异地数据恢复时可以设置输入指定信息进行确认；执行任务删除时输入信息确认；数据清理信息确认；执行负载均衡操作时确认；删除在域管理中已建立</w:t>
            </w:r>
            <w:r>
              <w:rPr>
                <w:sz w:val="21"/>
              </w:rPr>
              <w:t>的域时确认；用户密码重置时确认；删除虚拟客户端时确认，指定信息包括验证码或确认信息。【投标时提供产品功能截图加盖投标人公章，在相应指标作出标记并注明针对的参数（例如用红色方框标记）。未做标记出现漏评风险由投标人承担，评标委员会可视为不满足。】</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11</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CDP</w:t>
            </w:r>
            <w:r>
              <w:rPr>
                <w:sz w:val="21"/>
              </w:rPr>
              <w:t>实时复制和容灾</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、支持对</w:t>
            </w:r>
            <w:r>
              <w:rPr>
                <w:sz w:val="21"/>
              </w:rPr>
              <w:t>Windows</w:t>
            </w:r>
            <w:r>
              <w:rPr>
                <w:sz w:val="21"/>
              </w:rPr>
              <w:t>和</w:t>
            </w:r>
            <w:r>
              <w:rPr>
                <w:sz w:val="21"/>
              </w:rPr>
              <w:t>Linux</w:t>
            </w:r>
            <w:r>
              <w:rPr>
                <w:sz w:val="21"/>
              </w:rPr>
              <w:t>服务器的整机（所有磁盘分区，包括操作系统分区）和数据卷进行卷级别的实时复制功能；</w:t>
            </w:r>
          </w:p>
          <w:p>
            <w:pPr>
              <w:pStyle w:val="null3"/>
              <w:jc w:val="both"/>
            </w:pPr>
            <w:r>
              <w:rPr>
                <w:sz w:val="21"/>
              </w:rPr>
              <w:t>2</w:t>
            </w:r>
            <w:r>
              <w:rPr>
                <w:sz w:val="21"/>
              </w:rPr>
              <w:t>、支持实时同步数据变化，也可以按照自定义的频率间隔复制数据变化以降低对生产系统的影响。</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12</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勒索病毒防护</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w:t>
            </w:r>
            <w:r>
              <w:rPr>
                <w:sz w:val="21"/>
              </w:rPr>
              <w:t>1</w:t>
            </w:r>
            <w:r>
              <w:rPr>
                <w:sz w:val="21"/>
              </w:rPr>
              <w:t>、需确保存储的备份数据安全性，提供勒索免疫功能：无需安装第三方安全防护产品，即可阻止非备份系统进程对备份数据的访问，系统的</w:t>
            </w:r>
            <w:r>
              <w:rPr>
                <w:sz w:val="21"/>
              </w:rPr>
              <w:t>root</w:t>
            </w:r>
            <w:r>
              <w:rPr>
                <w:sz w:val="21"/>
              </w:rPr>
              <w:t>用户及备份管理员不可以绕开内置的访问进程验证，达到勒索病毒防范的效果，具体备份数据防篡改能力包括</w:t>
            </w:r>
            <w:r>
              <w:rPr>
                <w:sz w:val="21"/>
              </w:rPr>
              <w:t xml:space="preserve">: </w:t>
            </w:r>
            <w:r>
              <w:rPr>
                <w:sz w:val="21"/>
              </w:rPr>
              <w:t>操作系统</w:t>
            </w:r>
            <w:r>
              <w:rPr>
                <w:sz w:val="21"/>
              </w:rPr>
              <w:t>root</w:t>
            </w:r>
            <w:r>
              <w:rPr>
                <w:sz w:val="21"/>
              </w:rPr>
              <w:t>用户无法删除、加密受保护的数据；操作系统</w:t>
            </w:r>
            <w:r>
              <w:rPr>
                <w:sz w:val="21"/>
              </w:rPr>
              <w:t>root</w:t>
            </w:r>
            <w:r>
              <w:rPr>
                <w:sz w:val="21"/>
              </w:rPr>
              <w:t>用户无法删除</w:t>
            </w:r>
            <w:r>
              <w:rPr>
                <w:sz w:val="21"/>
              </w:rPr>
              <w:t>raid</w:t>
            </w:r>
            <w:r>
              <w:rPr>
                <w:sz w:val="21"/>
              </w:rPr>
              <w:t>配置或者格式化磁盘。【投标时提供产品功能截图加盖投标人公章，在相应指标作出标记并注明针对的参数（例如用红色方框标记）。未做标记出现漏评风险由投标人承担，评标委员会可视为不满足。】</w:t>
            </w:r>
          </w:p>
          <w:p>
            <w:pPr>
              <w:pStyle w:val="null3"/>
              <w:jc w:val="both"/>
            </w:pPr>
            <w:r>
              <w:rPr>
                <w:sz w:val="21"/>
              </w:rPr>
              <w:t>2</w:t>
            </w:r>
            <w:r>
              <w:rPr>
                <w:sz w:val="21"/>
              </w:rPr>
              <w:t>、支持强制数据保留功能，可根据不同的业务性质在备份系统中设置不同的保留周期。在保留周期未截止之前，任何用户（包括</w:t>
            </w:r>
            <w:r>
              <w:rPr>
                <w:sz w:val="21"/>
              </w:rPr>
              <w:t>root</w:t>
            </w:r>
            <w:r>
              <w:rPr>
                <w:sz w:val="21"/>
              </w:rPr>
              <w:t>和备份管理员）均不能销毁备份数据，确保备份数据安全性。【投标时提供产品功能截图加盖投标人公章，在相应指标作出标记并注明针对的参数（例如用红色方框标记）。未做标记出现漏评风险由投标人承担，评标委员会可视为不满足。】）</w:t>
            </w:r>
          </w:p>
        </w:tc>
      </w:tr>
      <w:tr>
        <w:tc>
          <w:tcPr>
            <w:tcW w:type="dxa" w:w="671"/>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13</w:t>
            </w:r>
          </w:p>
        </w:tc>
        <w:tc>
          <w:tcPr>
            <w:tcW w:type="dxa" w:w="839"/>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自动化灾难演练</w:t>
            </w:r>
          </w:p>
        </w:tc>
        <w:tc>
          <w:tcPr>
            <w:tcW w:type="dxa" w:w="6796"/>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自动化灾备恢复编排及演练功能，满足恢复资源统一管理、恢复策略管理、恢复流程编排、灾难恢复及演练管理、灾难恢复报告等需求，可轻松实现自动化的灾难恢复及演练，验证应用系统的可用性并通过灾难恢复报告进行呈现。</w:t>
            </w:r>
          </w:p>
          <w:p>
            <w:pPr>
              <w:pStyle w:val="null3"/>
              <w:jc w:val="both"/>
            </w:pPr>
            <w:r>
              <w:rPr>
                <w:sz w:val="21"/>
              </w:rPr>
              <w:t>▲</w:t>
            </w:r>
            <w:r>
              <w:rPr>
                <w:sz w:val="21"/>
              </w:rPr>
              <w:t>2</w:t>
            </w:r>
            <w:r>
              <w:rPr>
                <w:sz w:val="21"/>
              </w:rPr>
              <w:t>、支持以画布及拖拉组件形式，实现恢复工作流的创建，提供工作流工作模版，包括单个应用、多应用串行、多应用并行等恢复形式，可灵活自定义配置工作流中的策略、资源、应用、验证和清理节点等。【投标时提供产品功能截图加盖投标人公章，在相应指标作出标记并注明针对的参数（例如用红色方框标记）。未做标记出现漏评风险由投标人承担，评标委员会可视为不满足。】</w:t>
            </w:r>
          </w:p>
        </w:tc>
      </w:tr>
    </w:tbl>
    <w:p>
      <w:pPr>
        <w:pStyle w:val="null3"/>
        <w:jc w:val="both"/>
        <w:outlineLvl w:val="0"/>
      </w:pPr>
      <w:r>
        <w:rPr>
          <w:sz w:val="21"/>
          <w:b/>
        </w:rPr>
        <w:t>三、服务要求</w:t>
      </w:r>
    </w:p>
    <w:p>
      <w:pPr>
        <w:pStyle w:val="null3"/>
        <w:ind w:firstLine="420"/>
        <w:jc w:val="both"/>
      </w:pPr>
      <w:r>
        <w:rPr>
          <w:sz w:val="21"/>
        </w:rPr>
        <w:t>质保期及售后服务要求：</w:t>
      </w:r>
    </w:p>
    <w:p>
      <w:pPr>
        <w:pStyle w:val="null3"/>
        <w:ind w:firstLine="420"/>
        <w:jc w:val="both"/>
      </w:pPr>
      <w:r>
        <w:rPr>
          <w:sz w:val="21"/>
        </w:rPr>
        <w:t>1.</w:t>
      </w:r>
      <w:r>
        <w:rPr>
          <w:sz w:val="21"/>
        </w:rPr>
        <w:t>成交人所提供的货物的质保期按照生产厂家标准。</w:t>
      </w:r>
    </w:p>
    <w:p>
      <w:pPr>
        <w:pStyle w:val="null3"/>
        <w:ind w:firstLine="420"/>
        <w:jc w:val="both"/>
      </w:pPr>
      <w:r>
        <w:rPr>
          <w:sz w:val="21"/>
        </w:rPr>
        <w:t>2.</w:t>
      </w:r>
      <w:r>
        <w:rPr>
          <w:sz w:val="21"/>
          <w:color w:val="000000"/>
        </w:rPr>
        <w:t>成交人应保证提供的货物是全新、未使用过的原装合格正品，并完全符合生产厂家或国家规定的质量、规格和性能的要求。</w:t>
      </w:r>
    </w:p>
    <w:p>
      <w:pPr>
        <w:pStyle w:val="null3"/>
        <w:ind w:firstLine="420"/>
        <w:jc w:val="both"/>
      </w:pPr>
      <w:r>
        <w:rPr>
          <w:sz w:val="21"/>
          <w:color w:val="000000"/>
        </w:rPr>
        <w:t>3.</w:t>
      </w:r>
      <w:r>
        <w:rPr>
          <w:sz w:val="21"/>
          <w:color w:val="000000"/>
        </w:rPr>
        <w:t>成交人应保证在质保期内按照生产厂家的服务标准向采购人提供售后服务。</w:t>
      </w:r>
    </w:p>
    <w:p>
      <w:pPr>
        <w:pStyle w:val="null3"/>
        <w:ind w:firstLine="420"/>
        <w:jc w:val="both"/>
      </w:pPr>
      <w:r>
        <w:rPr>
          <w:sz w:val="21"/>
          <w:color w:val="000000"/>
        </w:rPr>
        <w:t>4.</w:t>
      </w:r>
      <w:r>
        <w:rPr>
          <w:sz w:val="21"/>
          <w:color w:val="000000"/>
        </w:rPr>
        <w:t>质保期内服务要求</w:t>
      </w:r>
    </w:p>
    <w:p>
      <w:pPr>
        <w:pStyle w:val="null3"/>
        <w:jc w:val="both"/>
      </w:pPr>
      <w:r>
        <w:rPr>
          <w:sz w:val="21"/>
        </w:rPr>
        <w:t xml:space="preserve">    </w:t>
      </w:r>
      <w:r>
        <w:rPr>
          <w:sz w:val="21"/>
          <w:color w:val="000000"/>
        </w:rPr>
        <w:t>（</w:t>
      </w:r>
      <w:r>
        <w:rPr>
          <w:sz w:val="21"/>
          <w:color w:val="000000"/>
        </w:rPr>
        <w:t>1</w:t>
      </w:r>
      <w:r>
        <w:rPr>
          <w:sz w:val="21"/>
          <w:color w:val="000000"/>
        </w:rPr>
        <w:t>）质保期三年，自产品验收通过之日起计算。质保期内，供应商需提供产品质量内容的升级、完善和维护，费用计入投标总价。</w:t>
      </w:r>
    </w:p>
    <w:p>
      <w:pPr>
        <w:pStyle w:val="null3"/>
        <w:jc w:val="both"/>
      </w:pPr>
      <w:r>
        <w:rPr>
          <w:sz w:val="21"/>
        </w:rPr>
        <w:t xml:space="preserve">    </w:t>
      </w:r>
      <w:r>
        <w:rPr>
          <w:sz w:val="21"/>
          <w:color w:val="000000"/>
        </w:rPr>
        <w:t>（</w:t>
      </w:r>
      <w:r>
        <w:rPr>
          <w:sz w:val="21"/>
          <w:color w:val="000000"/>
        </w:rPr>
        <w:t>2</w:t>
      </w:r>
      <w:r>
        <w:rPr>
          <w:sz w:val="21"/>
          <w:color w:val="000000"/>
        </w:rPr>
        <w:t>）质量保障期内，如果出现紧急技术问题，在采购人通过电话或电子邮件通知中标供应商的情况下，供应商的专业技术人员应在</w:t>
      </w:r>
      <w:r>
        <w:rPr>
          <w:sz w:val="21"/>
          <w:color w:val="000000"/>
        </w:rPr>
        <w:t>2</w:t>
      </w:r>
      <w:r>
        <w:rPr>
          <w:sz w:val="21"/>
          <w:color w:val="000000"/>
        </w:rPr>
        <w:t>小时内予以答复或提供远端服务。如果采购人要求现场紧急处理，供应商应在收到采购人通知后的</w:t>
      </w:r>
      <w:r>
        <w:rPr>
          <w:sz w:val="21"/>
          <w:color w:val="000000"/>
        </w:rPr>
        <w:t>24</w:t>
      </w:r>
      <w:r>
        <w:rPr>
          <w:sz w:val="21"/>
          <w:color w:val="000000"/>
        </w:rPr>
        <w:t>小时内赶到现场。</w:t>
      </w:r>
    </w:p>
    <w:p>
      <w:pPr>
        <w:pStyle w:val="null3"/>
        <w:jc w:val="both"/>
      </w:pPr>
      <w:r>
        <w:rPr>
          <w:sz w:val="21"/>
        </w:rPr>
        <w:t xml:space="preserve">    </w:t>
      </w:r>
      <w:r>
        <w:rPr>
          <w:sz w:val="21"/>
          <w:color w:val="000000"/>
        </w:rPr>
        <w:t>（</w:t>
      </w:r>
      <w:r>
        <w:rPr>
          <w:sz w:val="21"/>
          <w:color w:val="000000"/>
        </w:rPr>
        <w:t>3</w:t>
      </w:r>
      <w:r>
        <w:rPr>
          <w:sz w:val="21"/>
          <w:color w:val="000000"/>
        </w:rPr>
        <w:t>）供应商应具备相应的通信手段，以保证能够提供每天</w:t>
      </w:r>
      <w:r>
        <w:rPr>
          <w:sz w:val="21"/>
          <w:color w:val="000000"/>
        </w:rPr>
        <w:t>24</w:t>
      </w:r>
      <w:r>
        <w:rPr>
          <w:sz w:val="21"/>
          <w:color w:val="000000"/>
        </w:rPr>
        <w:t>小时、每周</w:t>
      </w:r>
      <w:r>
        <w:rPr>
          <w:sz w:val="21"/>
          <w:color w:val="000000"/>
        </w:rPr>
        <w:t>7</w:t>
      </w:r>
      <w:r>
        <w:rPr>
          <w:sz w:val="21"/>
          <w:color w:val="000000"/>
        </w:rPr>
        <w:t>天的响应服务（“</w:t>
      </w:r>
      <w:r>
        <w:rPr>
          <w:sz w:val="21"/>
          <w:color w:val="000000"/>
        </w:rPr>
        <w:t>7</w:t>
      </w:r>
      <w:r>
        <w:rPr>
          <w:sz w:val="21"/>
          <w:color w:val="000000"/>
        </w:rPr>
        <w:t>×</w:t>
      </w:r>
      <w:r>
        <w:rPr>
          <w:sz w:val="21"/>
          <w:color w:val="000000"/>
        </w:rPr>
        <w:t>24</w:t>
      </w:r>
      <w:r>
        <w:rPr>
          <w:sz w:val="21"/>
          <w:color w:val="000000"/>
        </w:rPr>
        <w:t>小时响应服务”）</w:t>
      </w:r>
    </w:p>
    <w:p>
      <w:pPr>
        <w:pStyle w:val="null3"/>
        <w:ind w:firstLine="420"/>
        <w:jc w:val="both"/>
      </w:pPr>
      <w:r>
        <w:rPr>
          <w:sz w:val="21"/>
        </w:rPr>
        <w:t>（</w:t>
      </w:r>
      <w:r>
        <w:rPr>
          <w:sz w:val="21"/>
        </w:rPr>
        <w:t>4</w:t>
      </w:r>
      <w:r>
        <w:rPr>
          <w:sz w:val="21"/>
        </w:rPr>
        <w:t>）供应商需提出保修期内的维护内容和范围（产品、技术、模块等）。</w:t>
      </w:r>
    </w:p>
    <w:p>
      <w:pPr>
        <w:pStyle w:val="null3"/>
        <w:ind w:firstLine="420"/>
        <w:jc w:val="both"/>
      </w:pPr>
      <w:r>
        <w:rPr>
          <w:sz w:val="21"/>
        </w:rPr>
        <w:t>5.</w:t>
      </w:r>
      <w:r>
        <w:rPr>
          <w:sz w:val="21"/>
        </w:rPr>
        <w:t>供应商需提出质量保证期结束后有偿维护的内容、价格、服务方式和范围（时间、产品、技术、模块等）。</w:t>
      </w:r>
    </w:p>
    <w:p>
      <w:pPr>
        <w:pStyle w:val="null3"/>
        <w:ind w:firstLine="420"/>
        <w:jc w:val="both"/>
      </w:pPr>
      <w:r>
        <w:rPr>
          <w:sz w:val="21"/>
        </w:rPr>
        <w:t>6.</w:t>
      </w:r>
      <w:r>
        <w:rPr>
          <w:sz w:val="21"/>
        </w:rPr>
        <w:t>技术服务要求：</w:t>
      </w:r>
    </w:p>
    <w:p>
      <w:pPr>
        <w:pStyle w:val="null3"/>
        <w:spacing w:before="150"/>
        <w:ind w:right="420" w:firstLine="420"/>
        <w:jc w:val="both"/>
      </w:pPr>
      <w:r>
        <w:rPr>
          <w:sz w:val="21"/>
          <w:color w:val="000000"/>
        </w:rPr>
        <w:t>供应商须在投标文件中对以下技术服务要求全部给予响应。</w:t>
      </w:r>
    </w:p>
    <w:p>
      <w:pPr>
        <w:pStyle w:val="null3"/>
        <w:spacing w:before="150"/>
        <w:ind w:right="420" w:firstLine="420"/>
        <w:jc w:val="both"/>
      </w:pPr>
      <w:r>
        <w:rPr>
          <w:sz w:val="21"/>
        </w:rPr>
        <w:t>需提供包括但不限于售后服务体系，售后服务流程，应急预案等方案</w:t>
      </w:r>
      <w:r>
        <w:rPr>
          <w:sz w:val="21"/>
        </w:rPr>
        <w:t>，做出详细说明</w:t>
      </w:r>
      <w:r>
        <w:rPr>
          <w:sz w:val="21"/>
          <w:color w:val="000000"/>
        </w:rPr>
        <w:t>。</w:t>
      </w:r>
    </w:p>
    <w:p>
      <w:pPr>
        <w:pStyle w:val="null3"/>
        <w:spacing w:before="150"/>
        <w:ind w:right="420" w:firstLine="420"/>
        <w:jc w:val="both"/>
      </w:pPr>
      <w:r>
        <w:rPr>
          <w:sz w:val="21"/>
          <w:color w:val="000000"/>
        </w:rPr>
        <w:t>技术服务人员：供应商须指派固定的团队为本项目提供专业服务，服务团队成员不得少于</w:t>
      </w:r>
      <w:r>
        <w:rPr>
          <w:sz w:val="21"/>
          <w:color w:val="000000"/>
        </w:rPr>
        <w:t>3</w:t>
      </w:r>
      <w:r>
        <w:rPr>
          <w:sz w:val="21"/>
          <w:color w:val="000000"/>
        </w:rPr>
        <w:t>人，现场实施工程师应具有丰富的项目经验，指派专人担任项目负责人，负责本项目协调管理工作。项目负责人须具备计算机相关专业本科或以上学历，技术负责人负责本项目技术规划内容，须具备计算机相关专业本科或以上学历，其他人员不低于大专学历。</w:t>
      </w:r>
    </w:p>
    <w:p>
      <w:pPr>
        <w:pStyle w:val="null3"/>
        <w:spacing w:before="150"/>
        <w:ind w:right="420" w:firstLine="420"/>
        <w:jc w:val="both"/>
      </w:pPr>
      <w:r>
        <w:rPr>
          <w:sz w:val="21"/>
          <w:color w:val="000000"/>
        </w:rPr>
        <w:t>如需调整服务团队成员，须书面向采购人提出申请，说明申请理由，经采购人书面同意方可调整团队人员，调入人员的资历和从业经验不低于调出人员，否则视为违约行为，采购人有权终止服务合同。</w:t>
      </w:r>
    </w:p>
    <w:p>
      <w:pPr>
        <w:pStyle w:val="null3"/>
        <w:spacing w:before="150"/>
        <w:ind w:right="420" w:firstLine="420"/>
        <w:jc w:val="both"/>
      </w:pPr>
      <w:r>
        <w:rPr>
          <w:sz w:val="21"/>
          <w:color w:val="000000"/>
        </w:rPr>
        <w:t>7.</w:t>
      </w:r>
      <w:r>
        <w:rPr>
          <w:sz w:val="21"/>
        </w:rPr>
        <w:t>设备安装、调试及培训要求</w:t>
      </w:r>
    </w:p>
    <w:p>
      <w:pPr>
        <w:pStyle w:val="null3"/>
        <w:spacing w:before="150"/>
        <w:ind w:right="420" w:firstLine="420"/>
        <w:jc w:val="both"/>
      </w:pPr>
      <w:r>
        <w:rPr>
          <w:sz w:val="21"/>
          <w:color w:val="000000"/>
        </w:rPr>
        <w:t>需提供详尽的</w:t>
      </w:r>
      <w:r>
        <w:rPr>
          <w:sz w:val="21"/>
        </w:rPr>
        <w:t>包括但不限于设备安装、调试、试运行，培训方案</w:t>
      </w:r>
      <w:r>
        <w:rPr>
          <w:sz w:val="21"/>
          <w:color w:val="000000"/>
        </w:rPr>
        <w:t>。</w:t>
      </w:r>
      <w:r>
        <w:rPr>
          <w:sz w:val="21"/>
        </w:rPr>
        <w:t>安装、调试及验收、培训方案应当包含对设备的安装调试方案、相关人员的使用培训方案，以及对产品的联机调试与验收协助方案，</w:t>
      </w:r>
      <w:r>
        <w:rPr>
          <w:sz w:val="21"/>
          <w:color w:val="000000"/>
        </w:rPr>
        <w:t>上述方案的合理性与适用性应当合理可行。</w:t>
      </w:r>
    </w:p>
    <w:p>
      <w:pPr>
        <w:pStyle w:val="null3"/>
        <w:spacing w:before="150"/>
        <w:ind w:right="420" w:firstLine="420"/>
        <w:jc w:val="both"/>
      </w:pPr>
      <w:r>
        <w:rPr>
          <w:sz w:val="21"/>
          <w:color w:val="000000"/>
        </w:rPr>
        <w:t>8.</w:t>
      </w:r>
      <w:r>
        <w:rPr>
          <w:sz w:val="21"/>
          <w:color w:val="000000"/>
        </w:rPr>
        <w:t>服务响应要求</w:t>
      </w:r>
    </w:p>
    <w:p>
      <w:pPr>
        <w:pStyle w:val="null3"/>
        <w:spacing w:before="150"/>
        <w:ind w:right="420" w:firstLine="420"/>
        <w:jc w:val="both"/>
      </w:pPr>
      <w:r>
        <w:rPr>
          <w:sz w:val="21"/>
          <w:color w:val="000000"/>
        </w:rPr>
        <w:t>（</w:t>
      </w:r>
      <w:r>
        <w:rPr>
          <w:sz w:val="21"/>
          <w:color w:val="000000"/>
        </w:rPr>
        <w:t>1</w:t>
      </w:r>
      <w:r>
        <w:rPr>
          <w:sz w:val="21"/>
          <w:color w:val="000000"/>
        </w:rPr>
        <w:t>）服务响应以现场方式为主，远程协助。</w:t>
      </w:r>
    </w:p>
    <w:p>
      <w:pPr>
        <w:pStyle w:val="null3"/>
        <w:spacing w:before="150"/>
        <w:ind w:right="420" w:firstLine="420"/>
        <w:jc w:val="both"/>
      </w:pPr>
      <w:r>
        <w:rPr>
          <w:sz w:val="21"/>
          <w:color w:val="000000"/>
        </w:rPr>
        <w:t>（</w:t>
      </w:r>
      <w:r>
        <w:rPr>
          <w:sz w:val="21"/>
          <w:color w:val="000000"/>
        </w:rPr>
        <w:t>2</w:t>
      </w:r>
      <w:r>
        <w:rPr>
          <w:sz w:val="21"/>
          <w:color w:val="000000"/>
        </w:rPr>
        <w:t>）设备出现故障时，供应商</w:t>
      </w:r>
      <w:r>
        <w:rPr>
          <w:sz w:val="21"/>
          <w:color w:val="000000"/>
        </w:rPr>
        <w:t>2</w:t>
      </w:r>
      <w:r>
        <w:rPr>
          <w:sz w:val="21"/>
          <w:color w:val="000000"/>
        </w:rPr>
        <w:t>小时服务响应，技术人员应在接到报障后</w:t>
      </w:r>
      <w:r>
        <w:rPr>
          <w:sz w:val="21"/>
          <w:color w:val="000000"/>
        </w:rPr>
        <w:t>4</w:t>
      </w:r>
      <w:r>
        <w:rPr>
          <w:sz w:val="21"/>
          <w:color w:val="000000"/>
        </w:rPr>
        <w:t>小时内到现场处理系统出现的故障；及时作出故障原因报告并提出有效措施加以解决。</w:t>
      </w:r>
      <w:r>
        <w:rPr>
          <w:sz w:val="21"/>
          <w:color w:val="000000"/>
        </w:rPr>
        <w:t>48</w:t>
      </w:r>
      <w:r>
        <w:rPr>
          <w:sz w:val="21"/>
          <w:color w:val="000000"/>
        </w:rPr>
        <w:t>小时内处理完毕。若在</w:t>
      </w:r>
      <w:r>
        <w:rPr>
          <w:sz w:val="21"/>
          <w:color w:val="000000"/>
        </w:rPr>
        <w:t>24</w:t>
      </w:r>
      <w:r>
        <w:rPr>
          <w:sz w:val="21"/>
          <w:color w:val="000000"/>
        </w:rPr>
        <w:t>小时内仍未能有效解决，应当免费提供同等设备供采购人临时使用，不得影响采购人的正常工作业务。</w:t>
      </w:r>
    </w:p>
    <w:p>
      <w:pPr>
        <w:pStyle w:val="null3"/>
        <w:spacing w:before="150"/>
        <w:ind w:right="420" w:firstLine="420"/>
        <w:jc w:val="both"/>
      </w:pPr>
      <w:r>
        <w:rPr>
          <w:sz w:val="21"/>
          <w:color w:val="000000"/>
        </w:rPr>
        <w:t>9.</w:t>
      </w:r>
      <w:r>
        <w:rPr>
          <w:sz w:val="21"/>
          <w:color w:val="000000"/>
        </w:rPr>
        <w:t>质量保障服务</w:t>
      </w:r>
    </w:p>
    <w:p>
      <w:pPr>
        <w:pStyle w:val="null3"/>
        <w:spacing w:before="150"/>
        <w:ind w:right="420" w:firstLine="420"/>
        <w:jc w:val="both"/>
      </w:pPr>
      <w:r>
        <w:rPr>
          <w:sz w:val="21"/>
          <w:color w:val="000000"/>
        </w:rPr>
        <w:t>（</w:t>
      </w:r>
      <w:r>
        <w:rPr>
          <w:sz w:val="21"/>
          <w:color w:val="000000"/>
        </w:rPr>
        <w:t>1</w:t>
      </w:r>
      <w:r>
        <w:rPr>
          <w:sz w:val="21"/>
          <w:color w:val="000000"/>
        </w:rPr>
        <w:t>）需提供</w:t>
      </w:r>
      <w:r>
        <w:rPr>
          <w:sz w:val="21"/>
        </w:rPr>
        <w:t>不限于质量保障方案，质量保障制度，项目管理，风险管理等方案</w:t>
      </w:r>
      <w:r>
        <w:rPr>
          <w:sz w:val="21"/>
          <w:color w:val="000000"/>
        </w:rPr>
        <w:t>。</w:t>
      </w:r>
    </w:p>
    <w:p>
      <w:pPr>
        <w:pStyle w:val="null3"/>
        <w:spacing w:before="150"/>
        <w:ind w:right="420" w:firstLine="420"/>
        <w:jc w:val="both"/>
      </w:pPr>
      <w:r>
        <w:rPr>
          <w:sz w:val="21"/>
          <w:color w:val="000000"/>
        </w:rPr>
        <w:t>（</w:t>
      </w:r>
      <w:r>
        <w:rPr>
          <w:sz w:val="21"/>
          <w:color w:val="000000"/>
        </w:rPr>
        <w:t>2</w:t>
      </w:r>
      <w:r>
        <w:rPr>
          <w:sz w:val="21"/>
          <w:color w:val="000000"/>
        </w:rPr>
        <w:t>）质量保障服务要求：在质量保障服务期内，对所采购的设备产品提供技术支持和服务，包含在总价中，不得另加收费，包含但不限于以下内容，提供投标人承诺函：</w:t>
      </w:r>
    </w:p>
    <w:p>
      <w:pPr>
        <w:pStyle w:val="null3"/>
        <w:spacing w:before="150"/>
        <w:ind w:right="420" w:firstLine="420"/>
        <w:jc w:val="both"/>
      </w:pPr>
      <w:r>
        <w:rPr>
          <w:sz w:val="21"/>
          <w:color w:val="000000"/>
        </w:rPr>
        <w:t>①现场技术支持</w:t>
      </w:r>
    </w:p>
    <w:p>
      <w:pPr>
        <w:pStyle w:val="null3"/>
        <w:spacing w:before="150"/>
        <w:ind w:right="420" w:firstLine="420"/>
        <w:jc w:val="both"/>
      </w:pPr>
      <w:r>
        <w:rPr>
          <w:sz w:val="21"/>
          <w:color w:val="000000"/>
        </w:rPr>
        <w:t>（</w:t>
      </w:r>
      <w:r>
        <w:rPr>
          <w:sz w:val="21"/>
          <w:color w:val="000000"/>
        </w:rPr>
        <w:t>a</w:t>
      </w:r>
      <w:r>
        <w:rPr>
          <w:sz w:val="21"/>
          <w:color w:val="000000"/>
        </w:rPr>
        <w:t>）现场故障排除：接到需现场解决故障信息后在</w:t>
      </w:r>
      <w:r>
        <w:rPr>
          <w:sz w:val="21"/>
          <w:color w:val="000000"/>
        </w:rPr>
        <w:t>4</w:t>
      </w:r>
      <w:r>
        <w:rPr>
          <w:sz w:val="21"/>
          <w:color w:val="000000"/>
        </w:rPr>
        <w:t>小时内派遣技术支持工程师到现场帮助用户排除故障或解决疑难问题。</w:t>
      </w:r>
    </w:p>
    <w:p>
      <w:pPr>
        <w:pStyle w:val="null3"/>
        <w:spacing w:before="150"/>
        <w:ind w:right="420" w:firstLine="420"/>
        <w:jc w:val="both"/>
      </w:pPr>
      <w:r>
        <w:rPr>
          <w:sz w:val="21"/>
          <w:color w:val="000000"/>
        </w:rPr>
        <w:t>（</w:t>
      </w:r>
      <w:r>
        <w:rPr>
          <w:sz w:val="21"/>
          <w:color w:val="000000"/>
        </w:rPr>
        <w:t>b</w:t>
      </w:r>
      <w:r>
        <w:rPr>
          <w:sz w:val="21"/>
          <w:color w:val="000000"/>
        </w:rPr>
        <w:t>）现场备件更换：当诊断有硬件故障时，根据故障硬件的类型及时调度相应的备品备件。要求更换的配件跟被更换的品牌、类型相一致或者是同类同级别的替代品，后者需征得用户方管理员同意。</w:t>
      </w:r>
    </w:p>
    <w:p>
      <w:pPr>
        <w:pStyle w:val="null3"/>
        <w:spacing w:before="150"/>
        <w:ind w:right="420" w:firstLine="420"/>
        <w:jc w:val="both"/>
      </w:pPr>
      <w:r>
        <w:rPr>
          <w:sz w:val="21"/>
          <w:color w:val="000000"/>
        </w:rPr>
        <w:t>②远程技术服务（此服务终身提供）</w:t>
      </w:r>
    </w:p>
    <w:p>
      <w:pPr>
        <w:pStyle w:val="null3"/>
        <w:spacing w:before="150"/>
        <w:ind w:right="420" w:firstLine="420"/>
        <w:jc w:val="both"/>
      </w:pPr>
      <w:r>
        <w:rPr>
          <w:sz w:val="21"/>
          <w:color w:val="000000"/>
        </w:rPr>
        <w:t>（</w:t>
      </w:r>
      <w:r>
        <w:rPr>
          <w:sz w:val="21"/>
          <w:color w:val="000000"/>
        </w:rPr>
        <w:t>a</w:t>
      </w:r>
      <w:r>
        <w:rPr>
          <w:sz w:val="21"/>
          <w:color w:val="000000"/>
        </w:rPr>
        <w:t>）热线电话支持：技术支持工程师直接同用户对话，帮助解决用户提出的疑难问题。热线电话提供</w:t>
      </w:r>
      <w:r>
        <w:rPr>
          <w:sz w:val="21"/>
          <w:color w:val="000000"/>
        </w:rPr>
        <w:t>7</w:t>
      </w:r>
      <w:r>
        <w:rPr>
          <w:sz w:val="21"/>
          <w:color w:val="000000"/>
        </w:rPr>
        <w:t>×</w:t>
      </w:r>
      <w:r>
        <w:rPr>
          <w:sz w:val="21"/>
          <w:color w:val="000000"/>
        </w:rPr>
        <w:t>24</w:t>
      </w:r>
      <w:r>
        <w:rPr>
          <w:sz w:val="21"/>
          <w:color w:val="000000"/>
        </w:rPr>
        <w:t>的服务能力，对客户提出的一般性问题进行技术咨询、指导，帮助用户选择和使用新技术；</w:t>
      </w:r>
    </w:p>
    <w:p>
      <w:pPr>
        <w:pStyle w:val="null3"/>
        <w:spacing w:before="150"/>
        <w:ind w:right="420" w:firstLine="420"/>
        <w:jc w:val="both"/>
      </w:pPr>
      <w:r>
        <w:rPr>
          <w:sz w:val="21"/>
          <w:color w:val="000000"/>
        </w:rPr>
        <w:t>（</w:t>
      </w:r>
      <w:r>
        <w:rPr>
          <w:sz w:val="21"/>
          <w:color w:val="000000"/>
        </w:rPr>
        <w:t>b</w:t>
      </w:r>
      <w:r>
        <w:rPr>
          <w:sz w:val="21"/>
          <w:color w:val="000000"/>
        </w:rPr>
        <w:t>）电子邮件服务：以电子邮件的形式发送关于各类产品的问题请求，由专门的技术支持工程师实时监控电子邮件信息，并及时予以回复。</w:t>
      </w:r>
    </w:p>
    <w:p>
      <w:pPr>
        <w:pStyle w:val="null3"/>
        <w:jc w:val="both"/>
      </w:pPr>
      <w:r>
        <w:rPr>
          <w:sz w:val="21"/>
          <w:b/>
        </w:rPr>
        <w:t>四、验收标准</w:t>
      </w:r>
    </w:p>
    <w:p>
      <w:pPr>
        <w:pStyle w:val="null3"/>
        <w:ind w:firstLine="420"/>
        <w:jc w:val="both"/>
      </w:pPr>
      <w:r>
        <w:rPr>
          <w:sz w:val="21"/>
        </w:rPr>
        <w:t>货物需同时完全符合下列各项标准和要求视为合格∶</w:t>
      </w:r>
    </w:p>
    <w:p>
      <w:pPr>
        <w:pStyle w:val="null3"/>
        <w:ind w:firstLine="420"/>
        <w:jc w:val="both"/>
      </w:pPr>
      <w:r>
        <w:rPr>
          <w:sz w:val="21"/>
        </w:rPr>
        <w:t>1.</w:t>
      </w:r>
      <w:r>
        <w:rPr>
          <w:sz w:val="21"/>
        </w:rPr>
        <w:t>装箱单（包括但不限于质量合格证书、保修证书、产品使用说明书及其他应随产品一同装箱的技术资料等）。</w:t>
      </w:r>
    </w:p>
    <w:p>
      <w:pPr>
        <w:pStyle w:val="null3"/>
        <w:ind w:firstLine="420"/>
        <w:jc w:val="both"/>
      </w:pPr>
      <w:r>
        <w:rPr>
          <w:sz w:val="21"/>
        </w:rPr>
        <w:t>2.</w:t>
      </w:r>
      <w:r>
        <w:rPr>
          <w:sz w:val="21"/>
        </w:rPr>
        <w:t>验收应在成交人、采购人双方共同参加下进行，验收按国家有关的规定、规范进行。</w:t>
      </w:r>
    </w:p>
    <w:p>
      <w:pPr>
        <w:pStyle w:val="null3"/>
        <w:ind w:firstLine="420"/>
        <w:jc w:val="both"/>
      </w:pPr>
      <w:r>
        <w:rPr>
          <w:sz w:val="21"/>
        </w:rPr>
        <w:t>3.</w:t>
      </w:r>
      <w:r>
        <w:rPr>
          <w:sz w:val="21"/>
        </w:rPr>
        <w:t>成交人保证合同项下提供的货物（或者设备）不侵犯任何第三方的知识产权。否则，成交人需承担对第三方的侵权责任并承担因此而发生的所有费用。</w:t>
      </w:r>
    </w:p>
    <w:p>
      <w:pPr>
        <w:pStyle w:val="null3"/>
        <w:spacing w:before="150"/>
        <w:ind w:right="420" w:firstLine="420"/>
        <w:jc w:val="both"/>
      </w:pPr>
      <w:r>
        <w:rPr>
          <w:sz w:val="21"/>
        </w:rPr>
        <w:t>4.</w:t>
      </w:r>
      <w:r>
        <w:rPr>
          <w:sz w:val="21"/>
        </w:rPr>
        <w:t>由采购人组织专家进行验收，必要时，可邀请第三方机构进行验收，由此产生的费用由成交人承担。</w:t>
      </w:r>
    </w:p>
    <w:p>
      <w:pPr>
        <w:pStyle w:val="null3"/>
        <w:spacing w:before="150"/>
        <w:ind w:right="420" w:firstLine="420"/>
        <w:jc w:val="both"/>
      </w:pPr>
      <w:r>
        <w:rPr>
          <w:sz w:val="21"/>
          <w:color w:val="000000"/>
        </w:rPr>
        <w:t>5.</w:t>
      </w:r>
      <w:r>
        <w:rPr>
          <w:sz w:val="21"/>
          <w:color w:val="000000"/>
        </w:rPr>
        <w:t>所有设备需通过试运行。</w:t>
      </w:r>
    </w:p>
    <w:p>
      <w:pPr>
        <w:pStyle w:val="null3"/>
        <w:spacing w:before="150"/>
        <w:ind w:right="420" w:firstLine="420"/>
        <w:jc w:val="both"/>
      </w:pPr>
      <w:r>
        <w:rPr>
          <w:sz w:val="21"/>
          <w:color w:val="000000"/>
        </w:rPr>
        <w:t>6.</w:t>
      </w:r>
      <w:r>
        <w:rPr>
          <w:sz w:val="21"/>
          <w:color w:val="000000"/>
        </w:rPr>
        <w:t>满足项目采购文件及供应商文件承诺的相关技术要求。</w:t>
      </w:r>
    </w:p>
    <w:p>
      <w:pPr>
        <w:pStyle w:val="null3"/>
        <w:spacing w:before="150"/>
        <w:ind w:right="420" w:firstLine="420"/>
        <w:jc w:val="both"/>
      </w:pPr>
      <w:r>
        <w:rPr>
          <w:sz w:val="21"/>
          <w:color w:val="000000"/>
        </w:rPr>
        <w:t>7.</w:t>
      </w:r>
      <w:r>
        <w:rPr>
          <w:sz w:val="21"/>
          <w:color w:val="000000"/>
        </w:rPr>
        <w:t>项目实施过程中约定的其他相关技术要求。</w:t>
      </w:r>
    </w:p>
    <w:p>
      <w:pPr>
        <w:pStyle w:val="null3"/>
        <w:jc w:val="both"/>
      </w:pPr>
      <w:r>
        <w:rPr>
          <w:sz w:val="21"/>
          <w:b/>
        </w:rPr>
        <w:t>五、违约责任</w:t>
      </w:r>
    </w:p>
    <w:p>
      <w:pPr>
        <w:pStyle w:val="null3"/>
        <w:ind w:firstLine="420"/>
        <w:jc w:val="both"/>
      </w:pPr>
      <w:r>
        <w:rPr>
          <w:sz w:val="21"/>
        </w:rPr>
        <w:t>1.</w:t>
      </w:r>
      <w:r>
        <w:rPr>
          <w:sz w:val="21"/>
        </w:rPr>
        <w:t>如成交人延期交货或采购人延期付款，每逾期一日，违约方应按合同金额3‰向对方支付违约金，但该违约金累计不超过合同金额的3‰，逾期超过5日，守约方有权解除合同，并要求违约方赔偿由此造成的损失。</w:t>
      </w:r>
    </w:p>
    <w:p>
      <w:pPr>
        <w:pStyle w:val="null3"/>
        <w:ind w:firstLine="420"/>
        <w:jc w:val="both"/>
      </w:pPr>
      <w:r>
        <w:rPr>
          <w:sz w:val="21"/>
        </w:rPr>
        <w:t>2.</w:t>
      </w:r>
      <w:r>
        <w:rPr>
          <w:sz w:val="21"/>
        </w:rPr>
        <w:t>如任何一方无故解除合同或有其他违约行为，应向对方支付合同金额5%的违约金。</w:t>
      </w:r>
    </w:p>
    <w:p>
      <w:pPr>
        <w:pStyle w:val="null3"/>
        <w:jc w:val="both"/>
      </w:pPr>
      <w:r>
        <w:rPr>
          <w:sz w:val="21"/>
          <w:b/>
        </w:rPr>
        <w:t>六、解决纠纷方式</w:t>
      </w:r>
    </w:p>
    <w:p>
      <w:pPr>
        <w:pStyle w:val="null3"/>
        <w:ind w:firstLine="420"/>
        <w:jc w:val="both"/>
      </w:pPr>
      <w:r>
        <w:rPr>
          <w:sz w:val="21"/>
        </w:rPr>
        <w:t>因合同引起的争议，采购人与成交人双方应首先通过友好协商解决。如果协商或调解不能解决争议，则按相关法律法规处理。</w:t>
      </w:r>
    </w:p>
    <w:p>
      <w:pPr>
        <w:pStyle w:val="null3"/>
        <w:spacing w:before="120" w:after="120"/>
        <w:jc w:val="both"/>
        <w:outlineLvl w:val="0"/>
      </w:pPr>
      <w:r>
        <w:rPr>
          <w:sz w:val="21"/>
          <w:b/>
        </w:rPr>
        <w:t>七、进度要求</w:t>
      </w:r>
    </w:p>
    <w:p>
      <w:pPr>
        <w:pStyle w:val="null3"/>
        <w:jc w:val="both"/>
      </w:pPr>
      <w:r>
        <w:rPr>
          <w:sz w:val="21"/>
        </w:rPr>
        <w:t xml:space="preserve">    </w:t>
      </w:r>
      <w:r>
        <w:rPr>
          <w:sz w:val="21"/>
        </w:rPr>
        <w:t>本项目所采购的设备交付期限为合同签订后30个工作日内，项目工期不超过2024年12月30日。</w:t>
      </w:r>
      <w:r>
        <w:rPr>
          <w:sz w:val="21"/>
        </w:rPr>
        <w:t>交货地点为：广州市海珠区南华东路</w:t>
      </w:r>
      <w:r>
        <w:rPr>
          <w:sz w:val="21"/>
        </w:rPr>
        <w:t>547</w:t>
      </w:r>
      <w:r>
        <w:rPr>
          <w:sz w:val="21"/>
        </w:rPr>
        <w:t>号。</w:t>
      </w:r>
    </w:p>
    <w:p>
      <w:pPr>
        <w:pStyle w:val="null3"/>
        <w:spacing w:before="120" w:after="120"/>
        <w:jc w:val="both"/>
        <w:outlineLvl w:val="0"/>
      </w:pPr>
      <w:r>
        <w:rPr>
          <w:sz w:val="21"/>
          <w:b/>
        </w:rPr>
        <w:t>八、保密要求</w:t>
      </w:r>
    </w:p>
    <w:p>
      <w:pPr>
        <w:pStyle w:val="null3"/>
        <w:jc w:val="both"/>
      </w:pPr>
      <w:r>
        <w:rPr>
          <w:sz w:val="21"/>
        </w:rPr>
        <w:t xml:space="preserve">    </w:t>
      </w:r>
      <w:r>
        <w:rPr>
          <w:sz w:val="21"/>
        </w:rPr>
        <w:t>采购人和供应商双方在任何情况下不得将本项目涉及的有关对方的资料泄露给第三方。如一方违反本条的规定，除立即停止违约行为外，还应支付违约金以及赔偿另一方的损失。</w:t>
      </w:r>
    </w:p>
    <w:p>
      <w:pPr>
        <w:pStyle w:val="null3"/>
        <w:spacing w:before="120" w:after="120"/>
        <w:jc w:val="both"/>
        <w:outlineLvl w:val="0"/>
      </w:pPr>
      <w:r>
        <w:rPr>
          <w:sz w:val="21"/>
          <w:b/>
        </w:rPr>
        <w:t>九、付款方式</w:t>
      </w:r>
    </w:p>
    <w:p>
      <w:pPr>
        <w:pStyle w:val="null3"/>
        <w:ind w:firstLine="420"/>
        <w:jc w:val="both"/>
      </w:pPr>
      <w:r>
        <w:rPr>
          <w:sz w:val="21"/>
        </w:rPr>
        <w:t>（一）本项目分3期支付，具体支付方式和时间如下：</w:t>
      </w:r>
    </w:p>
    <w:p>
      <w:pPr>
        <w:pStyle w:val="null3"/>
        <w:ind w:firstLine="420"/>
        <w:jc w:val="both"/>
      </w:pPr>
      <w:r>
        <w:rPr>
          <w:sz w:val="21"/>
        </w:rPr>
        <w:t>第一期：合同生效后，采购人在收到投标人付款申请及相应正式增值税普通发票后5个工作日内启动向成交人支付合同总价50%的首付款流程，10个工作日内将资金支付到合同约定的供应商账户；</w:t>
      </w:r>
    </w:p>
    <w:p>
      <w:pPr>
        <w:pStyle w:val="null3"/>
        <w:ind w:firstLine="420"/>
        <w:jc w:val="both"/>
      </w:pPr>
      <w:r>
        <w:rPr>
          <w:sz w:val="21"/>
        </w:rPr>
        <w:t>第二期：支付比例40%，采购人完成所有设备签收且设备上架确认可使用后，收到相应正式增值税普通发票后5个工作日内启动支付合同总价的40%二期款流程，10个工作日内将资金支付到合同约定的供应商账户；</w:t>
      </w:r>
    </w:p>
    <w:p>
      <w:pPr>
        <w:pStyle w:val="null3"/>
        <w:ind w:firstLine="420"/>
        <w:jc w:val="both"/>
      </w:pPr>
      <w:r>
        <w:rPr>
          <w:sz w:val="21"/>
        </w:rPr>
        <w:t>第三期：支付比例</w:t>
      </w:r>
      <w:r>
        <w:rPr>
          <w:sz w:val="21"/>
        </w:rPr>
        <w:t>10%</w:t>
      </w:r>
      <w:r>
        <w:rPr>
          <w:sz w:val="21"/>
        </w:rPr>
        <w:t>，由</w:t>
      </w:r>
      <w:r>
        <w:rPr>
          <w:sz w:val="21"/>
        </w:rPr>
        <w:t>中标</w:t>
      </w:r>
      <w:r>
        <w:rPr>
          <w:sz w:val="21"/>
        </w:rPr>
        <w:t>供应商在所有产品交付使用试运行一个月后，组织专家或第三方对所有产品进行验收无误后且收到相应正式增值税普通发票后</w:t>
      </w:r>
      <w:r>
        <w:rPr>
          <w:sz w:val="21"/>
        </w:rPr>
        <w:t>5</w:t>
      </w:r>
      <w:r>
        <w:rPr>
          <w:sz w:val="21"/>
        </w:rPr>
        <w:t>个工作日内启动支付流程，</w:t>
      </w:r>
      <w:r>
        <w:rPr>
          <w:sz w:val="21"/>
        </w:rPr>
        <w:t>10</w:t>
      </w:r>
      <w:r>
        <w:rPr>
          <w:sz w:val="21"/>
        </w:rPr>
        <w:t>个工作日内将资金支付到合同约定的供应商账户</w:t>
      </w:r>
      <w:r>
        <w:rPr>
          <w:sz w:val="21"/>
        </w:rPr>
        <w:t>。</w:t>
      </w:r>
    </w:p>
    <w:p>
      <w:pPr>
        <w:pStyle w:val="null3"/>
        <w:ind w:firstLine="420"/>
        <w:jc w:val="both"/>
      </w:pPr>
      <w:r>
        <w:rPr>
          <w:sz w:val="21"/>
        </w:rPr>
        <w:t>（二）若因</w:t>
      </w:r>
      <w:r>
        <w:rPr>
          <w:sz w:val="21"/>
        </w:rPr>
        <w:t>中标</w:t>
      </w:r>
      <w:r>
        <w:rPr>
          <w:sz w:val="21"/>
        </w:rPr>
        <w:t>供应商原因致使项目延期完成，从而造成采购人因财政资金回收而无法支付项目资金的情况，由此造成一切损失由中标供应商负责。</w:t>
      </w:r>
    </w:p>
    <w:p>
      <w:pPr>
        <w:pStyle w:val="null3"/>
        <w:ind w:firstLine="420"/>
        <w:jc w:val="both"/>
      </w:pPr>
      <w:r>
        <w:rPr>
          <w:sz w:val="21"/>
        </w:rPr>
        <w:t>（三）违约责任：1.中标人交付的货物不符合合同规定的，采购人有权拒收，并且中标人须向采购人支付本合同总价5%的违约金。</w:t>
      </w:r>
    </w:p>
    <w:p>
      <w:pPr>
        <w:pStyle w:val="null3"/>
        <w:ind w:firstLine="420"/>
        <w:jc w:val="both"/>
      </w:pPr>
      <w:r>
        <w:rPr>
          <w:sz w:val="21"/>
        </w:rPr>
        <w:t>2.</w:t>
      </w:r>
      <w:r>
        <w:rPr>
          <w:sz w:val="21"/>
        </w:rPr>
        <w:t>中标人未能按本合同规定的交货时间交付货物的，从逾期之日起每日按本合同总价1‰的数额向采购人支付违约金；逾期15日以上的，采购人有权终止合同，由此造成的采购人经济损失由中标人承担。</w:t>
      </w:r>
    </w:p>
    <w:p>
      <w:pPr>
        <w:pStyle w:val="null3"/>
        <w:ind w:firstLine="420"/>
        <w:jc w:val="both"/>
      </w:pPr>
      <w:r>
        <w:rPr>
          <w:sz w:val="21"/>
        </w:rPr>
        <w:t>3.</w:t>
      </w:r>
      <w:r>
        <w:rPr>
          <w:sz w:val="21"/>
        </w:rPr>
        <w:t>采购人无正当理由拒收货物的，采购人向中标人偿付本合同总价的5%的违约金。采购人逾期付款的，则每日按本逾期款项的1‰向中标人偿付违约金。</w:t>
      </w:r>
    </w:p>
    <w:p>
      <w:pPr>
        <w:pStyle w:val="null3"/>
        <w:ind w:firstLine="420"/>
        <w:jc w:val="both"/>
      </w:pPr>
      <w:r>
        <w:rPr>
          <w:sz w:val="21"/>
        </w:rPr>
        <w:t>4.</w:t>
      </w:r>
      <w:r>
        <w:rPr>
          <w:sz w:val="21"/>
        </w:rPr>
        <w:t>其他违约责任按《中华人民共和国民法典（合同编）》处理。</w:t>
      </w:r>
    </w:p>
    <w:p>
      <w:pPr>
        <w:pStyle w:val="null3"/>
        <w:ind w:firstLine="420"/>
        <w:jc w:val="both"/>
      </w:pPr>
      <w:r>
        <w:rPr>
          <w:sz w:val="21"/>
        </w:rPr>
        <w:t>（四）付款方式：可采用支票、银行汇票、电汇三种形式其一。</w:t>
      </w:r>
    </w:p>
    <w:p>
      <w:pPr>
        <w:pStyle w:val="null3"/>
        <w:jc w:val="both"/>
      </w:pPr>
      <w:r>
        <w:rPr>
          <w:sz w:val="21"/>
          <w:b/>
        </w:rPr>
        <w:t>十、其他</w:t>
      </w:r>
    </w:p>
    <w:p>
      <w:pPr>
        <w:pStyle w:val="null3"/>
        <w:ind w:firstLine="420"/>
        <w:jc w:val="both"/>
      </w:pPr>
      <w:r>
        <w:rPr>
          <w:sz w:val="21"/>
        </w:rPr>
        <w:t>1.</w:t>
      </w:r>
      <w:r>
        <w:rPr>
          <w:sz w:val="21"/>
        </w:rPr>
        <w:t>涉及软件产品的，需采购和使用正版软件，项目中涉及计算机办公使用的，需预装正版操作系统软件（投标时提供承诺函，可参照“投标文件格式”中《承诺函》格式）。</w:t>
      </w:r>
    </w:p>
    <w:p>
      <w:pPr>
        <w:pStyle w:val="null3"/>
        <w:ind w:firstLine="420"/>
        <w:jc w:val="both"/>
      </w:pPr>
      <w:r>
        <w:rPr>
          <w:sz w:val="21"/>
        </w:rPr>
        <w:t>4.</w:t>
      </w:r>
      <w:r>
        <w:rPr>
          <w:sz w:val="21"/>
        </w:rPr>
        <w:t>投标人应保证，采购人在中华人民共和国使用该货物或货物的任何一部分时，免受第三方提出的侵犯其专利权、商标权、著作权或其他知识产权的起诉。</w:t>
      </w:r>
    </w:p>
    <w:p>
      <w:pPr>
        <w:pStyle w:val="null3"/>
        <w:ind w:firstLine="420"/>
        <w:jc w:val="both"/>
      </w:pPr>
      <w:r>
        <w:rPr>
          <w:sz w:val="21"/>
        </w:rPr>
        <w:t>5.</w:t>
      </w:r>
      <w:r>
        <w:rPr>
          <w:sz w:val="21"/>
        </w:rPr>
        <w:t>中标后不得将项目转包、分包于他人。</w:t>
      </w:r>
    </w:p>
    <w:p>
      <w:pPr>
        <w:pStyle w:val="null3"/>
        <w:ind w:firstLine="420"/>
        <w:jc w:val="both"/>
      </w:pPr>
      <w:r>
        <w:rPr>
          <w:sz w:val="21"/>
        </w:rPr>
        <w:t>6.</w:t>
      </w:r>
      <w:r>
        <w:rPr>
          <w:sz w:val="21"/>
        </w:rPr>
        <w:t>供应商投标文件需包含廉洁承诺书，详见附件1。</w:t>
      </w:r>
    </w:p>
    <w:p>
      <w:pPr>
        <w:pStyle w:val="null3"/>
        <w:jc w:val="left"/>
      </w:pPr>
      <w:r>
        <w:rPr>
          <w:sz w:val="21"/>
        </w:rPr>
        <w:t>附件1: （供应商可参照以下格式提供廉洁承诺）</w:t>
      </w:r>
    </w:p>
    <w:p>
      <w:pPr>
        <w:pStyle w:val="null3"/>
        <w:jc w:val="left"/>
      </w:pPr>
      <w:r>
        <w:rPr>
          <w:sz w:val="21"/>
        </w:rPr>
        <w:t>附件2</w:t>
      </w:r>
      <w:r>
        <w:rPr>
          <w:sz w:val="21"/>
          <w:b/>
        </w:rPr>
        <w:t>《政策适用性说明》</w:t>
      </w:r>
    </w:p>
    <w:p>
      <w:pPr>
        <w:pStyle w:val="null3"/>
        <w:jc w:val="center"/>
      </w:pPr>
      <w:r>
        <w:rPr>
          <w:sz w:val="30"/>
          <w:b/>
        </w:rPr>
        <w:t>廉洁诚信承诺书范文</w:t>
      </w:r>
    </w:p>
    <w:p>
      <w:pPr>
        <w:pStyle w:val="null3"/>
        <w:jc w:val="both"/>
      </w:pPr>
      <w:r>
        <w:rPr>
          <w:sz w:val="21"/>
        </w:rPr>
        <w:t>我单位为有效避免在该项目履行过程中的腐败现象，抵制商业贿赂和不正当竞争，保障甲乙双方的合法权益，郑重签署如下廉洁诚信承诺书：</w:t>
      </w:r>
    </w:p>
    <w:p>
      <w:pPr>
        <w:pStyle w:val="null3"/>
        <w:jc w:val="both"/>
      </w:pPr>
      <w:r>
        <w:rPr>
          <w:sz w:val="21"/>
        </w:rPr>
        <w:t>我方遵守以下条款：</w:t>
      </w:r>
    </w:p>
    <w:p>
      <w:pPr>
        <w:pStyle w:val="null3"/>
        <w:ind w:firstLine="420"/>
        <w:jc w:val="both"/>
      </w:pPr>
      <w:r>
        <w:rPr>
          <w:sz w:val="21"/>
        </w:rPr>
        <w:t>第一条</w:t>
      </w:r>
      <w:r>
        <w:rPr>
          <w:sz w:val="21"/>
        </w:rPr>
        <w:t>对于招投标过程：</w:t>
      </w:r>
    </w:p>
    <w:p>
      <w:pPr>
        <w:pStyle w:val="null3"/>
        <w:ind w:firstLine="420"/>
        <w:jc w:val="both"/>
      </w:pPr>
      <w:r>
        <w:rPr>
          <w:sz w:val="21"/>
        </w:rPr>
        <w:t>1</w:t>
      </w:r>
      <w:r>
        <w:rPr>
          <w:sz w:val="21"/>
        </w:rPr>
        <w:t>、不以不正当手段向招标人谋取资格预审及投标的不正当照顾。</w:t>
      </w:r>
    </w:p>
    <w:p>
      <w:pPr>
        <w:pStyle w:val="null3"/>
        <w:ind w:firstLine="420"/>
        <w:jc w:val="both"/>
      </w:pPr>
      <w:r>
        <w:rPr>
          <w:sz w:val="21"/>
        </w:rPr>
        <w:t>2</w:t>
      </w:r>
      <w:r>
        <w:rPr>
          <w:sz w:val="21"/>
        </w:rPr>
        <w:t>、不以提供不正当利益等方式，向标底编制、审查人员打听标底编制情况，向招标代理单位谋求不正当利益。</w:t>
      </w:r>
    </w:p>
    <w:p>
      <w:pPr>
        <w:pStyle w:val="null3"/>
        <w:ind w:firstLine="420"/>
        <w:jc w:val="both"/>
      </w:pPr>
      <w:r>
        <w:rPr>
          <w:sz w:val="21"/>
        </w:rPr>
        <w:t>3</w:t>
      </w:r>
      <w:r>
        <w:rPr>
          <w:sz w:val="21"/>
        </w:rPr>
        <w:t>、在确定成交人前，不向评标专家打招呼谋求照顾，不与招标人就投标价格、投标方案等实质性内容进行谈判。</w:t>
      </w:r>
    </w:p>
    <w:p>
      <w:pPr>
        <w:pStyle w:val="null3"/>
        <w:ind w:firstLine="420"/>
        <w:jc w:val="both"/>
      </w:pPr>
      <w:r>
        <w:rPr>
          <w:sz w:val="21"/>
        </w:rPr>
        <w:t>4</w:t>
      </w:r>
      <w:r>
        <w:rPr>
          <w:sz w:val="21"/>
        </w:rPr>
        <w:t>、不弄虚作假，不谎报业绩，不提供虚假材料谋取中标成交。在资格预审资料中，主动提供近二年信用档案情况，包括有无不良行为记录和公示期限的证明。</w:t>
      </w:r>
    </w:p>
    <w:p>
      <w:pPr>
        <w:pStyle w:val="null3"/>
        <w:ind w:firstLine="420"/>
        <w:jc w:val="both"/>
      </w:pPr>
      <w:r>
        <w:rPr>
          <w:sz w:val="21"/>
        </w:rPr>
        <w:t>5</w:t>
      </w:r>
      <w:r>
        <w:rPr>
          <w:sz w:val="21"/>
        </w:rPr>
        <w:t>、不与投标人之间相互串标，如有其他人出现上述情况，主动向相关部门反映。</w:t>
      </w:r>
    </w:p>
    <w:p>
      <w:pPr>
        <w:pStyle w:val="null3"/>
        <w:ind w:firstLine="420"/>
        <w:jc w:val="both"/>
      </w:pPr>
      <w:r>
        <w:rPr>
          <w:sz w:val="21"/>
        </w:rPr>
        <w:t>6</w:t>
      </w:r>
      <w:r>
        <w:rPr>
          <w:sz w:val="21"/>
        </w:rPr>
        <w:t>、不采用不正当手段诋毁、排挤其他投标人。</w:t>
      </w:r>
    </w:p>
    <w:p>
      <w:pPr>
        <w:pStyle w:val="null3"/>
        <w:ind w:firstLine="420"/>
        <w:jc w:val="both"/>
      </w:pPr>
      <w:r>
        <w:rPr>
          <w:sz w:val="21"/>
        </w:rPr>
        <w:t>7</w:t>
      </w:r>
      <w:r>
        <w:rPr>
          <w:sz w:val="21"/>
        </w:rPr>
        <w:t>、不以他人名义投标或者以其他方式骗取中标。</w:t>
      </w:r>
    </w:p>
    <w:p>
      <w:pPr>
        <w:pStyle w:val="null3"/>
        <w:ind w:firstLine="420"/>
        <w:jc w:val="both"/>
      </w:pPr>
      <w:r>
        <w:rPr>
          <w:sz w:val="21"/>
        </w:rPr>
        <w:t>8</w:t>
      </w:r>
      <w:r>
        <w:rPr>
          <w:sz w:val="21"/>
        </w:rPr>
        <w:t>、中标后，不将中标项目转让他人，或将中标项目肢解后分别转让他人。</w:t>
      </w:r>
    </w:p>
    <w:p>
      <w:pPr>
        <w:pStyle w:val="null3"/>
        <w:ind w:firstLine="420"/>
        <w:jc w:val="both"/>
      </w:pPr>
      <w:r>
        <w:rPr>
          <w:sz w:val="21"/>
        </w:rPr>
        <w:t>9</w:t>
      </w:r>
      <w:r>
        <w:rPr>
          <w:sz w:val="21"/>
        </w:rPr>
        <w:t>、中标后，与招标人按照招标文件和成交人的投标文件订立合同，不订立背离合同实质性内容的协议。</w:t>
      </w:r>
    </w:p>
    <w:p>
      <w:pPr>
        <w:pStyle w:val="null3"/>
        <w:ind w:firstLine="420"/>
        <w:jc w:val="both"/>
      </w:pPr>
      <w:r>
        <w:rPr>
          <w:sz w:val="21"/>
        </w:rPr>
        <w:t>第二条</w:t>
      </w:r>
      <w:r>
        <w:rPr>
          <w:sz w:val="21"/>
        </w:rPr>
        <w:t>对于合同履约过程：</w:t>
      </w:r>
    </w:p>
    <w:p>
      <w:pPr>
        <w:pStyle w:val="null3"/>
        <w:ind w:firstLine="420"/>
        <w:jc w:val="both"/>
      </w:pPr>
      <w:r>
        <w:rPr>
          <w:sz w:val="21"/>
        </w:rPr>
        <w:t>1.</w:t>
      </w:r>
      <w:r>
        <w:rPr>
          <w:sz w:val="21"/>
        </w:rPr>
        <w:t>我方遵守国家法律法规和廉洁自律规定，遵守相关行业管理的有关规定。</w:t>
      </w:r>
    </w:p>
    <w:p>
      <w:pPr>
        <w:pStyle w:val="null3"/>
        <w:ind w:firstLine="420"/>
        <w:jc w:val="both"/>
      </w:pPr>
      <w:r>
        <w:rPr>
          <w:sz w:val="21"/>
        </w:rPr>
        <w:t>2.</w:t>
      </w:r>
      <w:r>
        <w:rPr>
          <w:sz w:val="21"/>
        </w:rPr>
        <w:t>我方的经济业务活动应坚持公开、公平、公正，不得损害国家及甲乙双方的利益。</w:t>
      </w:r>
    </w:p>
    <w:p>
      <w:pPr>
        <w:pStyle w:val="null3"/>
        <w:ind w:firstLine="420"/>
        <w:jc w:val="both"/>
      </w:pPr>
      <w:r>
        <w:rPr>
          <w:sz w:val="21"/>
        </w:rPr>
        <w:t>3.</w:t>
      </w:r>
      <w:r>
        <w:rPr>
          <w:sz w:val="21"/>
        </w:rPr>
        <w:t>我方对业务人员进行廉洁从业教育，使其诚信守法，行为规范。</w:t>
      </w:r>
    </w:p>
    <w:p>
      <w:pPr>
        <w:pStyle w:val="null3"/>
        <w:ind w:firstLine="420"/>
        <w:jc w:val="both"/>
      </w:pPr>
      <w:r>
        <w:rPr>
          <w:sz w:val="21"/>
        </w:rPr>
        <w:t>4.</w:t>
      </w:r>
      <w:r>
        <w:rPr>
          <w:sz w:val="21"/>
        </w:rPr>
        <w:t>我方采取有效措施，约束本方业务人员，不发生以下行为：不邀请采购人员参加我方业务人员安排的可能对公正履行职责有影响的活动，不向采购人以任何形式馈赠的礼品、礼金、有价证券等。</w:t>
      </w:r>
    </w:p>
    <w:p>
      <w:pPr>
        <w:pStyle w:val="null3"/>
        <w:ind w:firstLine="420"/>
        <w:jc w:val="both"/>
      </w:pPr>
      <w:r>
        <w:rPr>
          <w:sz w:val="21"/>
        </w:rPr>
        <w:t>4.</w:t>
      </w:r>
      <w:r>
        <w:rPr>
          <w:sz w:val="21"/>
        </w:rPr>
        <w:t>我方不邀请采购人参与我方安排的旅游和高消费娱乐活动，不向采购人员其配偶、子女安排工作以及为其提供应由个人支付的各种费用。</w:t>
      </w:r>
    </w:p>
    <w:p>
      <w:pPr>
        <w:pStyle w:val="null3"/>
        <w:ind w:firstLine="420"/>
        <w:jc w:val="both"/>
      </w:pPr>
      <w:r>
        <w:rPr>
          <w:sz w:val="21"/>
        </w:rPr>
        <w:t>5.</w:t>
      </w:r>
      <w:r>
        <w:rPr>
          <w:sz w:val="21"/>
        </w:rPr>
        <w:t>不向采购人业务人员馈赠或提供本条前三项所指的内容。</w:t>
      </w:r>
    </w:p>
    <w:p>
      <w:pPr>
        <w:pStyle w:val="null3"/>
        <w:ind w:firstLine="420"/>
        <w:jc w:val="both"/>
      </w:pPr>
      <w:r>
        <w:rPr>
          <w:sz w:val="21"/>
        </w:rPr>
        <w:t>6.</w:t>
      </w:r>
      <w:r>
        <w:rPr>
          <w:sz w:val="21"/>
        </w:rPr>
        <w:t>及时依法依规处理采购人反馈的我方业务人员的违规行为。</w:t>
      </w:r>
    </w:p>
    <w:p>
      <w:pPr>
        <w:pStyle w:val="null3"/>
        <w:ind w:firstLine="420"/>
        <w:jc w:val="both"/>
      </w:pPr>
      <w:r>
        <w:rPr>
          <w:sz w:val="21"/>
        </w:rPr>
        <w:t>我方自愿接受监督。</w:t>
      </w:r>
    </w:p>
    <w:p>
      <w:pPr>
        <w:pStyle w:val="null3"/>
        <w:ind w:firstLine="420"/>
        <w:jc w:val="both"/>
      </w:pPr>
      <w:r>
        <w:rPr>
          <w:sz w:val="21"/>
        </w:rPr>
        <w:t>本承诺书一式四份，甲乙双方各执两份。本承诺书作为甲乙双方签订合同之必备附件，与合同正文具有同等法律效力。</w:t>
      </w:r>
    </w:p>
    <w:p>
      <w:pPr>
        <w:pStyle w:val="null3"/>
        <w:jc w:val="both"/>
      </w:pPr>
      <w:r>
        <w:rPr>
          <w:sz w:val="21"/>
        </w:rPr>
        <w:t xml:space="preserve">                                          </w:t>
      </w:r>
      <w:r>
        <w:rPr>
          <w:sz w:val="21"/>
        </w:rPr>
        <w:t>承诺人：</w:t>
      </w:r>
    </w:p>
    <w:p>
      <w:pPr>
        <w:pStyle w:val="null3"/>
        <w:jc w:val="both"/>
      </w:pPr>
      <w:r>
        <w:rPr>
          <w:sz w:val="21"/>
        </w:rPr>
        <w:t xml:space="preserve">                                          </w:t>
      </w:r>
      <w:r>
        <w:rPr>
          <w:sz w:val="21"/>
        </w:rPr>
        <w:t>代表签字：</w:t>
      </w:r>
    </w:p>
    <w:p>
      <w:pPr>
        <w:pStyle w:val="null3"/>
        <w:jc w:val="both"/>
      </w:pP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7"/>
          <w:b/>
        </w:rPr>
        <w:t>附件2：政策适用性说明</w:t>
      </w:r>
    </w:p>
    <w:p>
      <w:pPr>
        <w:pStyle w:val="null3"/>
        <w:jc w:val="center"/>
      </w:pPr>
      <w:r>
        <w:rPr>
          <w:sz w:val="21"/>
          <w:shd w:fill="FFFFFF" w:val="clear"/>
        </w:rPr>
        <w:t xml:space="preserve"> </w:t>
      </w:r>
    </w:p>
    <w:p>
      <w:pPr>
        <w:pStyle w:val="null3"/>
        <w:jc w:val="center"/>
      </w:pPr>
      <w:r>
        <w:rPr>
          <w:sz w:val="21"/>
          <w:shd w:fill="FFFFFF" w:val="clear"/>
        </w:rPr>
        <w:t>政策适用性说明</w:t>
      </w:r>
    </w:p>
    <w:p>
      <w:pPr>
        <w:pStyle w:val="null3"/>
        <w:jc w:val="both"/>
      </w:pPr>
      <w:r>
        <w:rPr>
          <w:sz w:val="21"/>
          <w:shd w:fill="FFFFFF" w:val="clear"/>
        </w:rPr>
        <w:t xml:space="preserve"> </w:t>
      </w:r>
      <w:r>
        <w:rPr>
          <w:sz w:val="21"/>
          <w:shd w:fill="FFFFFF" w:val="clear"/>
        </w:rPr>
        <w:t>供应商所投的产品，符合节能产品、环境标志产品政策要求的，按以下格式提供说明。</w:t>
      </w:r>
    </w:p>
    <w:p>
      <w:pPr>
        <w:pStyle w:val="null3"/>
        <w:ind w:left="360"/>
        <w:jc w:val="both"/>
      </w:pPr>
      <w:r>
        <w:rPr>
          <w:sz w:val="21"/>
          <w:shd w:fill="FFFFFF" w:val="clear"/>
        </w:rPr>
        <w:t xml:space="preserve">1.   </w:t>
      </w:r>
      <w:r>
        <w:rPr>
          <w:sz w:val="21"/>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763"/>
        <w:gridCol w:w="1271"/>
        <w:gridCol w:w="1780"/>
        <w:gridCol w:w="1229"/>
        <w:gridCol w:w="1229"/>
        <w:gridCol w:w="2034"/>
      </w:tblGrid>
      <w:tr>
        <w:tc>
          <w:tcPr>
            <w:tcW w:type="dxa" w:w="76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序号</w:t>
            </w:r>
          </w:p>
        </w:tc>
        <w:tc>
          <w:tcPr>
            <w:tcW w:type="dxa" w:w="127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产品名称</w:t>
            </w:r>
          </w:p>
          <w:p>
            <w:pPr>
              <w:pStyle w:val="null3"/>
              <w:jc w:val="center"/>
            </w:pPr>
          </w:p>
        </w:tc>
        <w:tc>
          <w:tcPr>
            <w:tcW w:type="dxa" w:w="178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对应《节能产品政府采购品目清单》的品目序号</w:t>
            </w:r>
          </w:p>
        </w:tc>
        <w:tc>
          <w:tcPr>
            <w:tcW w:type="dxa" w:w="2458"/>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产品认证证书所在投标文件页码</w:t>
            </w:r>
          </w:p>
        </w:tc>
        <w:tc>
          <w:tcPr>
            <w:tcW w:type="dxa" w:w="203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产品报价（元）</w:t>
            </w:r>
          </w:p>
          <w:p>
            <w:pPr>
              <w:pStyle w:val="null3"/>
              <w:jc w:val="center"/>
            </w:p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（一）强制节能产品</w:t>
            </w: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强制节能产品，此处无须填报价格</w:t>
            </w: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（二）优先采购节能产品</w:t>
            </w: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6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127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458"/>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20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5043"/>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节能产品价格合计</w:t>
            </w:r>
          </w:p>
        </w:tc>
        <w:tc>
          <w:tcPr>
            <w:tcW w:type="dxa" w:w="3263"/>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r>
      <w:tr>
        <w:tc>
          <w:tcPr>
            <w:tcW w:type="dxa" w:w="763"/>
            <w:tcBorders>
              <w:top w:val="none" w:color="000000" w:sz="4"/>
              <w:left w:val="none" w:color="000000" w:sz="4"/>
              <w:bottom w:val="none" w:color="000000" w:sz="4"/>
              <w:right w:val="none" w:color="000000" w:sz="4"/>
            </w:tcBorders>
            <w:shd w:fill="FFFFFF"/>
          </w:tcPr>
          <w:p>
            <w:pPr>
              <w:pStyle w:val="null3"/>
            </w:pPr>
            <w:r>
              <w:rPr/>
              <w:t xml:space="preserve"> </w:t>
            </w:r>
          </w:p>
        </w:tc>
        <w:tc>
          <w:tcPr>
            <w:tcW w:type="dxa" w:w="1271"/>
            <w:tcBorders>
              <w:top w:val="none" w:color="000000" w:sz="4"/>
              <w:left w:val="none" w:color="000000" w:sz="4"/>
              <w:bottom w:val="none" w:color="000000" w:sz="4"/>
              <w:right w:val="none" w:color="000000" w:sz="4"/>
            </w:tcBorders>
            <w:shd w:fill="FFFFFF"/>
          </w:tcPr>
          <w:p>
            <w:pPr>
              <w:pStyle w:val="null3"/>
            </w:pPr>
            <w:r>
              <w:rPr/>
              <w:t xml:space="preserve"> </w:t>
            </w:r>
          </w:p>
        </w:tc>
        <w:tc>
          <w:tcPr>
            <w:tcW w:type="dxa" w:w="1780"/>
            <w:tcBorders>
              <w:top w:val="none" w:color="000000" w:sz="4"/>
              <w:left w:val="none" w:color="000000" w:sz="4"/>
              <w:bottom w:val="none" w:color="000000" w:sz="4"/>
              <w:right w:val="none" w:color="000000" w:sz="4"/>
            </w:tcBorders>
            <w:shd w:fill="FFFFFF"/>
          </w:tcPr>
          <w:p>
            <w:pPr>
              <w:pStyle w:val="null3"/>
            </w:pPr>
            <w:r>
              <w:rPr/>
              <w:t xml:space="preserve"> </w:t>
            </w:r>
          </w:p>
        </w:tc>
        <w:tc>
          <w:tcPr>
            <w:tcW w:type="dxa" w:w="1229"/>
            <w:tcBorders>
              <w:top w:val="none" w:color="000000" w:sz="4"/>
              <w:left w:val="none" w:color="000000" w:sz="4"/>
              <w:bottom w:val="none" w:color="000000" w:sz="4"/>
              <w:right w:val="none" w:color="000000" w:sz="4"/>
            </w:tcBorders>
            <w:shd w:fill="FFFFFF"/>
          </w:tcPr>
          <w:p>
            <w:pPr>
              <w:pStyle w:val="null3"/>
            </w:pPr>
            <w:r>
              <w:rPr/>
              <w:t xml:space="preserve"> </w:t>
            </w:r>
          </w:p>
        </w:tc>
        <w:tc>
          <w:tcPr>
            <w:tcW w:type="dxa" w:w="1229"/>
            <w:tcBorders>
              <w:top w:val="none" w:color="000000" w:sz="4"/>
              <w:left w:val="none" w:color="000000" w:sz="4"/>
              <w:bottom w:val="none" w:color="000000" w:sz="4"/>
              <w:right w:val="none" w:color="000000" w:sz="4"/>
            </w:tcBorders>
            <w:shd w:fill="FFFFFF"/>
          </w:tcPr>
          <w:p>
            <w:pPr>
              <w:pStyle w:val="null3"/>
            </w:pPr>
            <w:r>
              <w:rPr/>
              <w:t xml:space="preserve"> </w:t>
            </w:r>
          </w:p>
        </w:tc>
        <w:tc>
          <w:tcPr>
            <w:tcW w:type="dxa" w:w="2034"/>
            <w:tcBorders>
              <w:top w:val="none" w:color="000000" w:sz="4"/>
              <w:left w:val="none" w:color="000000" w:sz="4"/>
              <w:bottom w:val="none" w:color="000000" w:sz="4"/>
              <w:right w:val="none" w:color="000000" w:sz="4"/>
            </w:tcBorders>
            <w:shd w:fill="FFFFFF"/>
          </w:tcPr>
          <w:p>
            <w:pPr>
              <w:pStyle w:val="null3"/>
            </w:pPr>
            <w:r>
              <w:rPr/>
              <w:t xml:space="preserve"> </w:t>
            </w:r>
          </w:p>
        </w:tc>
      </w:tr>
    </w:tbl>
    <w:p>
      <w:pPr>
        <w:pStyle w:val="null3"/>
        <w:ind w:firstLine="480"/>
        <w:jc w:val="right"/>
      </w:pPr>
      <w:r>
        <w:rPr>
          <w:sz w:val="21"/>
          <w:shd w:fill="FFFFFF" w:val="clear"/>
        </w:rPr>
        <w:t xml:space="preserve"> </w:t>
      </w:r>
    </w:p>
    <w:p>
      <w:pPr>
        <w:pStyle w:val="null3"/>
        <w:ind w:firstLine="480"/>
        <w:jc w:val="right"/>
      </w:pPr>
      <w:r>
        <w:rPr>
          <w:sz w:val="21"/>
          <w:shd w:fill="FFFFFF" w:val="clear"/>
        </w:rPr>
        <w:t>投标人名称（盖章）：</w:t>
      </w:r>
      <w:r>
        <w:rPr>
          <w:sz w:val="21"/>
          <w:shd w:fill="FFFFFF" w:val="clear"/>
        </w:rPr>
        <w:t>__________________</w:t>
      </w:r>
    </w:p>
    <w:p>
      <w:pPr>
        <w:pStyle w:val="null3"/>
        <w:ind w:firstLine="480"/>
        <w:jc w:val="right"/>
      </w:pPr>
      <w:r>
        <w:rPr>
          <w:sz w:val="21"/>
          <w:shd w:fill="FFFFFF" w:val="clear"/>
        </w:rPr>
        <w:t>日期：</w:t>
      </w:r>
      <w:r>
        <w:rPr>
          <w:sz w:val="21"/>
          <w:shd w:fill="FFFFFF" w:val="clear"/>
        </w:rPr>
        <w:t>年</w:t>
      </w:r>
      <w:r>
        <w:rPr>
          <w:sz w:val="21"/>
          <w:shd w:fill="FFFFFF" w:val="clear"/>
        </w:rPr>
        <w:t>月</w:t>
      </w:r>
      <w:r>
        <w:rPr>
          <w:sz w:val="21"/>
          <w:shd w:fill="FFFFFF" w:val="clear"/>
        </w:rPr>
        <w:t>日</w:t>
      </w:r>
    </w:p>
    <w:p>
      <w:pPr>
        <w:pStyle w:val="null3"/>
      </w:pPr>
      <w:r>
        <w:rPr>
          <w:sz w:val="21"/>
        </w:rPr>
        <w:t>注：上述节能产品包括节水产品。</w:t>
      </w:r>
    </w:p>
    <w:p>
      <w:pPr>
        <w:pStyle w:val="null3"/>
        <w:ind w:left="360"/>
        <w:jc w:val="both"/>
      </w:pPr>
      <w:r>
        <w:rPr>
          <w:sz w:val="21"/>
          <w:shd w:fill="FFFFFF" w:val="clear"/>
        </w:rPr>
        <w:t xml:space="preserve">2.   </w:t>
      </w: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339"/>
        <w:gridCol w:w="1610"/>
        <w:gridCol w:w="1780"/>
        <w:gridCol w:w="2627"/>
        <w:gridCol w:w="1949"/>
      </w:tblGrid>
      <w:tr>
        <w:tc>
          <w:tcPr>
            <w:tcW w:type="dxa" w:w="339"/>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序号</w:t>
            </w:r>
          </w:p>
        </w:tc>
        <w:tc>
          <w:tcPr>
            <w:tcW w:type="dxa" w:w="161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ind w:firstLine="315"/>
              <w:jc w:val="left"/>
            </w:pPr>
            <w:r>
              <w:rPr>
                <w:sz w:val="21"/>
              </w:rPr>
              <w:t>产品名称</w:t>
            </w:r>
          </w:p>
        </w:tc>
        <w:tc>
          <w:tcPr>
            <w:tcW w:type="dxa" w:w="178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ind w:firstLine="105"/>
              <w:jc w:val="left"/>
            </w:pPr>
            <w:r>
              <w:rPr>
                <w:sz w:val="21"/>
              </w:rPr>
              <w:t>对应《环境标志产品政府采购品目清单》的品目序号</w:t>
            </w:r>
          </w:p>
          <w:p>
            <w:pPr>
              <w:pStyle w:val="null3"/>
              <w:jc w:val="left"/>
            </w:pPr>
          </w:p>
        </w:tc>
        <w:tc>
          <w:tcPr>
            <w:tcW w:type="dxa" w:w="262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产品认证证书所在投标文件页码</w:t>
            </w:r>
          </w:p>
        </w:tc>
        <w:tc>
          <w:tcPr>
            <w:tcW w:type="dxa" w:w="194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ind w:firstLine="315"/>
              <w:jc w:val="left"/>
            </w:pPr>
            <w:r>
              <w:rPr>
                <w:sz w:val="21"/>
              </w:rPr>
              <w:t>产品报价（元）</w:t>
            </w:r>
          </w:p>
          <w:p>
            <w:pPr>
              <w:pStyle w:val="null3"/>
              <w:jc w:val="left"/>
            </w:pPr>
          </w:p>
        </w:tc>
      </w:tr>
      <w:tr>
        <w:tc>
          <w:tcPr>
            <w:tcW w:type="dxa" w:w="339"/>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1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62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339"/>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1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62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339"/>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1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p>
        </w:tc>
        <w:tc>
          <w:tcPr>
            <w:tcW w:type="dxa" w:w="17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62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6356"/>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环境标志产品价格合计</w:t>
            </w:r>
          </w:p>
        </w:tc>
        <w:tc>
          <w:tcPr>
            <w:tcW w:type="dxa" w:w="19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p>
        </w:tc>
      </w:tr>
    </w:tbl>
    <w:p>
      <w:pPr>
        <w:pStyle w:val="null3"/>
        <w:jc w:val="right"/>
      </w:pPr>
      <w:r>
        <w:rPr>
          <w:sz w:val="21"/>
          <w:shd w:fill="FFFFFF" w:val="clear"/>
        </w:rPr>
        <w:t>投标人名称（盖章）：</w:t>
      </w:r>
      <w:r>
        <w:rPr>
          <w:sz w:val="21"/>
          <w:shd w:fill="FFFFFF" w:val="clear"/>
        </w:rPr>
        <w:t>__________________</w:t>
      </w:r>
    </w:p>
    <w:p>
      <w:pPr>
        <w:pStyle w:val="null3"/>
        <w:ind w:firstLine="480"/>
        <w:jc w:val="right"/>
      </w:pPr>
      <w:r>
        <w:rPr>
          <w:sz w:val="21"/>
          <w:shd w:fill="FFFFFF" w:val="clear"/>
        </w:rPr>
        <w:t>日期：</w:t>
      </w:r>
      <w:r>
        <w:rPr>
          <w:sz w:val="21"/>
          <w:shd w:fill="FFFFFF" w:val="clear"/>
        </w:rPr>
        <w:t>年</w:t>
      </w:r>
      <w:r>
        <w:rPr>
          <w:sz w:val="21"/>
          <w:shd w:fill="FFFFFF" w:val="clear"/>
        </w:rPr>
        <w:t>月</w:t>
      </w:r>
      <w:r>
        <w:rPr>
          <w:sz w:val="21"/>
          <w:shd w:fill="FFFFFF" w:val="clear"/>
        </w:rPr>
        <w:t>日</w:t>
      </w:r>
    </w:p>
    <w:p>
      <w:pPr>
        <w:pStyle w:val="null3"/>
        <w:ind w:left="360"/>
        <w:jc w:val="both"/>
      </w:pPr>
      <w:r>
        <w:rPr>
          <w:sz w:val="21"/>
          <w:shd w:fill="FFFFFF" w:val="clear"/>
        </w:rPr>
        <w:t>备注：</w:t>
      </w:r>
    </w:p>
    <w:p>
      <w:pPr>
        <w:pStyle w:val="null3"/>
        <w:jc w:val="left"/>
      </w:pPr>
      <w:r>
        <w:rPr>
          <w:sz w:val="21"/>
          <w:shd w:fill="FFFFFF" w:val="clear"/>
        </w:rPr>
        <w:t xml:space="preserve">1. </w:t>
      </w:r>
      <w:r>
        <w:rPr>
          <w:sz w:val="21"/>
          <w:shd w:fill="FFFFFF" w:val="clear"/>
        </w:rPr>
        <w:t>供应商提供的节能产品、环境标志产品须为《节能产品政府采购品目清单》、《环境标志产品政府采购品目清单》中的产品，产品认证证书处于有效期内，且发证机构为国家确定的认证机构，才可享受政策优惠。</w:t>
      </w:r>
    </w:p>
    <w:p>
      <w:pPr>
        <w:pStyle w:val="null3"/>
        <w:jc w:val="left"/>
      </w:pPr>
      <w:r>
        <w:rPr>
          <w:sz w:val="21"/>
          <w:shd w:fill="FFFFFF" w:val="clear"/>
        </w:rPr>
        <w:t xml:space="preserve">2. </w:t>
      </w:r>
      <w:r>
        <w:rPr>
          <w:sz w:val="21"/>
          <w:shd w:fill="FFFFFF" w:val="clear"/>
        </w:rPr>
        <w:t>供应商在《关于印发环境标志产品政府采购品目清单的通知》（财库〔2019〕18号）、《关于印发节能产品政府采购品目清单的通知》（财库〔2019〕19号）中可以查到对应的清单目录。如后续有更新的，则以更新后的文件为准。</w:t>
      </w:r>
    </w:p>
    <w:p>
      <w:pPr>
        <w:pStyle w:val="null3"/>
        <w:jc w:val="left"/>
      </w:pPr>
      <w:r>
        <w:rPr>
          <w:sz w:val="21"/>
          <w:shd w:fill="FFFFFF" w:val="clear"/>
        </w:rPr>
        <w:t xml:space="preserve">3. </w:t>
      </w:r>
      <w:r>
        <w:rPr>
          <w:sz w:val="21"/>
          <w:shd w:fill="FFFFFF" w:val="clear"/>
        </w:rPr>
        <w:t>国家确定的认证机构可在《市场监管总局关于发布参与实施政府采购节能产品、环境标志产品认证机构名录的公告》（2019年第16号）中查询。如后续有更新的，则以更新后的文件为准。</w:t>
      </w:r>
    </w:p>
    <w:p>
      <w:pPr>
        <w:pStyle w:val="null3"/>
        <w:jc w:val="both"/>
      </w:pPr>
      <w:r>
        <w:rPr/>
        <w:t>采购包1（广东省海洋发展规划研究中心备份一体机与GPU服务器采购项目）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w:t>
            </w:r>
          </w:p>
        </w:tc>
      </w:tr>
      <w:tr>
        <w:tc>
          <w:tcPr>
            <w:tcW w:type="dxa" w:w="4153"/>
          </w:tcPr>
          <w:p>
            <w:pPr>
              <w:pStyle w:val="null3"/>
            </w:pPr>
            <w:r>
              <w:rPr/>
              <w:t>标的提供的地点</w:t>
            </w:r>
          </w:p>
        </w:tc>
        <w:tc>
          <w:tcPr>
            <w:tcW w:type="dxa" w:w="4153"/>
          </w:tcPr>
          <w:p>
            <w:pPr>
              <w:pStyle w:val="null3"/>
            </w:pPr>
            <w:r>
              <w:rPr/>
              <w:t>广州市海珠区南华东路547号</w:t>
            </w:r>
          </w:p>
        </w:tc>
      </w:tr>
      <w:tr>
        <w:tc>
          <w:tcPr>
            <w:tcW w:type="dxa" w:w="4153"/>
          </w:tcPr>
          <w:p>
            <w:pPr>
              <w:pStyle w:val="null3"/>
            </w:pPr>
            <w:r>
              <w:rPr/>
              <w:t>付款方式</w:t>
            </w:r>
          </w:p>
        </w:tc>
        <w:tc>
          <w:tcPr>
            <w:tcW w:type="dxa" w:w="4153"/>
          </w:tcPr>
          <w:p>
            <w:pPr>
              <w:pStyle w:val="null3"/>
            </w:pPr>
            <w:r>
              <w:rPr/>
              <w:t>1期：支付比例50%,第一期：合同生效后，采购人在收到投标人付款申请及相应正式增值税普通发票后5个工作日内启动向成交人支付合同总价50%的首付款流程，10个工作日内将资金支付到合同约定的供应商账户；</w:t>
            </w:r>
          </w:p>
          <w:p>
            <w:pPr>
              <w:pStyle w:val="null3"/>
            </w:pPr>
            <w:r>
              <w:rPr/>
              <w:t>2期：支付比例40%,第二期：支付比例40%，采购人完成所有设备签收且设备上架确认可使用后，收到相应正式增值税普通发票后5个工作日内启动支付合同总价的40%二期款流程，10个工作日内将资金支付到合同约定的供应商账户；</w:t>
            </w:r>
          </w:p>
          <w:p>
            <w:pPr>
              <w:pStyle w:val="null3"/>
            </w:pPr>
            <w:r>
              <w:rPr/>
              <w:t>3期：支付比例10%,第三期：支付比例10%，由中标供应商在所有产品交付使用试运行一个月后，组织专家或第三方对所有产品进行验收无误后且收到相应正式增值税普通发票后5个工作日内启动支付流程，10个工作日内将资金支付到合同约定的供应商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1期：货物需同时完全符合下列各项标准和要求视为合格∶ 1.装箱单（包括但不限于质量合格证书、保修证书、产品使用说明书及其他应随产品一同装箱的技术资料等）。 2.验收应在成交人、采购人双方共同参加下进行，验收按国家有关的规定、规范进行。 3.成交人保证合同项下提供的货物（或者设备）不侵犯任何第三方的知识产权。否则，成交人需承担对第三方的侵权责任并承担因此而发生的所有费用。 4.由采购人组织专家进行验收，必要时，可邀请第三方机构进行验收，由此产生的费用由成交人承担。 5.所有设备需通过试运行。 6.满足项目采购文件及供应商文件承诺的相关技术要求。 7.项目实施过程中约定的其他相关技术要求。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服务器</w:t>
            </w:r>
          </w:p>
        </w:tc>
        <w:tc>
          <w:tcPr>
            <w:tcW w:type="dxa" w:w="831"/>
          </w:tcPr>
          <w:p>
            <w:pPr>
              <w:pStyle w:val="null3"/>
              <w:jc w:val="left"/>
            </w:pPr>
            <w:r>
              <w:rPr/>
              <w:t>GPU服务器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280,000.00</w:t>
            </w:r>
          </w:p>
        </w:tc>
        <w:tc>
          <w:tcPr>
            <w:tcW w:type="dxa" w:w="831"/>
          </w:tcPr>
          <w:p>
            <w:pPr>
              <w:pStyle w:val="null3"/>
              <w:jc w:val="right"/>
            </w:pPr>
            <w:r>
              <w:rPr/>
              <w:t>840,000.00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网络存储设备</w:t>
            </w:r>
          </w:p>
        </w:tc>
        <w:tc>
          <w:tcPr>
            <w:tcW w:type="dxa" w:w="831"/>
          </w:tcPr>
          <w:p>
            <w:pPr>
              <w:pStyle w:val="null3"/>
              <w:jc w:val="left"/>
            </w:pPr>
            <w:r>
              <w:rPr/>
              <w:t>备份一体机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430,000.00</w:t>
            </w:r>
          </w:p>
        </w:tc>
        <w:tc>
          <w:tcPr>
            <w:tcW w:type="dxa" w:w="831"/>
          </w:tcPr>
          <w:p>
            <w:pPr>
              <w:pStyle w:val="null3"/>
              <w:jc w:val="right"/>
            </w:pPr>
            <w:r>
              <w:rPr/>
              <w:t>430,000.00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GPU服务器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Grid>
              <w:gridCol w:w="792"/>
              <w:gridCol w:w="961"/>
              <w:gridCol w:w="848"/>
              <w:gridCol w:w="1018"/>
              <w:gridCol w:w="1979"/>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b/>
                    </w:rPr>
                    <w:t>序号</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指标分类</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一级指标</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b/>
                    </w:rPr>
                    <w:t>二级指标</w:t>
                  </w:r>
                </w:p>
              </w:tc>
              <w:tc>
                <w:tcPr>
                  <w:tcW w:type="dxa" w:w="19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b/>
                    </w:rPr>
                    <w:t>指标要求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CPU</w:t>
                  </w:r>
                  <w:r>
                    <w:br/>
                  </w:r>
                  <w:r>
                    <w:rPr>
                      <w:sz w:val="20"/>
                    </w:rPr>
                    <w:t>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w:t>
                  </w:r>
                  <w:r>
                    <w:rPr>
                      <w:sz w:val="20"/>
                    </w:rPr>
                    <w:t xml:space="preserve">CPU </w:t>
                  </w:r>
                  <w:r>
                    <w:rPr>
                      <w:sz w:val="20"/>
                    </w:rPr>
                    <w:t>信息</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配置≥2颗海光C86-3G处理器，每颗CPU核心数≥32核，每颗CPU线程数≥64线程，每颗CPU主频≥2.3GHz，每颗CPU三级缓存≥64MB，L3缓存≥64MB，支持内存的最高速率≥3200MHz、通道数≥8和位宽64bit</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主板规格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★主板支持的CPU 和内存情况</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主板支持≥2颗海光C86-3G处理器，支持16GB、32GB、64GB等规格的内存，最大支持≥32条内存</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★主板内存槽数量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非板载内存的可扩展插槽数量≥32 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★主板存储接口</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板载存储接口提供支持 SATA、M.2、U.2 等存储接口</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★PCIe 插槽接口</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 PCIe4.0 或以上的高速串行计算机扩展总线标准，PCIe 的接口速率与位宽需保证向下兼容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★主板PCIe插槽数量及规格</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可支持≥12个PCIe4.0 x16插槽（可支持≥8个双宽x16插槽和≥4个单宽x16插槽）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主板OCP 插</w:t>
                  </w:r>
                  <w:r>
                    <w:br/>
                  </w:r>
                  <w:r>
                    <w:rPr>
                      <w:sz w:val="20"/>
                    </w:rPr>
                    <w:t xml:space="preserve"> 槽数量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支持OCP3.0 及以上插槽的数量不少于 1 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内存规格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配置≥8条</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★内存规格</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≥32GB DDR4  3200MHz内存</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★内存通道</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每CPU支持≥8个内存通道，每通道支持 2DPC</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硬盘类型</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支持SAS/SATA硬盘、SSD混插，支持NVMe U.2 SSD</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★硬磁盘实配容量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、配置≥4块 16TB 3.5吋7.2K 6Gb SATA硬盘 ； 2、配置≥1块960G 2.5 SATA 6Gb R SSD硬盘</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硬盘接口类型</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硬磁盘提供SATA 3.0或以上接口；</w:t>
                  </w:r>
                  <w:r>
                    <w:br/>
                  </w:r>
                  <w:r>
                    <w:rPr>
                      <w:sz w:val="20"/>
                    </w:rPr>
                    <w:t xml:space="preserve"> b)固态盘SATA 3.0接口</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★硬盘实配数量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、配置≥4块 16TB 3.5吋7.2K 6Gb SATA硬盘 ； 2、配置≥1块960G 2.5 SATA 6Gb R SSD硬盘</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★硬盘插槽数量及规格</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最大支持≥24个3.5寸热插拔硬盘，可支持SAS/SATA硬盘、SSD混插，最大支持≥16个NVMe U.2 SSD</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RAID</w:t>
                  </w:r>
                  <w:r>
                    <w:br/>
                  </w:r>
                  <w:r>
                    <w:rPr>
                      <w:sz w:val="20"/>
                    </w:rPr>
                    <w:t>卡规</w:t>
                  </w:r>
                  <w:r>
                    <w:rPr>
                      <w:sz w:val="20"/>
                      <w:color w:val="000000"/>
                    </w:rPr>
                    <w:t>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卡支持的 SAS接口数</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配置≥4GB SAS 8口 RAID控制器，支持RAID 0/1/5/10/50/60，支持电容掉电保护，RAID状态迁移、RAID配置记忆等功能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网络规格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★网口速率和数量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、配备1G网口数量不少于2个，且网口速率不少于1GE</w:t>
                  </w:r>
                  <w:r>
                    <w:br/>
                  </w:r>
                  <w:r>
                    <w:rPr>
                      <w:sz w:val="20"/>
                    </w:rPr>
                    <w:t xml:space="preserve"> 2、配备10G网口数量不少于2个，且网口速率不少于10GE</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独立网卡网口数量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 xml:space="preserve">、配置≥1块双口1G RJ45网卡  </w:t>
                  </w:r>
                  <w:r>
                    <w:br/>
                  </w:r>
                  <w:r>
                    <w:rPr>
                      <w:sz w:val="20"/>
                    </w:rPr>
                    <w:t xml:space="preserve"> 2、配置≥1块双口10G SFP+网卡（满配10G SFP+多模光模块）；</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独立网卡接口类型</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RJ45</w:t>
                  </w:r>
                  <w:r>
                    <w:rPr>
                      <w:sz w:val="20"/>
                    </w:rPr>
                    <w:t>、SFP+</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外部接口规格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★显示接口</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配备VGA显示接口，且VGA接口≥2个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★USB 接口</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配备USB接口，且USB接口≥4 个</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电源规格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电源冗余模式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支持3+1/2+2冗余</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★电源模块数量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★电源功率</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电源模块功率≥2700W电源，满足处理器满载时的需求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电源指示灯</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配备电源指示灯，指示待机、工作异常等状态</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整机规格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★外观和结构</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服务器的零部件应紧固无松动，可插拔部件应可靠连接，开关、按钮和其它控制部件应灵活可靠，布局应方便使用；</w:t>
                  </w:r>
                  <w:r>
                    <w:br/>
                  </w:r>
                  <w:r>
                    <w:rPr>
                      <w:sz w:val="20"/>
                    </w:rPr>
                    <w:t xml:space="preserve"> b) 产品表面不应有明显的凹痕、划伤、裂缝、变形和污染等。表面涂层均匀，不应起泡、龟裂、脱落和磨损，金属零部件无锈蚀及其它机械损伤；</w:t>
                  </w:r>
                  <w:r>
                    <w:br/>
                  </w:r>
                  <w:r>
                    <w:rPr>
                      <w:sz w:val="20"/>
                    </w:rPr>
                    <w:t xml:space="preserve"> c) 产品表面说明功能的文字、符号和标志应清晰、端正且牢固；</w:t>
                  </w:r>
                  <w:r>
                    <w:br/>
                  </w:r>
                  <w:r>
                    <w:rPr>
                      <w:sz w:val="20"/>
                    </w:rPr>
                    <w:t xml:space="preserve"> d) 应在服务器的显著位置提供运行状态的指示功能，并在随机文件中明确具体含义；</w:t>
                  </w:r>
                  <w:r>
                    <w:br/>
                  </w:r>
                  <w:r>
                    <w:rPr>
                      <w:sz w:val="20"/>
                    </w:rPr>
                    <w:t xml:space="preserve"> e) 机架、机箱的尺寸应符合通用机柜的安装要求，插入总线插座的电路板接口外形尺寸应符合有关总线标准的规定，将机箱固定在机柜上，机箱底面最大下垂变形不得干涉相邻机体；</w:t>
                  </w:r>
                  <w:r>
                    <w:br/>
                  </w:r>
                  <w:r>
                    <w:rPr>
                      <w:sz w:val="20"/>
                    </w:rPr>
                    <w:t xml:space="preserve"> f) 高密度服务器应给出CPU 个数与</w:t>
                  </w:r>
                  <w:r>
                    <w:rPr>
                      <w:sz w:val="20"/>
                      <w:color w:val="000000"/>
                    </w:rPr>
                    <w:t>机柜高度；</w:t>
                  </w:r>
                  <w:r>
                    <w:br/>
                  </w:r>
                  <w:r>
                    <w:rPr>
                      <w:sz w:val="20"/>
                      <w:color w:val="000000"/>
                    </w:rPr>
                    <w:t xml:space="preserve"> g) 服务器尺寸具体要求在随机文件中明确</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★尺寸（高</w:t>
                  </w:r>
                  <w:r>
                    <w:br/>
                  </w:r>
                  <w:r>
                    <w:rPr>
                      <w:sz w:val="20"/>
                    </w:rPr>
                    <w:t xml:space="preserve"> ×宽×深）</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机箱尺寸≤175.8mm（高）×≤432mm（宽）×≤850mm（深）</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服务器导轨</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配置服务器上架导轨</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个数与机柜高度单位(U)比</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CPU</w:t>
                  </w:r>
                  <w:r>
                    <w:rPr>
                      <w:sz w:val="20"/>
                    </w:rPr>
                    <w:t>个数2，机柜高4U</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★环境适应性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气候环境适应性应符合GB/T 9813.3 的有关规定，工作温度 10～35℃，贮存运输温度-40～55℃；工作相对湿度 35%～80%，贮存运输相对湿度 20％～93%（40℃）；大气压 86～106kPa</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★机械环境适应性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机械环境适应性应符合GB/T 9813.3 的有关规定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★噪声</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符合GB/T 9813.3 的有关规定，在产品说明中给出具体测试值塔式服务器噪声在空闲状态下不大于 50dB</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 xml:space="preserve">AI </w:t>
                  </w:r>
                  <w:r>
                    <w:rPr>
                      <w:sz w:val="20"/>
                    </w:rPr>
                    <w:t>计算单元规格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AI </w:t>
                  </w:r>
                  <w:r>
                    <w:rPr>
                      <w:sz w:val="20"/>
                    </w:rPr>
                    <w:t>计算单元</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配置≥1块 NVIDIA L40 48GB 300W 双宽 GPU卡，每张GPU卡CUDA核心≥18176，每张GPU卡支持FP16、BF16、FP32、FP8、INT8等计算精度，每张GPU卡FP32 算力≥90.5 TFLOPS，FP16算力≥181 TFLOPS，FP8算力≥362 TFLOPS,INT8算力≥362 TOPS；</w:t>
                  </w:r>
                  <w:r>
                    <w:br/>
                  </w:r>
                  <w:r>
                    <w:rPr>
                      <w:sz w:val="20"/>
                    </w:rPr>
                    <w:t xml:space="preserve"> 整机最大可支持8块双宽GPU加速卡，实际运行带宽均为PCIe 4.0 x16，全部GPU卡须安装在同一个服务器GPU主板（非多计算节点堆叠方式）</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机柜规格</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★机柜尺寸</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高2000mm，宽600mm，深12000mm</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产品规格</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机柜电源规格</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机柜电源支持集中供电，电源输入不少于 2 路且支持自动切换；</w:t>
                  </w:r>
                  <w:r>
                    <w:br/>
                  </w:r>
                  <w:r>
                    <w:rPr>
                      <w:sz w:val="20"/>
                    </w:rPr>
                    <w:t xml:space="preserve"> b) 机柜电源模块支持 N+1 冗余配置，电源模块可独立更换</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主板功能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★主板外部接口种类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支持USB、显示、管理等接口，如：VGA、DP、HDMI、USB3.0、PS/2 接口、BMC 管理端口</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主板防烧板设计</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支持主板防烧板设计，保证电源故障后不扩散</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扩展功能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支持存储功能卡、显示功能卡、运算加速功能卡及网络功能卡等扩展功能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39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网络功能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★网络功能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支持网络连接、网络访问、数据交换和网络管控功能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CPU</w:t>
                  </w:r>
                  <w:r>
                    <w:br/>
                  </w:r>
                  <w:r>
                    <w:rPr>
                      <w:sz w:val="20"/>
                    </w:rPr>
                    <w:t>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★计算处理</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支持通用计算及虚拟化功能。处理器需集成整型计算单元、浮点计算单元、内存控制器、I/O 模块等，处理器与存储部件、网络部件、I/O部件等组成计算系统，提供数据处理、网络接入等计算相关功能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★密码算法实现</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芯片应符合 GM/T 0028 的相关规定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内存校验</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支持内存校验或内存增强型纠错功能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RAID</w:t>
                  </w:r>
                  <w:r>
                    <w:br/>
                  </w:r>
                  <w:r>
                    <w:rPr>
                      <w:sz w:val="20"/>
                    </w:rPr>
                    <w:t>卡功 能（若支持 RAID</w:t>
                  </w:r>
                  <w:r>
                    <w:br/>
                  </w:r>
                  <w:r>
                    <w:rPr>
                      <w:sz w:val="20"/>
                    </w:rPr>
                    <w:t xml:space="preserve"> 卡）</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w:t>
                  </w:r>
                  <w:r>
                    <w:br/>
                  </w:r>
                  <w:r>
                    <w:rPr>
                      <w:sz w:val="20"/>
                    </w:rPr>
                    <w:t xml:space="preserve"> RAID 级别支持</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模式支持RAID 0/1/5/10/50/60</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w:t>
                  </w:r>
                  <w:r>
                    <w:br/>
                  </w:r>
                  <w:r>
                    <w:rPr>
                      <w:sz w:val="20"/>
                    </w:rPr>
                    <w:t xml:space="preserve"> BBU 单元</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卡支持电容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电源功能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★电源热插拔</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整机电源模块应具备热插拔功能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★电源过流保护</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支持过流及短路保护的功能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整机功能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★散热方式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支持风冷散热方式</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其他功能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支持关键部件冗余（包括电源、风扇等）；</w:t>
                  </w:r>
                  <w:r>
                    <w:br/>
                  </w:r>
                  <w:r>
                    <w:rPr>
                      <w:sz w:val="20"/>
                    </w:rPr>
                    <w:t xml:space="preserve"> b) 支持熔断保护与恢复功能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49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管理系统功能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★BMC 固件基础功能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1) </w:t>
                  </w:r>
                  <w:r>
                    <w:rPr>
                      <w:sz w:val="20"/>
                    </w:rPr>
                    <w:t>支持DHCP 设置网络功能；</w:t>
                  </w:r>
                  <w:r>
                    <w:br/>
                  </w:r>
                  <w:r>
                    <w:rPr>
                      <w:sz w:val="20"/>
                    </w:rPr>
                    <w:t xml:space="preserve"> 2)支持静态IP 设置网络功能；</w:t>
                  </w:r>
                  <w:r>
                    <w:br/>
                  </w:r>
                  <w:r>
                    <w:rPr>
                      <w:sz w:val="20"/>
                    </w:rPr>
                    <w:t xml:space="preserve"> 3)支持设备日志记录，包括但不限于登录日志、操作日志和报警日志等功能；</w:t>
                  </w:r>
                  <w:r>
                    <w:br/>
                  </w:r>
                  <w:r>
                    <w:rPr>
                      <w:sz w:val="20"/>
                    </w:rPr>
                    <w:t xml:space="preserve"> 4)支持日志信息导出和记录删除功能；</w:t>
                  </w:r>
                  <w:r>
                    <w:br/>
                  </w:r>
                  <w:r>
                    <w:rPr>
                      <w:sz w:val="20"/>
                    </w:rPr>
                    <w:t xml:space="preserve"> 5)支持通过管理接口向外输出准确的报警信息功能；</w:t>
                  </w:r>
                  <w:r>
                    <w:br/>
                  </w:r>
                  <w:r>
                    <w:rPr>
                      <w:sz w:val="20"/>
                    </w:rPr>
                    <w:t xml:space="preserve"> 6)设备的BMC 管理软件应能够按报警的严重程度进行区分；</w:t>
                  </w:r>
                  <w:r>
                    <w:br/>
                  </w:r>
                  <w:r>
                    <w:rPr>
                      <w:sz w:val="20"/>
                    </w:rPr>
                    <w:t xml:space="preserve"> 7)支持IPMI2.0、SNMP 或Redfish等接口功能；</w:t>
                  </w:r>
                  <w:r>
                    <w:br/>
                  </w:r>
                  <w:r>
                    <w:rPr>
                      <w:sz w:val="20"/>
                    </w:rPr>
                    <w:t xml:space="preserve"> 8)支持键盘、鼠标和视频的重定向、文本控制台的重定向、远程虚拟媒体、高可靠的硬件监控和管理功能；</w:t>
                  </w:r>
                  <w:r>
                    <w:br/>
                  </w:r>
                  <w:r>
                    <w:rPr>
                      <w:sz w:val="20"/>
                    </w:rPr>
                    <w:t xml:space="preserve"> 9)支持基于网络开启、关闭和重启设备的功能，并查询当前设备开机运行状态；</w:t>
                  </w:r>
                  <w:r>
                    <w:br/>
                  </w:r>
                  <w:r>
                    <w:rPr>
                      <w:sz w:val="20"/>
                    </w:rPr>
                    <w:t xml:space="preserve"> 10)支持故障提示功能，并可通过接口读取服务器故障信息；</w:t>
                  </w:r>
                  <w:r>
                    <w:br/>
                  </w:r>
                  <w:r>
                    <w:rPr>
                      <w:sz w:val="20"/>
                    </w:rPr>
                    <w:t xml:space="preserve"> 11)支持基于网络的固件更新功能，包括BMC 和BIOS 等；</w:t>
                  </w:r>
                  <w:r>
                    <w:br/>
                  </w:r>
                  <w:r>
                    <w:rPr>
                      <w:sz w:val="20"/>
                    </w:rPr>
                    <w:t xml:space="preserve"> 12)支持基于网络安装操作系统的功能，并可通过网络控制台访问设备；</w:t>
                  </w:r>
                  <w:r>
                    <w:br/>
                  </w:r>
                  <w:r>
                    <w:rPr>
                      <w:sz w:val="20"/>
                    </w:rPr>
                    <w:t xml:space="preserve"> 13)支持通过本地的硬盘或光驱等存储设备，基于网络完成设备的操作系统安装功能；</w:t>
                  </w:r>
                  <w:r>
                    <w:br/>
                  </w:r>
                  <w:r>
                    <w:rPr>
                      <w:sz w:val="20"/>
                    </w:rPr>
                    <w:t xml:space="preserve"> 14)支持通过浏览器打开管理界面并登录功能；</w:t>
                  </w:r>
                  <w:r>
                    <w:br/>
                  </w:r>
                  <w:r>
                    <w:rPr>
                      <w:sz w:val="20"/>
                    </w:rPr>
                    <w:t xml:space="preserve"> 15)支持设置口令策略功能；</w:t>
                  </w:r>
                  <w:r>
                    <w:br/>
                  </w:r>
                  <w:r>
                    <w:rPr>
                      <w:sz w:val="20"/>
                    </w:rPr>
                    <w:t xml:space="preserve"> 16)支持访问权限设置功能，并通过日志记录访问事件；</w:t>
                  </w:r>
                  <w:r>
                    <w:br/>
                  </w:r>
                  <w:r>
                    <w:rPr>
                      <w:sz w:val="20"/>
                    </w:rPr>
                    <w:t xml:space="preserve"> 17)支持对出厂默认的用户名及口令进行安全保护功能，并提供默认口令修改提示；</w:t>
                  </w:r>
                  <w:r>
                    <w:br/>
                  </w:r>
                  <w:r>
                    <w:rPr>
                      <w:sz w:val="20"/>
                    </w:rPr>
                    <w:t xml:space="preserve"> 18)支持读取设备主板的工作环境温度功能；</w:t>
                  </w:r>
                  <w:r>
                    <w:br/>
                  </w:r>
                  <w:r>
                    <w:rPr>
                      <w:sz w:val="20"/>
                    </w:rPr>
                    <w:t xml:space="preserve"> 19)支持读取服务器CPU 等核心器件的温度功能；</w:t>
                  </w:r>
                  <w:r>
                    <w:br/>
                  </w:r>
                  <w:r>
                    <w:rPr>
                      <w:sz w:val="20"/>
                    </w:rPr>
                    <w:t xml:space="preserve"> 20)支持通过外部管理工具进行 BMC</w:t>
                  </w:r>
                  <w:r>
                    <w:rPr>
                      <w:sz w:val="20"/>
                      <w:color w:val="000000"/>
                    </w:rPr>
                    <w:t>参数设置的功能，并可基于网络通过外部管理工具对BMC 进行管理；</w:t>
                  </w:r>
                  <w:r>
                    <w:br/>
                  </w:r>
                  <w:r>
                    <w:rPr>
                      <w:sz w:val="20"/>
                      <w:color w:val="000000"/>
                    </w:rPr>
                    <w:t xml:space="preserve"> 21)应支持固件版本查询、固件升级</w:t>
                  </w:r>
                  <w:r>
                    <w:br/>
                  </w:r>
                  <w:r>
                    <w:rPr>
                      <w:sz w:val="20"/>
                      <w:color w:val="000000"/>
                    </w:rPr>
                    <w:t xml:space="preserve"> 22)支持基于网络实现开关机和复位控制的功能；</w:t>
                  </w:r>
                  <w:r>
                    <w:br/>
                  </w:r>
                  <w:r>
                    <w:rPr>
                      <w:sz w:val="20"/>
                      <w:color w:val="000000"/>
                    </w:rPr>
                    <w:t xml:space="preserve"> 23)BMC 启动时间应不超过 180s，实现功能包括网络、IPMI、散热、传感器服务可用；</w:t>
                  </w:r>
                  <w:r>
                    <w:br/>
                  </w:r>
                  <w:r>
                    <w:rPr>
                      <w:sz w:val="20"/>
                      <w:color w:val="000000"/>
                    </w:rPr>
                    <w:t xml:space="preserve"> 24)支持BMC 固件设置的恢复出厂功能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BMC </w:t>
                  </w:r>
                  <w:r>
                    <w:rPr>
                      <w:sz w:val="20"/>
                    </w:rPr>
                    <w:t>固件增强功能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）网络控制、安装提供图形访问界面网络；</w:t>
                  </w:r>
                  <w:r>
                    <w:br/>
                  </w:r>
                  <w:r>
                    <w:rPr>
                      <w:sz w:val="20"/>
                    </w:rPr>
                    <w:t xml:space="preserve"> b）设备的BMC 管理软件界面显示报警信息，且能够按报警的严重程度进行区分；</w:t>
                  </w:r>
                  <w:r>
                    <w:br/>
                  </w:r>
                  <w:r>
                    <w:rPr>
                      <w:sz w:val="20"/>
                    </w:rPr>
                    <w:t xml:space="preserve"> c）Web GUI 采用 BMC 端口直连，平均响应时间为不大于 1s</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★BIOS 固件基础功能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a</w:t>
                  </w:r>
                  <w:r>
                    <w:rPr>
                      <w:sz w:val="20"/>
                    </w:rPr>
                    <w:t>）支持查看固件版本、内存信息、主板信息、处理器信息和系统时间信息功能；</w:t>
                  </w:r>
                  <w:r>
                    <w:br/>
                  </w:r>
                  <w:r>
                    <w:rPr>
                      <w:sz w:val="20"/>
                    </w:rPr>
                    <w:t xml:space="preserve"> b）支持上电初始化界面显示 CPU 信息、内存信息、固件版本和部分快捷键信息功能；</w:t>
                  </w:r>
                  <w:r>
                    <w:br/>
                  </w:r>
                  <w:r>
                    <w:rPr>
                      <w:sz w:val="20"/>
                    </w:rPr>
                    <w:t xml:space="preserve"> c）支持设置界面中英文显示切换功能；</w:t>
                  </w:r>
                  <w:r>
                    <w:br/>
                  </w:r>
                  <w:r>
                    <w:rPr>
                      <w:sz w:val="20"/>
                    </w:rPr>
                    <w:t xml:space="preserve"> d）支持查看 PCIe 设备信息，SATA设备信息功能；</w:t>
                  </w:r>
                  <w:r>
                    <w:br/>
                  </w:r>
                  <w:r>
                    <w:rPr>
                      <w:sz w:val="20"/>
                    </w:rPr>
                    <w:t xml:space="preserve"> e）支持操作系统安装和引导功能，应并向操作系统提供计算机主板信息和服务接口；</w:t>
                  </w:r>
                  <w:r>
                    <w:br/>
                  </w:r>
                  <w:r>
                    <w:rPr>
                      <w:sz w:val="20"/>
                    </w:rPr>
                    <w:t xml:space="preserve"> f）支持设置启动顺序，并按照设置的启动顺序启动功能；</w:t>
                  </w:r>
                  <w:r>
                    <w:br/>
                  </w:r>
                  <w:r>
                    <w:rPr>
                      <w:sz w:val="20"/>
                    </w:rPr>
                    <w:t xml:space="preserve"> g）支持安全启动功能；</w:t>
                  </w:r>
                  <w:r>
                    <w:br/>
                  </w:r>
                  <w:r>
                    <w:rPr>
                      <w:sz w:val="20"/>
                    </w:rPr>
                    <w:t xml:space="preserve"> h）支持设置口令、修改口令、验证口令功能；</w:t>
                  </w:r>
                  <w:r>
                    <w:br/>
                  </w:r>
                  <w:r>
                    <w:rPr>
                      <w:sz w:val="20"/>
                    </w:rPr>
                    <w:t xml:space="preserve"> i）支持板载显示控制或独立显卡的显示控制功能；</w:t>
                  </w:r>
                  <w:r>
                    <w:br/>
                  </w:r>
                  <w:r>
                    <w:rPr>
                      <w:sz w:val="20"/>
                    </w:rPr>
                    <w:t xml:space="preserve"> j）支持 RAID 识别和启动功能；</w:t>
                  </w:r>
                  <w:r>
                    <w:br/>
                  </w:r>
                  <w:r>
                    <w:rPr>
                      <w:sz w:val="20"/>
                    </w:rPr>
                    <w:t xml:space="preserve"> k）支持串口重定向功能；</w:t>
                  </w:r>
                  <w:r>
                    <w:br/>
                  </w:r>
                  <w:r>
                    <w:rPr>
                      <w:sz w:val="20"/>
                    </w:rPr>
                    <w:t xml:space="preserve"> l）支持固件更新功能；</w:t>
                  </w:r>
                  <w:r>
                    <w:br/>
                  </w:r>
                  <w:r>
                    <w:rPr>
                      <w:sz w:val="20"/>
                    </w:rPr>
                    <w:t xml:space="preserve"> m）支持 BIOS 固件设置的恢复出厂功能；</w:t>
                  </w:r>
                  <w:r>
                    <w:br/>
                  </w:r>
                  <w:r>
                    <w:rPr>
                      <w:sz w:val="20"/>
                    </w:rPr>
                    <w:t xml:space="preserve"> n）支持网络引导启用和关闭功能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★远程控制</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支持远程关机和重新启动功能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操作系统及驱动功能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★操作系统及驱动的升级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支持通过网络、闪存盘对操作系统、驱动进行升级</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★操作系统功能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支持访问控制、安全审计、网络接入鉴别等功能；</w:t>
                  </w:r>
                  <w:r>
                    <w:br/>
                  </w:r>
                  <w:r>
                    <w:rPr>
                      <w:sz w:val="20"/>
                    </w:rPr>
                    <w:t xml:space="preserve"> b) 操作系统其他功能应满足操作</w:t>
                  </w:r>
                  <w:r>
                    <w:br/>
                  </w:r>
                  <w:r>
                    <w:rPr>
                      <w:sz w:val="20"/>
                    </w:rPr>
                    <w:t xml:space="preserve"> 系统政府采购需求标准中加*的指</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中文信息处理功能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★中文信息处理</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 18030 的有关规定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机柜功能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机柜管理功能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机柜管理系统包括服务器节点BMC管理系统、机柜管理系统或交换节点管理系统</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机柜通信方式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若配备机柜管理板可实现包括：资产管理、电源模块、功耗管理和液冷漏液检测等功能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功能要求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多集群作业管理</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支持多集群作业管理功能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59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关键部件安全要求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★关键部件安全要求</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和操作系统等关键部件应当符合安全可靠测评要求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固件安全要求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★故障检测</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支持故障检测功能，可以检测到具体的FRU（内存、硬盘等）的故障并发出告警</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内存故障智能预测和自愈修复</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支持内存故障智能预测和自愈修 复，提前自动硬隔离，避免内存故障引起的非预期宕机以及内存寿命的降低</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硬盘故障智能预测</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支持硬盘故障智能预测，基于故障模型预测出硬盘的故障</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PCIe </w:t>
                  </w:r>
                  <w:r>
                    <w:rPr>
                      <w:sz w:val="20"/>
                    </w:rPr>
                    <w:t>链路故障智能诊断</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支持PCIe 链路故障智能诊断，判断出现故障的PCIe 链路</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内存故障隔离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支持内存故障隔离，在内存产生CE故障时，内存地址被隔离成功，服务器正常运行，业务系统不中断</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内存、PCIe卡的故障精准告警功能</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支持内存、PCIe 卡的故障精准告警功能，触发告警并明确指示具体的故障位置</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异常下电关键数据保护</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支持异常下电关键数据保护，支持数据备份恢复机制，防止系统异常掉电导致的数据文件丢失</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BMC/BIOS</w:t>
                  </w:r>
                  <w:r>
                    <w:br/>
                  </w:r>
                  <w:r>
                    <w:rPr>
                      <w:sz w:val="20"/>
                    </w:rPr>
                    <w:t>固件双镜像保护</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支持BMC/BIOS 固件双镜像保护，运行异常时自动切换到备份镜像运 行，提升系统稳定性</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CPU </w:t>
                  </w:r>
                  <w:r>
                    <w:rPr>
                      <w:sz w:val="20"/>
                    </w:rPr>
                    <w:t>核重启隔离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支持CPU 核发生不可纠正故障后，重启后由BIOS 隔离该故障核，OS不可见，防止 OS 再次使用导致系统异常，核 0 除外</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69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内存地址隔离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在硬件支持的情况下，支持故障内存地址重启后隔离</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内存存储阵列替换</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在硬件支持的情况下，支持故障内存存储阵列替换</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安全启动</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支持执行环境要求在整个系统启动的过程中，系统应提供一个机制来保护平台的完整性</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系统安全要求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syslog </w:t>
                  </w:r>
                  <w:r>
                    <w:rPr>
                      <w:sz w:val="20"/>
                    </w:rPr>
                    <w:t>双向鉴别</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支持系统日志双向鉴别，对服务器根证书和客户端根证书进行鉴别</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★弱口令字典检查</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支持弱口令字典检查功能，出现在弱口令字典中的字符串不能被设置为用户口令</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★白名单访问控制</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支持基于时间、IP 或 MAC 白名单访问控制</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双因素鉴别</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支持使用客户端证书和证书密码的双因素鉴别方式登录管理系统</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★二次鉴别</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支持二次鉴别功能。对于用户配置、权限配置、公钥导入等重要的管理操作，已登录用户应通过二次鉴别后，才能执行操作</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匿名化用户告警接收邮箱</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支持带外管理系统中的用户告警接收邮箱进行匿名化处理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★密码证书安全加密存储</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支持对带外管理系统中的用户口令和证书等敏感信息进行加密存储，禁止使用私有的和业界已知不安全的密码算法</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79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★敏感信息安全加密传输</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支持使用安全的传输加密协议（如SSH 或 HTTPS 等）传输用户的敏感信息</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信息安全要求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★研发过程安全</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供应商承诺，生产商已建立从需求、设计、开发、测试、维护端到端的开发流程管理机制，输出和保存开发流程中每个阶段的产品需求清单、设计文档、开发文档、测试记录等材料，保证各个流程可追溯</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漏洞管理</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供应商承诺，生产商已建立漏洞全量视图，保证产品版本涉及到的所有漏洞(如驱动程序、BMC 软件等)都可以查看</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网络关键设备服务器要求</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作为网络关键设备的服务器应符合 GB 40050 的相关规定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增强要求</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嵌入物理可信根，实现设备的信任链构建；</w:t>
                  </w:r>
                  <w:r>
                    <w:br/>
                  </w:r>
                  <w:r>
                    <w:rPr>
                      <w:sz w:val="20"/>
                    </w:rPr>
                    <w:t xml:space="preserve"> b) 支持可信平台控制模块(TPCM)；</w:t>
                  </w:r>
                  <w:r>
                    <w:br/>
                  </w:r>
                  <w:r>
                    <w:rPr>
                      <w:sz w:val="20"/>
                    </w:rPr>
                    <w:t xml:space="preserve"> c) 支持在固件系统（BMC、BIOS）启动前实现对固件度量的功能，支持物理可信根对BMC 固件或BIOS 固件进行完整性检测、更新和恢复；</w:t>
                  </w:r>
                  <w:r>
                    <w:rPr>
                      <w:sz w:val="20"/>
                      <w:color w:val="000000"/>
                    </w:rPr>
                    <w:t xml:space="preserve">d) </w:t>
                  </w:r>
                  <w:r>
                    <w:rPr>
                      <w:sz w:val="20"/>
                      <w:color w:val="000000"/>
                    </w:rPr>
                    <w:t>支持对 CPU、网络控制器等关键处理器进行身份识别与度量的功 能；</w:t>
                  </w:r>
                  <w:r>
                    <w:br/>
                  </w:r>
                  <w:r>
                    <w:rPr>
                      <w:sz w:val="20"/>
                      <w:color w:val="000000"/>
                    </w:rPr>
                    <w:t xml:space="preserve"> e) 支持基于处理器或可信计算模块度量的功能；</w:t>
                  </w:r>
                  <w:r>
                    <w:br/>
                  </w:r>
                  <w:r>
                    <w:rPr>
                      <w:sz w:val="20"/>
                      <w:color w:val="000000"/>
                    </w:rPr>
                    <w:t xml:space="preserve"> f) 所采用的可信密码模块接口应符合GM/T 0012 的相关规定；</w:t>
                  </w:r>
                  <w:r>
                    <w:br/>
                  </w:r>
                  <w:r>
                    <w:rPr>
                      <w:sz w:val="20"/>
                      <w:color w:val="000000"/>
                    </w:rPr>
                    <w:t xml:space="preserve"> g) 可信安全管理模块、处理器等硬件载体应通过国家相关部门的认证和许可</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物理安全</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★物理安全</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安全要求应符合GB 4943.1 的规定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安全要求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限用物质的限量要</w:t>
                  </w:r>
                  <w:r>
                    <w:br/>
                  </w:r>
                  <w:r>
                    <w:rPr>
                      <w:sz w:val="20"/>
                    </w:rPr>
                    <w:t xml:space="preserve"> 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★限用物质的限量要求</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限用物质的限量应符合GB/T 26572的要求</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CPU</w:t>
                  </w:r>
                  <w:r>
                    <w:br/>
                  </w:r>
                  <w:r>
                    <w:rPr>
                      <w:sz w:val="20"/>
                    </w:rPr>
                    <w:t>性能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★CPU 主频</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≥2.3GHz</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★单CPU 核数</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★单CPU 末级缓存容量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≥64MB</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89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内存性能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单内存模</w:t>
                  </w:r>
                  <w:r>
                    <w:br/>
                  </w:r>
                  <w:r>
                    <w:rPr>
                      <w:sz w:val="20"/>
                    </w:rPr>
                    <w:t xml:space="preserve"> 块容量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≥32GB</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★内存速率</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≥3200MT/s</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存储性能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硬盘转速</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安装的硬磁盘转速不小于 7200rpm</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RAID</w:t>
                  </w:r>
                  <w:r>
                    <w:br/>
                  </w:r>
                  <w:r>
                    <w:rPr>
                      <w:sz w:val="20"/>
                    </w:rPr>
                    <w:t>卡性能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卡缓存容量大小</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配备RAID 卡且 RAID 卡有缓存容量，容量不少于4GB</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网络性能</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独立网卡</w:t>
                  </w:r>
                  <w:r>
                    <w:br/>
                  </w:r>
                  <w:r>
                    <w:rPr>
                      <w:sz w:val="20"/>
                    </w:rPr>
                    <w:t xml:space="preserve"> 速率</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≥10GE</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板载网卡</w:t>
                  </w:r>
                  <w:r>
                    <w:br/>
                  </w:r>
                  <w:r>
                    <w:rPr>
                      <w:sz w:val="20"/>
                    </w:rPr>
                    <w:t xml:space="preserve"> 速率</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≥1GE</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性能要求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电源</w:t>
                  </w:r>
                  <w:r>
                    <w:br/>
                  </w:r>
                  <w:r>
                    <w:rPr>
                      <w:sz w:val="20"/>
                    </w:rPr>
                    <w:t xml:space="preserve"> 能耗</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★电源能耗</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符合GB/T 9813.3 的有关规定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部件兼容性要求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★内存兼容性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适配 3 种及以上厂商的内存产品，且均不低于产品支持的内存规格</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★固态存储兼容性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适配 3 种或以上厂商的固态存储产品，且均不低于产品支持的固态存储设备规格</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FC HBA </w:t>
                  </w:r>
                  <w:r>
                    <w:rPr>
                      <w:sz w:val="20"/>
                    </w:rPr>
                    <w:t>卡</w:t>
                  </w:r>
                  <w:r>
                    <w:br/>
                  </w:r>
                  <w:r>
                    <w:rPr>
                      <w:sz w:val="20"/>
                    </w:rPr>
                    <w:t xml:space="preserve"> 兼容性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FC HBA </w:t>
                  </w:r>
                  <w:r>
                    <w:rPr>
                      <w:sz w:val="20"/>
                    </w:rPr>
                    <w:t>应适配两种或以上厂商产品</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99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卡兼</w:t>
                  </w:r>
                  <w:r>
                    <w:br/>
                  </w:r>
                  <w:r>
                    <w:rPr>
                      <w:sz w:val="20"/>
                    </w:rPr>
                    <w:t xml:space="preserve"> 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RAID </w:t>
                  </w:r>
                  <w:r>
                    <w:rPr>
                      <w:sz w:val="20"/>
                    </w:rPr>
                    <w:t>卡应适配两种或以上厂商产品</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★网卡兼容性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网卡应适配两种或以上厂商产品</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★功能卡兼容性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内置或适配符合PCIe 的功能卡，如：网络功能卡、存储功能卡及图形显示功能卡</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外设兼容性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★外设兼容性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兼容多种主流生产商的外部设备，包括显示器、键盘、鼠标、闪存盘、移动硬盘、USB 光驱及 KVM 等，要求使用不同厂商的外部设备时，系统均能正常识别和安装驱动</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软件兼容性</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★数据库兼</w:t>
                  </w:r>
                  <w:r>
                    <w:br/>
                  </w:r>
                  <w:r>
                    <w:rPr>
                      <w:sz w:val="20"/>
                    </w:rPr>
                    <w:t xml:space="preserve"> 容</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3 个及以上厂商的数据库产品</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★中间件兼容</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3 个及以上厂商的中间件产品</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★平台软件兼容</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3 个及以上厂商的大数据平台</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兼容要求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虚拟化软件兼容</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兼容 2 款及以上虚拟化软件</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存储可靠性要求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SATA SSD</w:t>
                  </w:r>
                  <w:r>
                    <w:br/>
                  </w:r>
                  <w:r>
                    <w:rPr>
                      <w:sz w:val="20"/>
                    </w:rPr>
                    <w:t>可靠性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SSD </w:t>
                  </w:r>
                  <w:r>
                    <w:rPr>
                      <w:sz w:val="20"/>
                    </w:rPr>
                    <w:t>的 m1 值（MTBF 的不可接受值）不低于 200000h</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整机可靠性要求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★整机可靠性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m1 </w:t>
                  </w:r>
                  <w:r>
                    <w:rPr>
                      <w:sz w:val="20"/>
                    </w:rPr>
                    <w:t>值（MTBF 的不可接受值）不得低于 100000h</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109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★风扇可靠性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风扇寿命应不低于 40000h</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可靠性要求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★部件可靠性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支持硬盘、电源、风扇热插拔(内置风扇除外)</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包装及运输要求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包装及运输要求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★标志、包装、运输和贮存</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符合GB/T 9813.3 和商品包装政府采购需求标准的相关规定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服务响应</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★服务响应</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提供电话、电子邮件、远程连接等多种形式服务；</w:t>
                  </w:r>
                  <w:r>
                    <w:br/>
                  </w:r>
                  <w:r>
                    <w:rPr>
                      <w:sz w:val="20"/>
                    </w:rPr>
                    <w:t xml:space="preserve"> b) 提供同城 4h、异地 12h 技术响应服务，2 个工作日解决问题，对于未能解决的问题和故障应提供可行的升级方案，并提供周转设备；</w:t>
                  </w:r>
                  <w:r>
                    <w:br/>
                  </w:r>
                  <w:r>
                    <w:rPr>
                      <w:sz w:val="20"/>
                    </w:rPr>
                    <w:t xml:space="preserve"> c) 建立全国技术服务体系和服务 团体，符合专业服务体系标准要求，提供原厂中文服务；</w:t>
                  </w:r>
                  <w:r>
                    <w:br/>
                  </w:r>
                  <w:r>
                    <w:rPr>
                      <w:sz w:val="20"/>
                    </w:rPr>
                    <w:t xml:space="preserve"> d) 服务周期内提供产品的维修、换件和升级服务</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★培训服务</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供应商提供培训材料、产品手册、培训视频等培训相关内容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服务周期</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★服务周期</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a) </w:t>
                  </w:r>
                  <w:r>
                    <w:rPr>
                      <w:sz w:val="20"/>
                    </w:rPr>
                    <w:t>产品免费服务周期（含换件和维修）应不小于 3 年；</w:t>
                  </w:r>
                  <w:r>
                    <w:br/>
                  </w:r>
                  <w:r>
                    <w:rPr>
                      <w:sz w:val="20"/>
                    </w:rPr>
                    <w:t xml:space="preserve"> b) 设备停产后继续提供质量保障服务（含备品备件），服务终止时间与最后一批设备交付时间间隔不低于 6 年；</w:t>
                  </w:r>
                  <w:r>
                    <w:br/>
                  </w:r>
                  <w:r>
                    <w:rPr>
                      <w:sz w:val="20"/>
                    </w:rPr>
                    <w:t xml:space="preserve"> c) 产品停止服务时间应提前 1 年告知客户；</w:t>
                  </w:r>
                  <w:r>
                    <w:br/>
                  </w:r>
                  <w:r>
                    <w:rPr>
                      <w:sz w:val="20"/>
                    </w:rPr>
                    <w:t xml:space="preserve"> d) 产品发布日期需在随机文件中</w:t>
                  </w:r>
                  <w:r>
                    <w:rPr>
                      <w:sz w:val="20"/>
                      <w:color w:val="000000"/>
                    </w:rPr>
                    <w:t>明确</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服务工具要求</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★工具要求</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供应商提供设置服务器硬件、辅助操作系统安装等功能的辅助工具和管理软件。且随附软件应具有合法授权或版权</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★驱动安装升级指引</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供应商提供出厂安装的配件所需的驱动程序，形式包括但不限于驱动光盘、驱动下载链接等。其他配件应提供指引</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★管理软件</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具备资源管理、系统管理、性能监控、健康监控、基于网络控制、报警设置功能</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增值服务</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★厂家升级产品软件与扩容服务</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供应商提供原厂级的部件/软件产品升级和扩容能力</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119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服务要求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★提供上门</w:t>
                  </w:r>
                  <w:r>
                    <w:br/>
                  </w:r>
                  <w:r>
                    <w:rPr>
                      <w:sz w:val="20"/>
                    </w:rPr>
                    <w:t xml:space="preserve"> 服务</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供应商具备提供3年维保上门服务（费用包含在报价中）</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120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供保要求</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供应链质量</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★抗干扰性</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当产品部件出现供应风险时，应通知客户并提供风险应对方案确保产品的服务保障，必要时应停止相关受影响产品的销售</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121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供保要求</w:t>
                  </w:r>
                </w:p>
              </w:tc>
              <w:tc>
                <w:tcPr>
                  <w:tcW w:type="dxa" w:w="848"/>
                  <w:vMerge/>
                  <w:tcBorders>
                    <w:top w:val="none" w:color="000000" w:sz="4"/>
                    <w:left w:val="none" w:color="000000" w:sz="4"/>
                    <w:bottom w:val="single" w:color="000000" w:sz="4"/>
                    <w:right w:val="single" w:color="000000" w:sz="4"/>
                  </w:tcBorders>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★供应能力证明</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供应商提供供应链稳定承诺书，确保产品的部件在产品服务周期内稳定供货</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b/>
                    </w:rPr>
                    <w:t>说明：供应商在投标时出具关于所提供的“</w:t>
                  </w:r>
                  <w:r>
                    <w:rPr>
                      <w:sz w:val="21"/>
                      <w:b/>
                    </w:rPr>
                    <w:t>GPU</w:t>
                  </w:r>
                  <w:r>
                    <w:rPr>
                      <w:sz w:val="21"/>
                      <w:b/>
                    </w:rPr>
                    <w:t>服务器</w:t>
                  </w:r>
                  <w:r>
                    <w:rPr>
                      <w:sz w:val="20"/>
                      <w:b/>
                    </w:rPr>
                    <w:t>”是否满足采购文件要求的承诺函（上述“★”指标应逐项响应，可参照“格式”中《承诺函》格式）。</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备份一体机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2"/>
              <w:gridCol w:w="565"/>
              <w:gridCol w:w="4580"/>
            </w:tblGrid>
            <w:tr>
              <w:tc>
                <w:tcPr>
                  <w:tcW w:type="dxa" w:w="452"/>
                  <w:tcBorders>
                    <w:top w:val="single" w:color="000000" w:sz="4"/>
                    <w:left w:val="single" w:color="000000" w:sz="4"/>
                    <w:bottom w:val="single" w:color="000000" w:sz="4"/>
                    <w:right w:val="single" w:color="000000" w:sz="4"/>
                  </w:tcBorders>
                  <w:shd w:fill="D8D8D8"/>
                  <w:tcMar>
                    <w:top w:type="dxa" w:w="45"/>
                    <w:left w:type="dxa" w:w="105"/>
                    <w:bottom w:type="dxa" w:w="45"/>
                    <w:right w:type="dxa" w:w="105"/>
                  </w:tcMar>
                </w:tcPr>
                <w:p>
                  <w:pPr>
                    <w:pStyle w:val="null3"/>
                    <w:jc w:val="both"/>
                  </w:pPr>
                  <w:r>
                    <w:rPr>
                      <w:sz w:val="21"/>
                    </w:rPr>
                    <w:t>序号</w:t>
                  </w:r>
                </w:p>
              </w:tc>
              <w:tc>
                <w:tcPr>
                  <w:tcW w:type="dxa" w:w="565"/>
                  <w:tcBorders>
                    <w:top w:val="single" w:color="000000" w:sz="4"/>
                    <w:left w:val="none" w:color="000000" w:sz="4"/>
                    <w:bottom w:val="single" w:color="000000" w:sz="4"/>
                    <w:right w:val="single" w:color="000000" w:sz="4"/>
                  </w:tcBorders>
                  <w:shd w:fill="D8D8D8"/>
                  <w:tcMar>
                    <w:top w:type="dxa" w:w="45"/>
                    <w:left w:type="dxa" w:w="105"/>
                    <w:bottom w:type="dxa" w:w="45"/>
                    <w:right w:type="dxa" w:w="105"/>
                  </w:tcMar>
                </w:tcPr>
                <w:p>
                  <w:pPr>
                    <w:pStyle w:val="null3"/>
                    <w:jc w:val="both"/>
                  </w:pPr>
                  <w:r>
                    <w:rPr>
                      <w:sz w:val="21"/>
                    </w:rPr>
                    <w:t>指标项</w:t>
                  </w:r>
                </w:p>
              </w:tc>
              <w:tc>
                <w:tcPr>
                  <w:tcW w:type="dxa" w:w="4580"/>
                  <w:tcBorders>
                    <w:top w:val="single" w:color="000000" w:sz="4"/>
                    <w:left w:val="none" w:color="000000" w:sz="4"/>
                    <w:bottom w:val="single" w:color="000000" w:sz="4"/>
                    <w:right w:val="single" w:color="000000" w:sz="4"/>
                  </w:tcBorders>
                  <w:shd w:fill="D8D8D8"/>
                  <w:tcMar>
                    <w:top w:type="dxa" w:w="45"/>
                    <w:left w:type="dxa" w:w="105"/>
                    <w:bottom w:type="dxa" w:w="45"/>
                    <w:right w:type="dxa" w:w="105"/>
                  </w:tcMar>
                </w:tcPr>
                <w:p>
                  <w:pPr>
                    <w:pStyle w:val="null3"/>
                    <w:jc w:val="both"/>
                  </w:pPr>
                  <w:r>
                    <w:rPr>
                      <w:sz w:val="21"/>
                    </w:rPr>
                    <w:t>指标要求</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★产品规格</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产品形态：</w:t>
                  </w:r>
                  <w:r>
                    <w:rPr>
                      <w:sz w:val="21"/>
                    </w:rPr>
                    <w:t>4U</w:t>
                  </w:r>
                  <w:r>
                    <w:rPr>
                      <w:sz w:val="21"/>
                    </w:rPr>
                    <w:t>机架式设备，软、硬件一体机，无需额外配置备份服务器；</w:t>
                  </w:r>
                  <w:r>
                    <w:rPr>
                      <w:sz w:val="21"/>
                    </w:rPr>
                    <w:t>CPU</w:t>
                  </w:r>
                  <w:r>
                    <w:rPr>
                      <w:sz w:val="21"/>
                    </w:rPr>
                    <w:t>：配置</w:t>
                  </w:r>
                  <w:r>
                    <w:rPr>
                      <w:sz w:val="21"/>
                    </w:rPr>
                    <w:t xml:space="preserve"> 2</w:t>
                  </w:r>
                  <w:r>
                    <w:rPr>
                      <w:sz w:val="21"/>
                    </w:rPr>
                    <w:t>颗</w:t>
                  </w:r>
                  <w:r>
                    <w:rPr>
                      <w:sz w:val="21"/>
                    </w:rPr>
                    <w:t xml:space="preserve"> Intel </w:t>
                  </w:r>
                  <w:r>
                    <w:rPr>
                      <w:sz w:val="21"/>
                    </w:rPr>
                    <w:t>处理器。主频≥</w:t>
                  </w:r>
                  <w:r>
                    <w:rPr>
                      <w:sz w:val="21"/>
                    </w:rPr>
                    <w:t>2.1GHz</w:t>
                  </w:r>
                  <w:r>
                    <w:rPr>
                      <w:sz w:val="21"/>
                    </w:rPr>
                    <w:t>，单</w:t>
                  </w:r>
                  <w:r>
                    <w:rPr>
                      <w:sz w:val="21"/>
                    </w:rPr>
                    <w:t>CPU</w:t>
                  </w:r>
                  <w:r>
                    <w:rPr>
                      <w:sz w:val="21"/>
                    </w:rPr>
                    <w:t>核数≥</w:t>
                  </w:r>
                  <w:r>
                    <w:rPr>
                      <w:sz w:val="21"/>
                    </w:rPr>
                    <w:t>12</w:t>
                  </w:r>
                  <w:r>
                    <w:rPr>
                      <w:sz w:val="21"/>
                    </w:rPr>
                    <w:t>核；内存≥</w:t>
                  </w:r>
                  <w:r>
                    <w:rPr>
                      <w:sz w:val="21"/>
                    </w:rPr>
                    <w:t>128GB</w:t>
                  </w:r>
                  <w:r>
                    <w:rPr>
                      <w:sz w:val="21"/>
                    </w:rPr>
                    <w:t>内存；系统盘：≥</w:t>
                  </w:r>
                  <w:r>
                    <w:rPr>
                      <w:sz w:val="21"/>
                    </w:rPr>
                    <w:t>2</w:t>
                  </w:r>
                  <w:r>
                    <w:rPr>
                      <w:sz w:val="21"/>
                    </w:rPr>
                    <w:t>块</w:t>
                  </w:r>
                  <w:r>
                    <w:rPr>
                      <w:sz w:val="21"/>
                    </w:rPr>
                    <w:t>960GB SSD</w:t>
                  </w:r>
                  <w:r>
                    <w:rPr>
                      <w:sz w:val="21"/>
                    </w:rPr>
                    <w:t>；数据盘：≥</w:t>
                  </w:r>
                  <w:r>
                    <w:rPr>
                      <w:sz w:val="21"/>
                    </w:rPr>
                    <w:t>6</w:t>
                  </w:r>
                  <w:r>
                    <w:rPr>
                      <w:sz w:val="21"/>
                    </w:rPr>
                    <w:t>块</w:t>
                  </w:r>
                  <w:r>
                    <w:rPr>
                      <w:sz w:val="21"/>
                    </w:rPr>
                    <w:t>12TB STAT</w:t>
                  </w:r>
                  <w:r>
                    <w:rPr>
                      <w:sz w:val="21"/>
                    </w:rPr>
                    <w:t>企业级硬盘；外部接口：配置板载</w:t>
                  </w:r>
                  <w:r>
                    <w:rPr>
                      <w:sz w:val="21"/>
                    </w:rPr>
                    <w:t xml:space="preserve"> 1 </w:t>
                  </w:r>
                  <w:r>
                    <w:rPr>
                      <w:sz w:val="21"/>
                    </w:rPr>
                    <w:t>块双端口千兆电口卡和</w:t>
                  </w:r>
                  <w:r>
                    <w:rPr>
                      <w:sz w:val="21"/>
                    </w:rPr>
                    <w:t xml:space="preserve"> 1 </w:t>
                  </w:r>
                  <w:r>
                    <w:rPr>
                      <w:sz w:val="21"/>
                    </w:rPr>
                    <w:t>块双端口万兆光口卡（含光模块），空闲</w:t>
                  </w:r>
                  <w:r>
                    <w:rPr>
                      <w:sz w:val="21"/>
                    </w:rPr>
                    <w:t xml:space="preserve"> 5 </w:t>
                  </w:r>
                  <w:r>
                    <w:rPr>
                      <w:sz w:val="21"/>
                    </w:rPr>
                    <w:t>个</w:t>
                  </w:r>
                  <w:r>
                    <w:rPr>
                      <w:sz w:val="21"/>
                    </w:rPr>
                    <w:t xml:space="preserve"> PCIe </w:t>
                  </w:r>
                  <w:r>
                    <w:rPr>
                      <w:sz w:val="21"/>
                    </w:rPr>
                    <w:t>插槽。</w:t>
                  </w:r>
                  <w:r>
                    <w:rPr>
                      <w:sz w:val="21"/>
                    </w:rPr>
                    <w:t xml:space="preserve"> (</w:t>
                  </w:r>
                  <w:r>
                    <w:rPr>
                      <w:sz w:val="21"/>
                    </w:rPr>
                    <w:t>投标时根据《技术和服务要求响应表》对应参数做为评定是否响应该要求）</w:t>
                  </w:r>
                  <w:r>
                    <w:rPr>
                      <w:sz w:val="21"/>
                    </w:rPr>
                    <w:t xml:space="preserve">                    </w:t>
                  </w:r>
                </w:p>
                <w:p>
                  <w:pPr>
                    <w:pStyle w:val="null3"/>
                    <w:jc w:val="both"/>
                  </w:pPr>
                  <w:r>
                    <w:rPr>
                      <w:sz w:val="21"/>
                    </w:rPr>
                    <w:t>2.</w:t>
                  </w:r>
                  <w:r>
                    <w:rPr>
                      <w:sz w:val="21"/>
                    </w:rPr>
                    <w:t>本次配置≥</w:t>
                  </w:r>
                  <w:r>
                    <w:rPr>
                      <w:sz w:val="21"/>
                    </w:rPr>
                    <w:t>30TB</w:t>
                  </w:r>
                  <w:r>
                    <w:rPr>
                      <w:sz w:val="21"/>
                    </w:rPr>
                    <w:t>定时备份容量许可，，不限制前端备份源的数量，不限制前端备份数据的类型；</w:t>
                  </w:r>
                </w:p>
                <w:p>
                  <w:pPr>
                    <w:pStyle w:val="null3"/>
                    <w:jc w:val="both"/>
                  </w:pPr>
                  <w:r>
                    <w:rPr>
                      <w:sz w:val="21"/>
                    </w:rPr>
                    <w:t>配置</w:t>
                  </w:r>
                  <w:r>
                    <w:rPr>
                      <w:sz w:val="21"/>
                    </w:rPr>
                    <w:t>1</w:t>
                  </w:r>
                  <w:r>
                    <w:rPr>
                      <w:sz w:val="21"/>
                    </w:rPr>
                    <w:t>个重复数据删除代理，不限重删数据容量；</w:t>
                  </w:r>
                </w:p>
                <w:p>
                  <w:pPr>
                    <w:pStyle w:val="null3"/>
                    <w:jc w:val="both"/>
                  </w:pPr>
                  <w:r>
                    <w:rPr>
                      <w:sz w:val="21"/>
                    </w:rPr>
                    <w:t>配置</w:t>
                  </w:r>
                  <w:r>
                    <w:rPr>
                      <w:sz w:val="21"/>
                    </w:rPr>
                    <w:t>1</w:t>
                  </w:r>
                  <w:r>
                    <w:rPr>
                      <w:sz w:val="21"/>
                    </w:rPr>
                    <w:t>个永久增量备份代理；</w:t>
                  </w:r>
                </w:p>
                <w:p>
                  <w:pPr>
                    <w:pStyle w:val="null3"/>
                    <w:jc w:val="both"/>
                  </w:pPr>
                  <w:r>
                    <w:rPr>
                      <w:sz w:val="21"/>
                    </w:rPr>
                    <w:t>配置</w:t>
                  </w:r>
                  <w:r>
                    <w:rPr>
                      <w:sz w:val="21"/>
                    </w:rPr>
                    <w:t xml:space="preserve">1 </w:t>
                  </w:r>
                  <w:r>
                    <w:rPr>
                      <w:sz w:val="21"/>
                    </w:rPr>
                    <w:t>个</w:t>
                  </w:r>
                  <w:r>
                    <w:rPr>
                      <w:sz w:val="21"/>
                    </w:rPr>
                    <w:t xml:space="preserve"> CDP </w:t>
                  </w:r>
                  <w:r>
                    <w:rPr>
                      <w:sz w:val="21"/>
                    </w:rPr>
                    <w:t>持续数据保护场地授权代理许可</w:t>
                  </w:r>
                  <w:r>
                    <w:rPr>
                      <w:sz w:val="21"/>
                    </w:rPr>
                    <w:t>.</w:t>
                  </w:r>
                </w:p>
                <w:p>
                  <w:pPr>
                    <w:pStyle w:val="null3"/>
                    <w:jc w:val="both"/>
                  </w:pPr>
                  <w:r>
                    <w:rPr>
                      <w:sz w:val="21"/>
                    </w:rPr>
                    <w:t>（提供产品制造商的官网、产品彩页或产品技术白皮书截图并加盖投标人公章）</w:t>
                  </w:r>
                </w:p>
                <w:p>
                  <w:pPr>
                    <w:pStyle w:val="null3"/>
                    <w:jc w:val="both"/>
                  </w:pPr>
                  <w:r>
                    <w:rPr>
                      <w:sz w:val="21"/>
                    </w:rPr>
                    <w:t>3.</w:t>
                  </w:r>
                  <w:r>
                    <w:rPr>
                      <w:sz w:val="21"/>
                    </w:rPr>
                    <w:t>原厂售后服务：原厂安装服务，提供自项目验收起不少于</w:t>
                  </w:r>
                  <w:r>
                    <w:rPr>
                      <w:sz w:val="21"/>
                    </w:rPr>
                    <w:t>5</w:t>
                  </w:r>
                  <w:r>
                    <w:rPr>
                      <w:sz w:val="21"/>
                    </w:rPr>
                    <w:t>年</w:t>
                  </w:r>
                  <w:r>
                    <w:rPr>
                      <w:sz w:val="21"/>
                    </w:rPr>
                    <w:t>7x24x4</w:t>
                  </w:r>
                  <w:r>
                    <w:rPr>
                      <w:sz w:val="21"/>
                    </w:rPr>
                    <w:t>原厂维保服务、每半年度巡检服务、优化服务，含软件、硬件；重大故障提供</w:t>
                  </w:r>
                  <w:r>
                    <w:rPr>
                      <w:sz w:val="21"/>
                    </w:rPr>
                    <w:t>4</w:t>
                  </w:r>
                  <w:r>
                    <w:rPr>
                      <w:sz w:val="21"/>
                    </w:rPr>
                    <w:t>小时抵达现场的应急服务。签订合同前需提供产品制造商对本项目的售后服务承诺函。（提供投标人承诺函并加盖投标人公章）</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2</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品牌</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中国大陆生产，生产厂家具有自主研发能力，非</w:t>
                  </w:r>
                  <w:r>
                    <w:rPr>
                      <w:sz w:val="21"/>
                    </w:rPr>
                    <w:t>OEM</w:t>
                  </w:r>
                  <w:r>
                    <w:rPr>
                      <w:sz w:val="21"/>
                    </w:rPr>
                    <w:t>产品。</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3</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备份系统功能</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▲支持通过一个</w:t>
                  </w:r>
                  <w:r>
                    <w:rPr>
                      <w:sz w:val="21"/>
                    </w:rPr>
                    <w:t>Web</w:t>
                  </w:r>
                  <w:r>
                    <w:rPr>
                      <w:sz w:val="21"/>
                    </w:rPr>
                    <w:t>页面管理定时备份、副本数据管理（</w:t>
                  </w:r>
                  <w:r>
                    <w:rPr>
                      <w:sz w:val="21"/>
                    </w:rPr>
                    <w:t>CDM)</w:t>
                  </w:r>
                  <w:r>
                    <w:rPr>
                      <w:sz w:val="21"/>
                    </w:rPr>
                    <w:t>和持续数据保护</w:t>
                  </w:r>
                  <w:r>
                    <w:rPr>
                      <w:sz w:val="21"/>
                    </w:rPr>
                    <w:t>(CDP)</w:t>
                  </w:r>
                  <w:r>
                    <w:rPr>
                      <w:sz w:val="21"/>
                    </w:rPr>
                    <w:t>功能。支持单节点部署扩展为三节点灾备集群部署，三节点灾备集群备份速度不小于</w:t>
                  </w:r>
                  <w:r>
                    <w:rPr>
                      <w:sz w:val="21"/>
                    </w:rPr>
                    <w:t>3000M/S</w:t>
                  </w:r>
                  <w:r>
                    <w:rPr>
                      <w:sz w:val="21"/>
                    </w:rPr>
                    <w:t>。（提供第三方评测机构出具的具备</w:t>
                  </w:r>
                  <w:r>
                    <w:rPr>
                      <w:sz w:val="21"/>
                    </w:rPr>
                    <w:t>CMA</w:t>
                  </w:r>
                  <w:r>
                    <w:rPr>
                      <w:sz w:val="21"/>
                    </w:rPr>
                    <w:t>标志的测评报告截图并加盖投标人公章）</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4</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数据库备份和恢复功能要求</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、支持对</w:t>
                  </w:r>
                  <w:r>
                    <w:rPr>
                      <w:sz w:val="21"/>
                    </w:rPr>
                    <w:t>Oracle</w:t>
                  </w:r>
                  <w:r>
                    <w:rPr>
                      <w:sz w:val="21"/>
                    </w:rPr>
                    <w:t>、</w:t>
                  </w:r>
                  <w:r>
                    <w:rPr>
                      <w:sz w:val="21"/>
                    </w:rPr>
                    <w:t>DB2</w:t>
                  </w:r>
                  <w:r>
                    <w:rPr>
                      <w:sz w:val="21"/>
                    </w:rPr>
                    <w:t>、</w:t>
                  </w:r>
                  <w:r>
                    <w:rPr>
                      <w:sz w:val="21"/>
                    </w:rPr>
                    <w:t>MySQL</w:t>
                  </w:r>
                  <w:r>
                    <w:rPr>
                      <w:sz w:val="21"/>
                    </w:rPr>
                    <w:t>、</w:t>
                  </w:r>
                  <w:r>
                    <w:rPr>
                      <w:sz w:val="21"/>
                    </w:rPr>
                    <w:t>MariaDB</w:t>
                  </w:r>
                  <w:r>
                    <w:rPr>
                      <w:sz w:val="21"/>
                    </w:rPr>
                    <w:t>、</w:t>
                  </w:r>
                  <w:r>
                    <w:rPr>
                      <w:sz w:val="21"/>
                    </w:rPr>
                    <w:t>PostgreSQL</w:t>
                  </w:r>
                  <w:r>
                    <w:rPr>
                      <w:sz w:val="21"/>
                    </w:rPr>
                    <w:t>、</w:t>
                  </w:r>
                  <w:r>
                    <w:rPr>
                      <w:sz w:val="21"/>
                    </w:rPr>
                    <w:t>SQL Server</w:t>
                  </w:r>
                  <w:r>
                    <w:rPr>
                      <w:sz w:val="21"/>
                    </w:rPr>
                    <w:t>、</w:t>
                  </w:r>
                  <w:r>
                    <w:rPr>
                      <w:sz w:val="21"/>
                    </w:rPr>
                    <w:t>SAP HANA</w:t>
                  </w:r>
                  <w:r>
                    <w:rPr>
                      <w:sz w:val="21"/>
                    </w:rPr>
                    <w:t>等主流数据库进行在线备份保护，备份任务配置过程全部由图形化向导指引完成，可在图形化界面选择相应数据库，无需编写脚本。</w:t>
                  </w:r>
                </w:p>
                <w:p>
                  <w:pPr>
                    <w:pStyle w:val="null3"/>
                    <w:jc w:val="both"/>
                  </w:pPr>
                  <w:r>
                    <w:rPr>
                      <w:sz w:val="21"/>
                    </w:rPr>
                    <w:t>2</w:t>
                  </w:r>
                  <w:r>
                    <w:rPr>
                      <w:sz w:val="21"/>
                    </w:rPr>
                    <w:t>、</w:t>
                  </w:r>
                  <w:r>
                    <w:rPr>
                      <w:sz w:val="21"/>
                    </w:rPr>
                    <w:t>Oracle</w:t>
                  </w:r>
                  <w:r>
                    <w:rPr>
                      <w:sz w:val="21"/>
                    </w:rPr>
                    <w:t>数据库支持各平台下</w:t>
                  </w:r>
                  <w:r>
                    <w:rPr>
                      <w:sz w:val="21"/>
                    </w:rPr>
                    <w:t>10g</w:t>
                  </w:r>
                  <w:r>
                    <w:rPr>
                      <w:sz w:val="21"/>
                    </w:rPr>
                    <w:t>、</w:t>
                  </w:r>
                  <w:r>
                    <w:rPr>
                      <w:sz w:val="21"/>
                    </w:rPr>
                    <w:t>11g</w:t>
                  </w:r>
                  <w:r>
                    <w:rPr>
                      <w:sz w:val="21"/>
                    </w:rPr>
                    <w:t>、</w:t>
                  </w:r>
                  <w:r>
                    <w:rPr>
                      <w:sz w:val="21"/>
                    </w:rPr>
                    <w:t>12c</w:t>
                  </w:r>
                  <w:r>
                    <w:rPr>
                      <w:sz w:val="21"/>
                    </w:rPr>
                    <w:t>、</w:t>
                  </w:r>
                  <w:r>
                    <w:rPr>
                      <w:sz w:val="21"/>
                    </w:rPr>
                    <w:t>18c</w:t>
                  </w:r>
                  <w:r>
                    <w:rPr>
                      <w:sz w:val="21"/>
                    </w:rPr>
                    <w:t>、</w:t>
                  </w:r>
                  <w:r>
                    <w:rPr>
                      <w:sz w:val="21"/>
                    </w:rPr>
                    <w:t>19c</w:t>
                  </w:r>
                  <w:r>
                    <w:rPr>
                      <w:sz w:val="21"/>
                    </w:rPr>
                    <w:t>、</w:t>
                  </w:r>
                  <w:r>
                    <w:rPr>
                      <w:sz w:val="21"/>
                    </w:rPr>
                    <w:t>21c</w:t>
                  </w:r>
                  <w:r>
                    <w:rPr>
                      <w:sz w:val="21"/>
                    </w:rPr>
                    <w:t>全系列版本的定时备份，支持配置对</w:t>
                  </w:r>
                  <w:r>
                    <w:rPr>
                      <w:sz w:val="21"/>
                    </w:rPr>
                    <w:t>Oracle</w:t>
                  </w:r>
                  <w:r>
                    <w:rPr>
                      <w:sz w:val="21"/>
                    </w:rPr>
                    <w:t>的日志进行详细解析，可以查看每条日志数据的实际执行内容。在数据恢复作业中可以选择准确的</w:t>
                  </w:r>
                  <w:r>
                    <w:rPr>
                      <w:sz w:val="21"/>
                    </w:rPr>
                    <w:t>SCN</w:t>
                  </w:r>
                  <w:r>
                    <w:rPr>
                      <w:sz w:val="21"/>
                    </w:rPr>
                    <w:t>来确定数据恢复点。（提供该功能截图并加盖公章）</w:t>
                  </w:r>
                </w:p>
                <w:p>
                  <w:pPr>
                    <w:pStyle w:val="null3"/>
                    <w:jc w:val="both"/>
                  </w:pPr>
                  <w:r>
                    <w:rPr>
                      <w:sz w:val="21"/>
                    </w:rPr>
                    <w:t>▲</w:t>
                  </w:r>
                  <w:r>
                    <w:rPr>
                      <w:sz w:val="21"/>
                    </w:rPr>
                    <w:t>3</w:t>
                  </w:r>
                  <w:r>
                    <w:rPr>
                      <w:sz w:val="21"/>
                    </w:rPr>
                    <w:t>、支持数据库（如</w:t>
                  </w:r>
                  <w:r>
                    <w:rPr>
                      <w:sz w:val="21"/>
                    </w:rPr>
                    <w:t>MySQL</w:t>
                  </w:r>
                  <w:r>
                    <w:rPr>
                      <w:sz w:val="21"/>
                    </w:rPr>
                    <w:t>、</w:t>
                  </w:r>
                  <w:r>
                    <w:rPr>
                      <w:sz w:val="21"/>
                    </w:rPr>
                    <w:t>Oracle</w:t>
                  </w:r>
                  <w:r>
                    <w:rPr>
                      <w:sz w:val="21"/>
                    </w:rPr>
                    <w:t>）接口级的连续日志备份（非</w:t>
                  </w:r>
                  <w:r>
                    <w:rPr>
                      <w:sz w:val="21"/>
                    </w:rPr>
                    <w:t>CDP</w:t>
                  </w:r>
                  <w:r>
                    <w:rPr>
                      <w:sz w:val="21"/>
                    </w:rPr>
                    <w:t>模式），以持续的对数据库（如</w:t>
                  </w:r>
                  <w:r>
                    <w:rPr>
                      <w:sz w:val="21"/>
                    </w:rPr>
                    <w:t>MySQL</w:t>
                  </w:r>
                  <w:r>
                    <w:rPr>
                      <w:sz w:val="21"/>
                    </w:rPr>
                    <w:t>、</w:t>
                  </w:r>
                  <w:r>
                    <w:rPr>
                      <w:sz w:val="21"/>
                    </w:rPr>
                    <w:t>Oracle</w:t>
                  </w:r>
                  <w:r>
                    <w:rPr>
                      <w:sz w:val="21"/>
                    </w:rPr>
                    <w:t>）产生的日志做实时备份；支持数据库（如</w:t>
                  </w:r>
                  <w:r>
                    <w:rPr>
                      <w:sz w:val="21"/>
                    </w:rPr>
                    <w:t>Oracle</w:t>
                  </w:r>
                  <w:r>
                    <w:rPr>
                      <w:sz w:val="21"/>
                    </w:rPr>
                    <w:t>、</w:t>
                  </w:r>
                  <w:r>
                    <w:rPr>
                      <w:sz w:val="21"/>
                    </w:rPr>
                    <w:t>MySQL</w:t>
                  </w:r>
                  <w:r>
                    <w:rPr>
                      <w:sz w:val="21"/>
                    </w:rPr>
                    <w:t>）单表级细粒度直接恢复至生产环境中，实现高效精准的恢复。【投标时提供产品功能截图加盖投标人公章，在相应指标作出</w:t>
                  </w:r>
                </w:p>
                <w:p>
                  <w:pPr>
                    <w:pStyle w:val="null3"/>
                    <w:jc w:val="both"/>
                  </w:pPr>
                  <w:r>
                    <w:rPr>
                      <w:sz w:val="21"/>
                    </w:rPr>
                    <w:t>标记并注明针对的参数（例如用红色方框标记）。未做标记出现漏评风险由投标人承担，评标委员会可视为不满足。】</w:t>
                  </w:r>
                </w:p>
                <w:p>
                  <w:pPr>
                    <w:pStyle w:val="null3"/>
                    <w:jc w:val="both"/>
                  </w:pPr>
                  <w:r>
                    <w:rPr>
                      <w:sz w:val="21"/>
                    </w:rPr>
                    <w:t>4</w:t>
                  </w:r>
                  <w:r>
                    <w:rPr>
                      <w:sz w:val="21"/>
                    </w:rPr>
                    <w:t>、支持</w:t>
                  </w:r>
                  <w:r>
                    <w:rPr>
                      <w:sz w:val="21"/>
                    </w:rPr>
                    <w:t xml:space="preserve">Oracle PDB </w:t>
                  </w:r>
                  <w:r>
                    <w:rPr>
                      <w:sz w:val="21"/>
                    </w:rPr>
                    <w:t>租户备份恢复高级特性，支持</w:t>
                  </w:r>
                  <w:r>
                    <w:rPr>
                      <w:sz w:val="21"/>
                    </w:rPr>
                    <w:t xml:space="preserve"> Oracle BCT </w:t>
                  </w:r>
                  <w:r>
                    <w:rPr>
                      <w:sz w:val="21"/>
                    </w:rPr>
                    <w:t>备份加速。</w:t>
                  </w:r>
                </w:p>
                <w:p>
                  <w:pPr>
                    <w:pStyle w:val="null3"/>
                    <w:jc w:val="both"/>
                  </w:pPr>
                  <w:r>
                    <w:rPr>
                      <w:sz w:val="21"/>
                    </w:rPr>
                    <w:t>5</w:t>
                  </w:r>
                  <w:r>
                    <w:rPr>
                      <w:sz w:val="21"/>
                    </w:rPr>
                    <w:t>、支持达梦、人大金仓、神舟通用、南大通用、瀚高和优炫等主流数据库的备份。具有数据库副本数据管理（</w:t>
                  </w:r>
                  <w:r>
                    <w:rPr>
                      <w:sz w:val="21"/>
                    </w:rPr>
                    <w:t>CDM</w:t>
                  </w:r>
                  <w:r>
                    <w:rPr>
                      <w:sz w:val="21"/>
                    </w:rPr>
                    <w:t>）能力，数据库类型包括但不限于：</w:t>
                  </w:r>
                  <w:r>
                    <w:rPr>
                      <w:sz w:val="21"/>
                    </w:rPr>
                    <w:t>Oracle</w:t>
                  </w:r>
                  <w:r>
                    <w:rPr>
                      <w:sz w:val="21"/>
                    </w:rPr>
                    <w:t>、</w:t>
                  </w:r>
                  <w:r>
                    <w:rPr>
                      <w:sz w:val="21"/>
                    </w:rPr>
                    <w:t>MySQL</w:t>
                  </w:r>
                  <w:r>
                    <w:rPr>
                      <w:sz w:val="21"/>
                    </w:rPr>
                    <w:t>、</w:t>
                  </w:r>
                  <w:r>
                    <w:rPr>
                      <w:sz w:val="21"/>
                    </w:rPr>
                    <w:t>SQL Server</w:t>
                  </w:r>
                  <w:r>
                    <w:rPr>
                      <w:sz w:val="21"/>
                    </w:rPr>
                    <w:t>、达梦单机和</w:t>
                  </w:r>
                  <w:r>
                    <w:rPr>
                      <w:sz w:val="21"/>
                    </w:rPr>
                    <w:t>DSC</w:t>
                  </w:r>
                  <w:r>
                    <w:rPr>
                      <w:sz w:val="21"/>
                    </w:rPr>
                    <w:t>集群等。</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5</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云平台和虚拟化保护</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、支持对</w:t>
                  </w:r>
                  <w:r>
                    <w:rPr>
                      <w:sz w:val="21"/>
                    </w:rPr>
                    <w:t>VMware</w:t>
                  </w:r>
                  <w:r>
                    <w:rPr>
                      <w:sz w:val="21"/>
                    </w:rPr>
                    <w:t>、</w:t>
                  </w:r>
                  <w:r>
                    <w:rPr>
                      <w:sz w:val="21"/>
                    </w:rPr>
                    <w:t>FusionCompute</w:t>
                  </w:r>
                  <w:r>
                    <w:rPr>
                      <w:sz w:val="21"/>
                    </w:rPr>
                    <w:t>、</w:t>
                  </w:r>
                  <w:r>
                    <w:rPr>
                      <w:sz w:val="21"/>
                    </w:rPr>
                    <w:t>H3C CAS/UIS</w:t>
                  </w:r>
                  <w:r>
                    <w:rPr>
                      <w:sz w:val="21"/>
                    </w:rPr>
                    <w:t>、中兴</w:t>
                  </w:r>
                  <w:r>
                    <w:rPr>
                      <w:sz w:val="21"/>
                    </w:rPr>
                    <w:t>iROS</w:t>
                  </w:r>
                  <w:r>
                    <w:rPr>
                      <w:sz w:val="21"/>
                    </w:rPr>
                    <w:t>、浪潮</w:t>
                  </w:r>
                  <w:r>
                    <w:rPr>
                      <w:sz w:val="21"/>
                    </w:rPr>
                    <w:t>InCloud Sphere</w:t>
                  </w:r>
                  <w:r>
                    <w:rPr>
                      <w:sz w:val="21"/>
                    </w:rPr>
                    <w:t>、</w:t>
                  </w:r>
                  <w:r>
                    <w:rPr>
                      <w:sz w:val="21"/>
                    </w:rPr>
                    <w:t>ZStack</w:t>
                  </w:r>
                  <w:r>
                    <w:rPr>
                      <w:sz w:val="21"/>
                    </w:rPr>
                    <w:t>、</w:t>
                  </w:r>
                  <w:r>
                    <w:rPr>
                      <w:sz w:val="21"/>
                    </w:rPr>
                    <w:t>SmartX</w:t>
                  </w:r>
                  <w:r>
                    <w:rPr>
                      <w:sz w:val="21"/>
                    </w:rPr>
                    <w:t>、青云、</w:t>
                  </w:r>
                  <w:r>
                    <w:rPr>
                      <w:sz w:val="21"/>
                    </w:rPr>
                    <w:t>EasyStack</w:t>
                  </w:r>
                  <w:r>
                    <w:rPr>
                      <w:sz w:val="21"/>
                    </w:rPr>
                    <w:t>等虚拟化应用的备份，支持单机和集群部署环境。以上虚拟化应用均支持以虚拟机、资源池和整个集群为单位进行备份保护，无需在虚拟机内部安装任何代理软件；</w:t>
                  </w:r>
                  <w:r>
                    <w:rPr>
                      <w:sz w:val="21"/>
                    </w:rPr>
                    <w:t xml:space="preserve"> </w:t>
                  </w:r>
                </w:p>
                <w:p>
                  <w:pPr>
                    <w:pStyle w:val="null3"/>
                    <w:jc w:val="both"/>
                  </w:pPr>
                  <w:r>
                    <w:rPr>
                      <w:sz w:val="21"/>
                    </w:rPr>
                    <w:t>▲</w:t>
                  </w:r>
                  <w:r>
                    <w:rPr>
                      <w:sz w:val="21"/>
                    </w:rPr>
                    <w:t>2</w:t>
                  </w:r>
                  <w:r>
                    <w:rPr>
                      <w:sz w:val="21"/>
                    </w:rPr>
                    <w:t>、</w:t>
                  </w:r>
                  <w:r>
                    <w:rPr>
                      <w:sz w:val="21"/>
                    </w:rPr>
                    <w:t xml:space="preserve">VMware </w:t>
                  </w:r>
                  <w:r>
                    <w:rPr>
                      <w:sz w:val="21"/>
                    </w:rPr>
                    <w:t>虚拟机备份支持备份进度条查看，可查看备份进度百分比与备份速度；【投标时提供产品功能截图加盖投标人公章，在相应指标作出标记并注明针对的参数（例如用红色方框标记）。未做标记出现漏评风险由投标人承担，评标委员会可视为不满足。】</w:t>
                  </w:r>
                </w:p>
                <w:p>
                  <w:pPr>
                    <w:pStyle w:val="null3"/>
                    <w:jc w:val="both"/>
                  </w:pPr>
                  <w:r>
                    <w:rPr>
                      <w:sz w:val="21"/>
                    </w:rPr>
                    <w:t>3</w:t>
                  </w:r>
                  <w:r>
                    <w:rPr>
                      <w:sz w:val="21"/>
                    </w:rPr>
                    <w:t>、支持虚拟机并发备份和恢复功能，支持在</w:t>
                  </w:r>
                  <w:r>
                    <w:rPr>
                      <w:sz w:val="21"/>
                    </w:rPr>
                    <w:t>WEB</w:t>
                  </w:r>
                  <w:r>
                    <w:rPr>
                      <w:sz w:val="21"/>
                    </w:rPr>
                    <w:t>页面中设置单个备份和恢复任务中的虚拟机并发备份和恢复数量，可大幅提高备份恢复效率；</w:t>
                  </w:r>
                </w:p>
                <w:p>
                  <w:pPr>
                    <w:pStyle w:val="null3"/>
                    <w:jc w:val="both"/>
                  </w:pPr>
                  <w:r>
                    <w:rPr>
                      <w:sz w:val="21"/>
                    </w:rPr>
                    <w:t>支持将</w:t>
                  </w:r>
                  <w:r>
                    <w:rPr>
                      <w:sz w:val="21"/>
                    </w:rPr>
                    <w:t xml:space="preserve"> VMware </w:t>
                  </w:r>
                  <w:r>
                    <w:rPr>
                      <w:sz w:val="21"/>
                    </w:rPr>
                    <w:t>虚拟机无代理备份和异构恢复能力，支持</w:t>
                  </w:r>
                  <w:r>
                    <w:rPr>
                      <w:sz w:val="21"/>
                    </w:rPr>
                    <w:t xml:space="preserve">VMware </w:t>
                  </w:r>
                  <w:r>
                    <w:rPr>
                      <w:sz w:val="21"/>
                    </w:rPr>
                    <w:t>虚拟机恢复到</w:t>
                  </w:r>
                  <w:r>
                    <w:rPr>
                      <w:sz w:val="21"/>
                    </w:rPr>
                    <w:t xml:space="preserve"> FusionCompute</w:t>
                  </w:r>
                  <w:r>
                    <w:rPr>
                      <w:sz w:val="21"/>
                    </w:rPr>
                    <w:t>、</w:t>
                  </w:r>
                  <w:r>
                    <w:rPr>
                      <w:sz w:val="21"/>
                    </w:rPr>
                    <w:t xml:space="preserve">H3C CAS </w:t>
                  </w:r>
                  <w:r>
                    <w:rPr>
                      <w:sz w:val="21"/>
                    </w:rPr>
                    <w:t>平台以及华为公有云等。</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6</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海量小文件备份功能</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小文件聚合功能，将同目录层下一定数量的小文件进行元数据及对应数据的聚合，通过该功能可将小文件转化为相对较大的文件进行备份，增大写入存储的单个数据块的大小，从而大幅提高备份速度。【投标时提供产品功能截图加盖投标人公章，在相应指标作出标记并注明针对的参数（例如用红色方框标记）。未做标记出现漏评风险由投标人承担，评标委员会可视为不满足。】</w:t>
                  </w:r>
                </w:p>
                <w:p>
                  <w:pPr>
                    <w:pStyle w:val="null3"/>
                    <w:jc w:val="both"/>
                  </w:pPr>
                  <w:r>
                    <w:rPr>
                      <w:sz w:val="21"/>
                    </w:rPr>
                    <w:t>▲</w:t>
                  </w:r>
                  <w:r>
                    <w:rPr>
                      <w:sz w:val="21"/>
                    </w:rPr>
                    <w:t>2</w:t>
                  </w:r>
                  <w:r>
                    <w:rPr>
                      <w:sz w:val="21"/>
                    </w:rPr>
                    <w:t>、支持以图形界面灵活定义文件聚合后最大值和被聚合文件最大值参数，实现同目录下符合被聚合条件的若干文件会聚合成为一个不超过聚合后文件大小最大值的相对较大的文件然后写入备份存储中，以大幅提高备份性能。【投标时提供产品功能截图加盖投标人公章，在相应指标作出标记并注明针对的参数（例如用红色方框标记）。未做标记出现漏评风险由投标人承担，评标委员会可视为不满足。】</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7</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重复数据删除功能</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基于源端的可变长度切片的重复数据删除技术，多个备份任务可以共享同一个重复数据删除指纹池，也可以根据数据的不同单独设置专属指纹池，最大限度地提升重复数据删除效率，减轻带宽压力，降低传输数据量和备份数据存储成本。</w:t>
                  </w:r>
                </w:p>
                <w:p>
                  <w:pPr>
                    <w:pStyle w:val="null3"/>
                    <w:jc w:val="both"/>
                  </w:pPr>
                  <w:r>
                    <w:rPr>
                      <w:sz w:val="21"/>
                    </w:rPr>
                    <w:t>▲</w:t>
                  </w:r>
                  <w:r>
                    <w:rPr>
                      <w:sz w:val="21"/>
                    </w:rPr>
                    <w:t>2</w:t>
                  </w:r>
                  <w:r>
                    <w:rPr>
                      <w:sz w:val="21"/>
                    </w:rPr>
                    <w:t>、支持并行重复数据删除，通过在多个不同的节点上构建指纹池，并将指纹并行分布于多个节点，有效解决单点性能和存储空间压力问题。【投标时提供产品功能截图加盖投标人公章，在相应指标作出标记并注明针对的参数（例如用红色方框标记）。未做标记出现漏评风险由投标人承担，评标委员会可视为不满足。】</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8</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永久增量功能</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永久增量备份技术，初次备份对数据进行完全备份，之后只对新增加或改动过的数据做增量备份。每个增量备份的数据副本将自动合成为完全副本，能够大幅度减少备份时间，节省备份数据所需的存储空间，且提升了恢复效率。</w:t>
                  </w:r>
                </w:p>
                <w:p>
                  <w:pPr>
                    <w:pStyle w:val="null3"/>
                    <w:jc w:val="both"/>
                  </w:pPr>
                  <w:r>
                    <w:rPr>
                      <w:sz w:val="21"/>
                    </w:rPr>
                    <w:t>2</w:t>
                  </w:r>
                  <w:r>
                    <w:rPr>
                      <w:sz w:val="21"/>
                    </w:rPr>
                    <w:t>、支持永久增量与重复数据删除同时开启，进一步提高备份空间利用率。【投标时提供产品功能截图加盖投标人公章，在相应指标作出标记并注明针对的参数（例如用红色方框标记）。未做标记出现漏评风险由投标人承担，评标委员会可视为不满足。】</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9</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远程复制功能</w:t>
                  </w:r>
                </w:p>
                <w:p>
                  <w:pPr>
                    <w:pStyle w:val="null3"/>
                    <w:jc w:val="both"/>
                  </w:pP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、支持将本地备份数据基于任务级分级远程复制到异地的功能，支持按照备份作业任务的粒度分配灾备传输，容灾备份选择更灵活精准。</w:t>
                  </w:r>
                </w:p>
                <w:p>
                  <w:pPr>
                    <w:pStyle w:val="null3"/>
                    <w:jc w:val="both"/>
                  </w:pPr>
                  <w:r>
                    <w:rPr>
                      <w:sz w:val="21"/>
                    </w:rPr>
                    <w:t>2</w:t>
                  </w:r>
                  <w:r>
                    <w:rPr>
                      <w:sz w:val="21"/>
                    </w:rPr>
                    <w:t>、支持设置数据复制窗口，在非数据复制窗口期自动关断网络，让复制设备之间网络物理隔离，从而避免非数据复制时间段，备份一体机服务对外暴露而产生的安全风险。【投标时提供产品功能截图加盖投标人公章，在相应指标作出标记并注明针对的参数（例如用红色方框标记）。未做标记出现漏评风险由投标人承担，评标委员会可视为不满足。】</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10</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安全管控能力</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、系统支持密钥加密和密钥更新，避免密钥外泄引起数据泄露，提高系统和数据安全性。</w:t>
                  </w:r>
                </w:p>
                <w:p>
                  <w:pPr>
                    <w:pStyle w:val="null3"/>
                    <w:jc w:val="both"/>
                  </w:pPr>
                  <w:r>
                    <w:rPr>
                      <w:sz w:val="21"/>
                    </w:rPr>
                    <w:t>2</w:t>
                  </w:r>
                  <w:r>
                    <w:rPr>
                      <w:sz w:val="21"/>
                    </w:rPr>
                    <w:t>、数据传输支持</w:t>
                  </w:r>
                  <w:r>
                    <w:rPr>
                      <w:sz w:val="21"/>
                    </w:rPr>
                    <w:t xml:space="preserve">Open-SSL </w:t>
                  </w:r>
                  <w:r>
                    <w:rPr>
                      <w:sz w:val="21"/>
                    </w:rPr>
                    <w:t>的</w:t>
                  </w:r>
                  <w:r>
                    <w:rPr>
                      <w:sz w:val="21"/>
                    </w:rPr>
                    <w:t xml:space="preserve">TLS </w:t>
                  </w:r>
                  <w:r>
                    <w:rPr>
                      <w:sz w:val="21"/>
                    </w:rPr>
                    <w:t>双向认证和加密，认证证书不低于</w:t>
                  </w:r>
                  <w:r>
                    <w:rPr>
                      <w:sz w:val="21"/>
                    </w:rPr>
                    <w:t>3072</w:t>
                  </w:r>
                  <w:r>
                    <w:rPr>
                      <w:sz w:val="21"/>
                    </w:rPr>
                    <w:t>位。（提供该功能操作界面截图并加盖投标人公章</w:t>
                  </w:r>
                  <w:r>
                    <w:rPr>
                      <w:sz w:val="21"/>
                    </w:rPr>
                    <w:t>)</w:t>
                  </w:r>
                </w:p>
                <w:p>
                  <w:pPr>
                    <w:pStyle w:val="null3"/>
                    <w:jc w:val="both"/>
                  </w:pPr>
                  <w:r>
                    <w:rPr>
                      <w:sz w:val="21"/>
                    </w:rPr>
                    <w:t>3</w:t>
                  </w:r>
                  <w:r>
                    <w:rPr>
                      <w:sz w:val="21"/>
                    </w:rPr>
                    <w:t>、支持对备份数据进行加密传输和存储，支持</w:t>
                  </w:r>
                  <w:r>
                    <w:rPr>
                      <w:sz w:val="21"/>
                    </w:rPr>
                    <w:t>AES256</w:t>
                  </w:r>
                  <w:r>
                    <w:rPr>
                      <w:sz w:val="21"/>
                    </w:rPr>
                    <w:t>和</w:t>
                  </w:r>
                  <w:r>
                    <w:rPr>
                      <w:sz w:val="21"/>
                    </w:rPr>
                    <w:t>SM4</w:t>
                  </w:r>
                  <w:r>
                    <w:rPr>
                      <w:sz w:val="21"/>
                    </w:rPr>
                    <w:t>两种加密算法，提升传输过程以及存储的安全性。</w:t>
                  </w:r>
                </w:p>
                <w:p>
                  <w:pPr>
                    <w:pStyle w:val="null3"/>
                    <w:jc w:val="both"/>
                  </w:pPr>
                  <w:r>
                    <w:rPr>
                      <w:sz w:val="21"/>
                    </w:rPr>
                    <w:t>▲</w:t>
                  </w:r>
                  <w:r>
                    <w:rPr>
                      <w:sz w:val="21"/>
                    </w:rPr>
                    <w:t>4</w:t>
                  </w:r>
                  <w:r>
                    <w:rPr>
                      <w:sz w:val="21"/>
                    </w:rPr>
                    <w:t>、支持重要配置变更和任务执行时的二次确认功能。在执行备份或者恢复时，最后步骤输入指定信息进行确认，避免失误；在执行本地和异地同步时输入指定信息进行确认；异地数据恢复时可以设置输入指定信息进行确认；执行任务删除时输入信息确认；数据清理信息确认；执行负载均衡操作时确认；删除在域管理中已建立</w:t>
                  </w:r>
                  <w:r>
                    <w:rPr>
                      <w:sz w:val="21"/>
                    </w:rPr>
                    <w:t>的域时确认；用户密码重置时确认；删除虚拟客户端时确认，指定信息包括验证码或确认信息。【投标时提供产品功能截图加盖投标人公章，在相应指标作出标记并注明针对的参数（例如用红色方框标记）。未做标记出现漏评风险由投标人承担，评标委员会可视为不满足。】</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11</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CDP</w:t>
                  </w:r>
                  <w:r>
                    <w:rPr>
                      <w:sz w:val="21"/>
                    </w:rPr>
                    <w:t>实时复制和容灾</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、支持对</w:t>
                  </w:r>
                  <w:r>
                    <w:rPr>
                      <w:sz w:val="21"/>
                    </w:rPr>
                    <w:t>Windows</w:t>
                  </w:r>
                  <w:r>
                    <w:rPr>
                      <w:sz w:val="21"/>
                    </w:rPr>
                    <w:t>和</w:t>
                  </w:r>
                  <w:r>
                    <w:rPr>
                      <w:sz w:val="21"/>
                    </w:rPr>
                    <w:t>Linux</w:t>
                  </w:r>
                  <w:r>
                    <w:rPr>
                      <w:sz w:val="21"/>
                    </w:rPr>
                    <w:t>服务器的整机（所有磁盘分区，包括操作系统分区）和数据卷进行卷级别的实时复制功能；</w:t>
                  </w:r>
                </w:p>
                <w:p>
                  <w:pPr>
                    <w:pStyle w:val="null3"/>
                    <w:jc w:val="both"/>
                  </w:pPr>
                  <w:r>
                    <w:rPr>
                      <w:sz w:val="21"/>
                    </w:rPr>
                    <w:t>2</w:t>
                  </w:r>
                  <w:r>
                    <w:rPr>
                      <w:sz w:val="21"/>
                    </w:rPr>
                    <w:t>、支持实时同步数据变化，也可以按照自定义的频率间隔复制数据变化以降低对生产系统的影响。</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12</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勒索病毒防护</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w:t>
                  </w:r>
                  <w:r>
                    <w:rPr>
                      <w:sz w:val="21"/>
                    </w:rPr>
                    <w:t>1</w:t>
                  </w:r>
                  <w:r>
                    <w:rPr>
                      <w:sz w:val="21"/>
                    </w:rPr>
                    <w:t>、需确保存储的备份数据安全性，提供勒索免疫功能：无需安装第三方安全防护产品，即可阻止非备份系统进程对备份数据的访问，系统的</w:t>
                  </w:r>
                  <w:r>
                    <w:rPr>
                      <w:sz w:val="21"/>
                    </w:rPr>
                    <w:t>root</w:t>
                  </w:r>
                  <w:r>
                    <w:rPr>
                      <w:sz w:val="21"/>
                    </w:rPr>
                    <w:t>用户及备份管理员不可以绕开内置的访问进程验证，达到勒索病毒防范的效果，具体备份数据防篡改能力包括</w:t>
                  </w:r>
                  <w:r>
                    <w:rPr>
                      <w:sz w:val="21"/>
                    </w:rPr>
                    <w:t xml:space="preserve">: </w:t>
                  </w:r>
                  <w:r>
                    <w:rPr>
                      <w:sz w:val="21"/>
                    </w:rPr>
                    <w:t>操作系统</w:t>
                  </w:r>
                  <w:r>
                    <w:rPr>
                      <w:sz w:val="21"/>
                    </w:rPr>
                    <w:t>root</w:t>
                  </w:r>
                  <w:r>
                    <w:rPr>
                      <w:sz w:val="21"/>
                    </w:rPr>
                    <w:t>用户无法删除、加密受保护的数据；操作系统</w:t>
                  </w:r>
                  <w:r>
                    <w:rPr>
                      <w:sz w:val="21"/>
                    </w:rPr>
                    <w:t>root</w:t>
                  </w:r>
                  <w:r>
                    <w:rPr>
                      <w:sz w:val="21"/>
                    </w:rPr>
                    <w:t>用户无法删除</w:t>
                  </w:r>
                  <w:r>
                    <w:rPr>
                      <w:sz w:val="21"/>
                    </w:rPr>
                    <w:t>raid</w:t>
                  </w:r>
                  <w:r>
                    <w:rPr>
                      <w:sz w:val="21"/>
                    </w:rPr>
                    <w:t>配置或者格式化磁盘。【投标时提供产品功能截图加盖投标人公章，在相应指标作出标记并注明针对的参数（例如用红色方框标记）。未做标记出现漏评风险由投标人承担，评标委员会可视为不满足。】</w:t>
                  </w:r>
                </w:p>
                <w:p>
                  <w:pPr>
                    <w:pStyle w:val="null3"/>
                    <w:jc w:val="both"/>
                  </w:pPr>
                  <w:r>
                    <w:rPr>
                      <w:sz w:val="21"/>
                    </w:rPr>
                    <w:t>2</w:t>
                  </w:r>
                  <w:r>
                    <w:rPr>
                      <w:sz w:val="21"/>
                    </w:rPr>
                    <w:t>、支持强制数据保留功能，可根据不同的业务性质在备份系统中设置不同的保留周期。在保留周期未截止之前，任何用户（包括</w:t>
                  </w:r>
                  <w:r>
                    <w:rPr>
                      <w:sz w:val="21"/>
                    </w:rPr>
                    <w:t>root</w:t>
                  </w:r>
                  <w:r>
                    <w:rPr>
                      <w:sz w:val="21"/>
                    </w:rPr>
                    <w:t>和备份管理员）均不能销毁备份数据，确保备份数据安全性。【投标时提供产品功能截图加盖投标人公章，在相应指标作出标记并注明针对的参数（例如用红色方框标记）。未做标记出现漏评风险由投标人承担，评标委员会可视为不满足。】）</w:t>
                  </w:r>
                </w:p>
              </w:tc>
            </w:tr>
            <w:tr>
              <w:tc>
                <w:tcPr>
                  <w:tcW w:type="dxa" w:w="452"/>
                  <w:tcBorders>
                    <w:top w:val="none" w:color="000000" w:sz="4"/>
                    <w:left w:val="single" w:color="000000" w:sz="4"/>
                    <w:bottom w:val="single" w:color="000000" w:sz="4"/>
                    <w:right w:val="single" w:color="000000" w:sz="4"/>
                  </w:tcBorders>
                  <w:tcMar>
                    <w:top w:type="dxa" w:w="45"/>
                    <w:left w:type="dxa" w:w="105"/>
                    <w:bottom w:type="dxa" w:w="45"/>
                    <w:right w:type="dxa" w:w="105"/>
                  </w:tcMar>
                </w:tcPr>
                <w:p>
                  <w:pPr>
                    <w:pStyle w:val="null3"/>
                    <w:jc w:val="both"/>
                  </w:pPr>
                  <w:r>
                    <w:rPr>
                      <w:sz w:val="21"/>
                    </w:rPr>
                    <w:t>13</w:t>
                  </w:r>
                </w:p>
              </w:tc>
              <w:tc>
                <w:tcPr>
                  <w:tcW w:type="dxa" w:w="565"/>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自动化灾难演练</w:t>
                  </w:r>
                </w:p>
              </w:tc>
              <w:tc>
                <w:tcPr>
                  <w:tcW w:type="dxa" w:w="4580"/>
                  <w:tcBorders>
                    <w:top w:val="none" w:color="000000" w:sz="4"/>
                    <w:left w:val="none" w:color="000000" w:sz="4"/>
                    <w:bottom w:val="single" w:color="000000" w:sz="4"/>
                    <w:right w:val="single" w:color="000000" w:sz="4"/>
                  </w:tcBorders>
                  <w:tcMar>
                    <w:top w:type="dxa" w:w="45"/>
                    <w:left w:type="dxa" w:w="105"/>
                    <w:bottom w:type="dxa" w:w="45"/>
                    <w:right w:type="dxa" w:w="105"/>
                  </w:tcMar>
                </w:tcPr>
                <w:p>
                  <w:pPr>
                    <w:pStyle w:val="null3"/>
                    <w:jc w:val="both"/>
                  </w:pPr>
                  <w:r>
                    <w:rPr>
                      <w:sz w:val="21"/>
                    </w:rPr>
                    <w:t>1</w:t>
                  </w:r>
                  <w:r>
                    <w:rPr>
                      <w:sz w:val="21"/>
                    </w:rPr>
                    <w:t>、支持自动化灾备恢复编排及演练功能，满足恢复资源统一管理、恢复策略管理、恢复流程编排、灾难恢复及演练管理、灾难恢复报告等需求，可轻松实现自动化的灾难恢复及演练，验证应用系统的可用性并通过灾难恢复报告进行呈现。</w:t>
                  </w:r>
                </w:p>
                <w:p>
                  <w:pPr>
                    <w:pStyle w:val="null3"/>
                    <w:jc w:val="both"/>
                  </w:pPr>
                  <w:r>
                    <w:rPr>
                      <w:sz w:val="21"/>
                    </w:rPr>
                    <w:t>▲</w:t>
                  </w:r>
                  <w:r>
                    <w:rPr>
                      <w:sz w:val="21"/>
                    </w:rPr>
                    <w:t>2</w:t>
                  </w:r>
                  <w:r>
                    <w:rPr>
                      <w:sz w:val="21"/>
                    </w:rPr>
                    <w:t>、支持以画布及拖拉组件形式，实现恢复工作流的创建，提供工作流工作模版，包括单个应用、多应用串行、多应用并行等恢复形式，可灵活自定义配置工作流中的策略、资源、应用、验证和清理节点等。【投标时提供产品功能截图加盖投标人公章，在相应指标作出标记并注明针对的参数（例如用红色方框标记）。未做标记出现漏评风险由投标人承担，评标委员会可视为不满足。】</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广东省海洋发展规划研究中心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采购机构代理服务收费标准：http://gpcgd.gd.gov.cn/ywdt/tzgg/content/post_3049076.html</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主持人开启远程解密起30分钟内完成；说明：具体情况根据开标时现场代理机构人员设置为准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无</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海洋发展规划研究中心备份一体机与GPU服务器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采购包1（广东省海洋发展规划研究中心备份一体机与GPU服务器采购项目）：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 供应商所投产品属于“环境标志产品政府采购品目清单”范围的，提供国家确定的认证机构出具的、处于有效期之内的环境标志产品认证证书，环境标志产品核实价给予C2的价格扣除。 评审价＝核实价－环境标志产品核实价×C2 （C2的取值为1 %）； 2）供应商所投产品属于“节能产品政府采购品目清单”优先采购范围（即非标注星号的产品） 的，提供国家确定的认证机构出具的、处于有效期之内的节能标志产品认证证书，节能产品核实价给予C3的价格扣除。 评审价＝核实价－节能产品核实价×C3（C3的取值为1%）；上述节能产品包括节水产品。</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采购包1（广东省海洋发展规划研究中心备份一体机与GPU服务器采购项目）：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供具有良好的商业信誉和健全的财务会计制度：（提供以下2种证明材料之一：①2023年度经会计师事务所审计的财务状况报告；②同时提供a.基本开户行出具的资信证明，b.《基本存款账号信息》或《开户许可证》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采购包1（广东省海洋发展规划研究中心备份一体机与GPU服务器采购项目）：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投标（报价）总金额是固定价且是唯一的，未超过本项目采购预算，各分项报价是固定且唯一的，且未超过其对应的分项预算。</w:t>
            </w:r>
          </w:p>
        </w:tc>
        <w:tc>
          <w:tcPr>
            <w:tcW w:type="dxa" w:w="4238"/>
          </w:tcPr>
          <w:p>
            <w:pPr>
              <w:pStyle w:val="null3"/>
            </w:pPr>
            <w:r>
              <w:rPr/>
              <w:t>投标（报价）总金额是固定价且是唯一的，未超过本项目采购预算，各分项报价是固定且唯一的，且未超过其对应的分项预算。</w:t>
            </w:r>
          </w:p>
        </w:tc>
      </w:tr>
      <w:tr>
        <w:tc>
          <w:tcPr>
            <w:tcW w:type="dxa" w:w="890"/>
          </w:tcPr>
          <w:p>
            <w:pPr>
              <w:pStyle w:val="null3"/>
            </w:pPr>
            <w:r>
              <w:rPr/>
              <w:t>2</w:t>
            </w:r>
          </w:p>
        </w:tc>
        <w:tc>
          <w:tcPr>
            <w:tcW w:type="dxa" w:w="3178"/>
          </w:tcPr>
          <w:p>
            <w:pPr>
              <w:pStyle w:val="null3"/>
            </w:pPr>
            <w:r>
              <w:rPr/>
              <w:t>对标的没有报价漏项。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4</w:t>
            </w:r>
          </w:p>
        </w:tc>
        <w:tc>
          <w:tcPr>
            <w:tcW w:type="dxa" w:w="3178"/>
          </w:tcPr>
          <w:p>
            <w:pPr>
              <w:pStyle w:val="null3"/>
            </w:pPr>
            <w:r>
              <w:rPr/>
              <w:t>提交投标函。投标文件完整，投标内容基本完整，无重大错漏，并按要求签署、盖章。</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7</w:t>
            </w:r>
          </w:p>
        </w:tc>
        <w:tc>
          <w:tcPr>
            <w:tcW w:type="dxa" w:w="3178"/>
          </w:tcPr>
          <w:p>
            <w:pPr>
              <w:pStyle w:val="null3"/>
            </w:pPr>
            <w:r>
              <w:rPr/>
              <w:t>投标有效期为投标截止日起至少90天。</w:t>
            </w:r>
          </w:p>
        </w:tc>
        <w:tc>
          <w:tcPr>
            <w:tcW w:type="dxa" w:w="4238"/>
          </w:tcPr>
          <w:p>
            <w:pPr>
              <w:pStyle w:val="null3"/>
            </w:pPr>
            <w:r>
              <w:rPr/>
              <w:t>投标有效期为投标截止日起至少90天。</w:t>
            </w:r>
          </w:p>
        </w:tc>
      </w:tr>
      <w:tr>
        <w:tc>
          <w:tcPr>
            <w:tcW w:type="dxa" w:w="890"/>
          </w:tcPr>
          <w:p>
            <w:pPr>
              <w:pStyle w:val="null3"/>
            </w:pPr>
            <w:r>
              <w:rPr/>
              <w:t>8</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11</w:t>
            </w:r>
          </w:p>
        </w:tc>
        <w:tc>
          <w:tcPr>
            <w:tcW w:type="dxa" w:w="317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12</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采购包1(广东省海洋发展规划研究中心备份一体机与GPU服务器采购项目):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重要技术参数（▲参数）响应程度 (30.0分)</w:t>
            </w:r>
          </w:p>
        </w:tc>
        <w:tc>
          <w:tcPr>
            <w:tcW w:type="dxa" w:w="5076"/>
          </w:tcPr>
          <w:p>
            <w:pPr>
              <w:pStyle w:val="null3"/>
              <w:jc w:val="left"/>
            </w:pPr>
            <w:r>
              <w:rPr/>
              <w:t>▲为重要评分参数，总共8项，需按照技术参数要求，提供相应证明材料，每满足一项得3.75分，总分30分。 注 ：如用户需求中有明确要求提供的证明资料，则以用户需求中要求的为准，无提供或未按要求提供证明材料的不得分；如用户需求中无明确证明材料的，以投标人投标文件中的《技术参数响应表》中的投标人填写的“是否偏离”为准，未填写或未响应的视为负偏离。</w:t>
            </w:r>
          </w:p>
        </w:tc>
      </w:tr>
      <w:tr>
        <w:tc>
          <w:tcPr>
            <w:tcW w:type="dxa" w:w="922"/>
            <w:gridSpan w:val="2"/>
            <w:vMerge/>
          </w:tcPr>
          <w:p/>
        </w:tc>
        <w:tc>
          <w:tcPr>
            <w:tcW w:type="dxa" w:w="2307"/>
          </w:tcPr>
          <w:p>
            <w:pPr>
              <w:pStyle w:val="null3"/>
              <w:jc w:val="left"/>
            </w:pPr>
            <w:r>
              <w:rPr/>
              <w:t>一般技术参数（非★非▲参数）响应程度 (5.0分)</w:t>
            </w:r>
          </w:p>
        </w:tc>
        <w:tc>
          <w:tcPr>
            <w:tcW w:type="dxa" w:w="5076"/>
          </w:tcPr>
          <w:p>
            <w:pPr>
              <w:pStyle w:val="null3"/>
              <w:jc w:val="left"/>
            </w:pPr>
            <w:r>
              <w:rPr/>
              <w:t>备份一体机非▲非★条款（详见备份一体机技术参数要求，共20项），每满足一项得0.25分，总分5分。。 如用户需求中有明确要求提供的证明资料，则以用户需求中要求的为准，无提供或未按要求提供证明材料的不得分；如用户需求中无明确证明材料的，以投标人投标文件中的《技术参数响应表》中的投标人填写的“是否偏离”为准，未填写或未响应的视为负偏离。</w:t>
            </w:r>
          </w:p>
        </w:tc>
      </w:tr>
      <w:tr>
        <w:tc>
          <w:tcPr>
            <w:tcW w:type="dxa" w:w="922"/>
            <w:gridSpan w:val="2"/>
            <w:vMerge/>
          </w:tcPr>
          <w:p/>
        </w:tc>
        <w:tc>
          <w:tcPr>
            <w:tcW w:type="dxa" w:w="2307"/>
          </w:tcPr>
          <w:p>
            <w:pPr>
              <w:pStyle w:val="null3"/>
              <w:jc w:val="left"/>
            </w:pPr>
            <w:r>
              <w:rPr/>
              <w:t>产品技术服务实施方案 (6.0分)</w:t>
            </w:r>
            <w:r>
              <w:rPr/>
              <w:t>，（等次分值选择：</w:t>
            </w:r>
            <w:r>
              <w:rPr/>
              <w:t>0.0;</w:t>
            </w:r>
            <w:r>
              <w:rPr/>
              <w:t>1.0;</w:t>
            </w:r>
            <w:r>
              <w:rPr/>
              <w:t>4.0;</w:t>
            </w:r>
            <w:r>
              <w:rPr/>
              <w:t>6.0;</w:t>
            </w:r>
            <w:r>
              <w:rPr/>
              <w:t>）</w:t>
            </w:r>
          </w:p>
        </w:tc>
        <w:tc>
          <w:tcPr>
            <w:tcW w:type="dxa" w:w="5076"/>
          </w:tcPr>
          <w:p>
            <w:pPr>
              <w:pStyle w:val="null3"/>
              <w:jc w:val="left"/>
            </w:pPr>
            <w:r>
              <w:rPr/>
              <w:t>根据用户需求书“6.技术服务要求”相关要求，对投标人提供的方案进行评价： （1）方案完全满足且优于项目要求的，得6分； （2）方案完全满足项目要求的，得4分； （3）方案不完全满足项目要求的，得1分； （4）未提供或其他不得分。</w:t>
            </w:r>
          </w:p>
        </w:tc>
      </w:tr>
      <w:tr>
        <w:tc>
          <w:tcPr>
            <w:tcW w:type="dxa" w:w="922"/>
            <w:gridSpan w:val="2"/>
            <w:vMerge/>
          </w:tcPr>
          <w:p/>
        </w:tc>
        <w:tc>
          <w:tcPr>
            <w:tcW w:type="dxa" w:w="2307"/>
          </w:tcPr>
          <w:p>
            <w:pPr>
              <w:pStyle w:val="null3"/>
              <w:jc w:val="left"/>
            </w:pPr>
            <w:r>
              <w:rPr/>
              <w:t>安装、调试及培训方案 (4.0分)</w:t>
            </w:r>
            <w:r>
              <w:rPr/>
              <w:t>，（等次分值选择：</w:t>
            </w:r>
            <w:r>
              <w:rPr/>
              <w:t>0.0;</w:t>
            </w:r>
            <w:r>
              <w:rPr/>
              <w:t>1.0;</w:t>
            </w:r>
            <w:r>
              <w:rPr/>
              <w:t>2.0;</w:t>
            </w:r>
            <w:r>
              <w:rPr/>
              <w:t>4.0;</w:t>
            </w:r>
            <w:r>
              <w:rPr/>
              <w:t>）</w:t>
            </w:r>
          </w:p>
        </w:tc>
        <w:tc>
          <w:tcPr>
            <w:tcW w:type="dxa" w:w="5076"/>
          </w:tcPr>
          <w:p>
            <w:pPr>
              <w:pStyle w:val="null3"/>
              <w:jc w:val="left"/>
            </w:pPr>
            <w:r>
              <w:rPr/>
              <w:t>根据用户需求书“7.设备安装、调试及培训要求”相关要求，对投标人提供的方案进行评价： （1）方案完全满足且优于项目要求的，得4分； （2）方案完全满足项目要求的，得2分； （3）方案不完全满足项目要求的，得1分； （4）未提供或其他不得分。</w:t>
            </w:r>
          </w:p>
        </w:tc>
      </w:tr>
      <w:tr>
        <w:tc>
          <w:tcPr>
            <w:tcW w:type="dxa" w:w="922"/>
            <w:gridSpan w:val="2"/>
            <w:vMerge/>
          </w:tcPr>
          <w:p/>
        </w:tc>
        <w:tc>
          <w:tcPr>
            <w:tcW w:type="dxa" w:w="2307"/>
          </w:tcPr>
          <w:p>
            <w:pPr>
              <w:pStyle w:val="null3"/>
              <w:jc w:val="left"/>
            </w:pPr>
            <w:r>
              <w:rPr/>
              <w:t>产品保障方案及措施 (5.0分)</w:t>
            </w:r>
            <w:r>
              <w:rPr/>
              <w:t>，（等次分值选择：</w:t>
            </w:r>
            <w:r>
              <w:rPr/>
              <w:t>0.0;</w:t>
            </w:r>
            <w:r>
              <w:rPr/>
              <w:t>1.0;</w:t>
            </w:r>
            <w:r>
              <w:rPr/>
              <w:t>3.0;</w:t>
            </w:r>
            <w:r>
              <w:rPr/>
              <w:t>5.0;</w:t>
            </w:r>
            <w:r>
              <w:rPr/>
              <w:t>）</w:t>
            </w:r>
          </w:p>
        </w:tc>
        <w:tc>
          <w:tcPr>
            <w:tcW w:type="dxa" w:w="5076"/>
          </w:tcPr>
          <w:p>
            <w:pPr>
              <w:pStyle w:val="null3"/>
              <w:jc w:val="left"/>
            </w:pPr>
            <w:r>
              <w:rPr/>
              <w:t>根据用户需求书“ 质量保障服务”相关要求，对投标人提供的方案进行评价： （1）方案完全满足且优于项目要求的，得5分； （2）方案完全满足项目要求的，得3分； （3）方案不完全满足项目要求的，得1分；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服务响应人员资质1 (6.0分)</w:t>
            </w:r>
          </w:p>
        </w:tc>
        <w:tc>
          <w:tcPr>
            <w:tcW w:type="dxa" w:w="5076"/>
          </w:tcPr>
          <w:p>
            <w:pPr>
              <w:pStyle w:val="null3"/>
              <w:jc w:val="left"/>
            </w:pPr>
            <w:r>
              <w:rPr/>
              <w:t>1.项目经理（1人）： （1）具有系统集成项目管理工程师或信息系统项目管理师证书，得2分。提供证书复印件。 （2）具备计算机或信息技术类相关专业全日制本科以上学历，得2分。提供证书复印件。供应商如提供国（境）外学位证书的，须同时提供中文翻译及教育部留学服务中心出具的“国外学历学位认证书”，否则不得分 （3）具备五年或以上信息化项目工作经验得2分。提供工作履历表并加盖投标人公章。 注：另须提供投标人自2024年1月份以来为其缴纳的任意1个月社保的证明材料复印件。否则不得分。</w:t>
            </w:r>
          </w:p>
        </w:tc>
      </w:tr>
      <w:tr>
        <w:tc>
          <w:tcPr>
            <w:tcW w:type="dxa" w:w="922"/>
            <w:gridSpan w:val="2"/>
            <w:vMerge/>
          </w:tcPr>
          <w:p/>
        </w:tc>
        <w:tc>
          <w:tcPr>
            <w:tcW w:type="dxa" w:w="2307"/>
          </w:tcPr>
          <w:p>
            <w:pPr>
              <w:pStyle w:val="null3"/>
              <w:jc w:val="left"/>
            </w:pPr>
            <w:r>
              <w:rPr/>
              <w:t>服务响应人员资质2 (6.0分)</w:t>
            </w:r>
          </w:p>
        </w:tc>
        <w:tc>
          <w:tcPr>
            <w:tcW w:type="dxa" w:w="5076"/>
          </w:tcPr>
          <w:p>
            <w:pPr>
              <w:pStyle w:val="null3"/>
              <w:jc w:val="left"/>
            </w:pPr>
            <w:r>
              <w:rPr/>
              <w:t>2.技术服务工程师： （1）具有主流备份设备厂商技术认证（包括华为、H3C、鼎甲、爱数），得2分。 提供证书复印件。 （2）具有OCP或OCM（OCM证书需含oracle和mysql）数据库认证，得2分。提供证书复印件。 （3）具有信息安全工程师（计算机技术与软件专业技术资格）、注册信息安全专业人员（CISP）（信息安全测评中心颁发）、信息安全保障人员认证CISAW (中国网络安全审查技术与认证中心颁发)，符合上述任一资质得2分。提供证书复印件。 注：同一人具备多份认证证书的，只计取一次分值。上述人员除提供相关证书复印件，另需提供投标人自2024年1月份以来为其缴纳的任意1个月社保的证明材料复印件。</w:t>
            </w:r>
          </w:p>
        </w:tc>
      </w:tr>
      <w:tr>
        <w:tc>
          <w:tcPr>
            <w:tcW w:type="dxa" w:w="922"/>
            <w:gridSpan w:val="2"/>
            <w:vMerge/>
          </w:tcPr>
          <w:p/>
        </w:tc>
        <w:tc>
          <w:tcPr>
            <w:tcW w:type="dxa" w:w="2307"/>
          </w:tcPr>
          <w:p>
            <w:pPr>
              <w:pStyle w:val="null3"/>
              <w:jc w:val="left"/>
            </w:pPr>
            <w:r>
              <w:rPr/>
              <w:t>同类项目经验 (8.0分)</w:t>
            </w:r>
          </w:p>
        </w:tc>
        <w:tc>
          <w:tcPr>
            <w:tcW w:type="dxa" w:w="5076"/>
          </w:tcPr>
          <w:p>
            <w:pPr>
              <w:pStyle w:val="null3"/>
              <w:jc w:val="left"/>
            </w:pPr>
            <w:r>
              <w:rPr/>
              <w:t>投标人2021年1月1日至今（以合同签订时间为准），具有备份一体机或GPU服务器采购项目经验，每个项目得2分，本项最高得8分。 注：需提供同类项目经验的合同关键页（包括但不限于封面页、采购内容页、盖章页等）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both"/>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r>
              <w:rPr>
                <w:sz w:val="21"/>
                <w:u w:val="single"/>
              </w:rPr>
              <w:t>广东省海洋发展规划研究中心——备份一体机与GPU服务器采购项目</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1"/>
          <w:b/>
        </w:rPr>
        <w:t>甲　　方：</w:t>
      </w:r>
      <w:r>
        <w:rPr>
          <w:sz w:val="21"/>
          <w:b/>
          <w:u w:val="single"/>
        </w:rPr>
        <w:t>　广东省海洋发展规划研究中心　　　　　　　　　</w:t>
      </w:r>
    </w:p>
    <w:p>
      <w:pPr>
        <w:pStyle w:val="null3"/>
        <w:jc w:val="both"/>
      </w:pPr>
      <w:r>
        <w:rPr>
          <w:sz w:val="21"/>
        </w:rPr>
        <w:t>电　　话：</w:t>
      </w:r>
      <w:r>
        <w:rPr>
          <w:sz w:val="21"/>
          <w:b/>
          <w:u w:val="single"/>
        </w:rPr>
        <w:t>　80923295　　　　　</w:t>
      </w:r>
      <w:r>
        <w:rPr>
          <w:sz w:val="21"/>
        </w:rPr>
        <w:t>　　传　　真：</w:t>
      </w:r>
      <w:r>
        <w:rPr>
          <w:sz w:val="21"/>
          <w:b/>
          <w:u w:val="single"/>
        </w:rPr>
        <w:t>　　　/　　　</w:t>
      </w:r>
      <w:r>
        <w:rPr>
          <w:sz w:val="21"/>
        </w:rPr>
        <w:t>　　地　　址：</w:t>
      </w:r>
      <w:r>
        <w:rPr>
          <w:sz w:val="21"/>
          <w:b/>
          <w:u w:val="single"/>
        </w:rPr>
        <w:t>　广州市海珠区南华东路547号　　　　　</w:t>
      </w:r>
    </w:p>
    <w:p>
      <w:pPr>
        <w:pStyle w:val="null3"/>
        <w:jc w:val="both"/>
      </w:pPr>
      <w:r>
        <w:rPr>
          <w:sz w:val="21"/>
          <w:b/>
        </w:rPr>
        <w:t>乙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rPr>
        <w:t xml:space="preserve">根据 </w:t>
      </w:r>
      <w:r>
        <w:rPr>
          <w:sz w:val="21"/>
          <w:u w:val="single"/>
        </w:rPr>
        <w:t>广东省海洋发展规划研究中心——备份一体机与GPU服务器采购项目</w:t>
      </w:r>
      <w:r>
        <w:rPr>
          <w:sz w:val="21"/>
        </w:rPr>
        <w:t>的采购结果，按照《中华人民共和国政府采购法》《中华人民共和国民法典合同编》的规定，</w:t>
      </w:r>
      <w:r>
        <w:rPr>
          <w:sz w:val="21"/>
        </w:rPr>
        <w:t>经双方协商，</w:t>
      </w:r>
      <w:r>
        <w:rPr>
          <w:sz w:val="21"/>
        </w:rPr>
        <w:t>本着平等互利和诚实信用的原则，</w:t>
      </w:r>
      <w:r>
        <w:rPr>
          <w:sz w:val="21"/>
        </w:rPr>
        <w:t>一致同意签订本合同如下。</w:t>
      </w:r>
    </w:p>
    <w:p>
      <w:pPr>
        <w:pStyle w:val="null3"/>
        <w:ind w:left="855"/>
        <w:jc w:val="both"/>
      </w:pPr>
      <w:r>
        <w:rPr>
          <w:sz w:val="21"/>
          <w:b/>
        </w:rPr>
        <w:t>一、   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5"/>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商品名称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单价（元）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GPU</w:t>
            </w:r>
            <w:r>
              <w:rPr>
                <w:sz w:val="21"/>
              </w:rPr>
              <w:t>服务器</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rPr>
              <w:t>/</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rPr>
              <w:t>/</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备份一体机</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rPr>
              <w:t>/</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rPr>
              <w:t>/</w:t>
            </w: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合计总额：￥/；    大写：/</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ind w:left="855"/>
        <w:jc w:val="both"/>
      </w:pPr>
      <w:r>
        <w:rPr>
          <w:sz w:val="21"/>
          <w:b/>
        </w:rPr>
        <w:t>二、   合同金额</w:t>
      </w:r>
    </w:p>
    <w:p>
      <w:pPr>
        <w:pStyle w:val="null3"/>
        <w:ind w:left="855"/>
        <w:jc w:val="both"/>
      </w:pPr>
      <w:r>
        <w:rPr>
          <w:sz w:val="21"/>
        </w:rPr>
        <w:t xml:space="preserve">              </w:t>
      </w:r>
      <w:r>
        <w:rPr>
          <w:sz w:val="21"/>
        </w:rPr>
        <w:t>合同金额为（大写）：</w:t>
      </w:r>
      <w:r>
        <w:rPr>
          <w:sz w:val="21"/>
        </w:rPr>
        <w:t>_______</w:t>
      </w:r>
      <w:r>
        <w:rPr>
          <w:sz w:val="21"/>
        </w:rPr>
        <w:t>/</w:t>
      </w:r>
      <w:r>
        <w:rPr>
          <w:sz w:val="21"/>
        </w:rPr>
        <w:t>__________</w:t>
      </w:r>
      <w:r>
        <w:rPr>
          <w:sz w:val="21"/>
        </w:rPr>
        <w:t>元（￥</w:t>
      </w:r>
      <w:r>
        <w:rPr>
          <w:sz w:val="21"/>
        </w:rPr>
        <w:t>________</w:t>
      </w:r>
      <w:r>
        <w:rPr>
          <w:sz w:val="21"/>
        </w:rPr>
        <w:t>/</w:t>
      </w:r>
      <w:r>
        <w:rPr>
          <w:sz w:val="21"/>
        </w:rPr>
        <w:t>_______</w:t>
      </w:r>
      <w:r>
        <w:rPr>
          <w:sz w:val="21"/>
        </w:rPr>
        <w:t>元）人民币。</w:t>
      </w:r>
    </w:p>
    <w:p>
      <w:pPr>
        <w:pStyle w:val="null3"/>
        <w:ind w:left="855"/>
        <w:jc w:val="both"/>
      </w:pPr>
      <w:r>
        <w:rPr>
          <w:sz w:val="21"/>
          <w:b/>
        </w:rPr>
        <w:t>三、   设备要求</w:t>
      </w:r>
    </w:p>
    <w:p>
      <w:pPr>
        <w:pStyle w:val="null3"/>
        <w:ind w:left="855"/>
        <w:jc w:val="both"/>
      </w:pPr>
      <w:r>
        <w:rPr>
          <w:sz w:val="21"/>
        </w:rPr>
        <w:t xml:space="preserve">        </w:t>
      </w:r>
      <w:r>
        <w:rPr>
          <w:sz w:val="21"/>
        </w:rPr>
        <w:t>货物为原制造商制造的全新产品，整机无污染，无侵权行为、表面无划损、无任何缺陷隐患，在中国境内可依常规安全合法使用。</w:t>
      </w:r>
    </w:p>
    <w:p>
      <w:pPr>
        <w:pStyle w:val="null3"/>
        <w:ind w:left="855"/>
        <w:jc w:val="both"/>
      </w:pPr>
      <w:r>
        <w:rPr>
          <w:sz w:val="21"/>
          <w:b/>
        </w:rPr>
        <w:t>四、   交货期、交货方式及交货地点</w:t>
      </w:r>
    </w:p>
    <w:p>
      <w:pPr>
        <w:pStyle w:val="null3"/>
        <w:ind w:left="855"/>
        <w:jc w:val="both"/>
      </w:pPr>
      <w:r>
        <w:rPr>
          <w:sz w:val="21"/>
        </w:rPr>
        <w:t xml:space="preserve">1.      </w:t>
      </w:r>
      <w:r>
        <w:rPr>
          <w:sz w:val="21"/>
        </w:rPr>
        <w:t>交货期：合同签订后三十个工作日内完成。</w:t>
      </w:r>
    </w:p>
    <w:p>
      <w:pPr>
        <w:pStyle w:val="null3"/>
        <w:ind w:left="855"/>
        <w:jc w:val="both"/>
      </w:pPr>
      <w:r>
        <w:rPr>
          <w:sz w:val="21"/>
        </w:rPr>
        <w:t xml:space="preserve">2.      </w:t>
      </w:r>
      <w:r>
        <w:rPr>
          <w:sz w:val="21"/>
        </w:rPr>
        <w:t>交货方式：实物交付。</w:t>
      </w:r>
    </w:p>
    <w:p>
      <w:pPr>
        <w:pStyle w:val="null3"/>
        <w:ind w:left="855"/>
        <w:jc w:val="both"/>
      </w:pPr>
      <w:r>
        <w:rPr>
          <w:sz w:val="21"/>
        </w:rPr>
        <w:t xml:space="preserve">3.      </w:t>
      </w:r>
      <w:r>
        <w:rPr>
          <w:sz w:val="21"/>
        </w:rPr>
        <w:t>交货地点： 广州市海珠区南华东路547号</w:t>
      </w:r>
    </w:p>
    <w:p>
      <w:pPr>
        <w:pStyle w:val="null3"/>
        <w:ind w:left="855"/>
        <w:jc w:val="both"/>
      </w:pPr>
      <w:r>
        <w:rPr>
          <w:sz w:val="21"/>
          <w:b/>
        </w:rPr>
        <w:t>五、   付款方式</w:t>
      </w:r>
    </w:p>
    <w:p>
      <w:pPr>
        <w:pStyle w:val="null3"/>
        <w:ind w:firstLine="840"/>
        <w:jc w:val="both"/>
      </w:pPr>
      <w:r>
        <w:rPr>
          <w:sz w:val="21"/>
        </w:rPr>
        <w:t>第一期：合同生效后，采购人在收到投标人付款申请及相应正式增值税普通发票后5个工作日内启动向成交人支付合同总价50%的首付款流程；</w:t>
      </w:r>
    </w:p>
    <w:p>
      <w:pPr>
        <w:pStyle w:val="null3"/>
        <w:ind w:firstLine="840"/>
        <w:jc w:val="both"/>
      </w:pPr>
      <w:r>
        <w:rPr>
          <w:sz w:val="21"/>
        </w:rPr>
        <w:t>第二期：支付比例40%，采购人完成所有设备签收且设备上架确认可使用后，收到相应正式增值税普通发票后5个工作日内启动支付合同总价的40%二期款流程；</w:t>
      </w:r>
    </w:p>
    <w:p>
      <w:pPr>
        <w:pStyle w:val="null3"/>
        <w:ind w:firstLine="840"/>
        <w:jc w:val="both"/>
      </w:pPr>
      <w:r>
        <w:rPr>
          <w:sz w:val="21"/>
        </w:rPr>
        <w:t>第三期：支付比例</w:t>
      </w:r>
      <w:r>
        <w:rPr>
          <w:sz w:val="21"/>
        </w:rPr>
        <w:t>10%</w:t>
      </w:r>
      <w:r>
        <w:rPr>
          <w:sz w:val="21"/>
        </w:rPr>
        <w:t>，由</w:t>
      </w:r>
      <w:r>
        <w:rPr>
          <w:sz w:val="21"/>
        </w:rPr>
        <w:t>中标</w:t>
      </w:r>
      <w:r>
        <w:rPr>
          <w:sz w:val="21"/>
        </w:rPr>
        <w:t>供应商在所有产品交付使用试运行一个月后，组织专家或第三方对所有产品进行验收无误后且收到相应正式增值税普通发票后</w:t>
      </w:r>
      <w:r>
        <w:rPr>
          <w:sz w:val="21"/>
        </w:rPr>
        <w:t>5</w:t>
      </w:r>
      <w:r>
        <w:rPr>
          <w:sz w:val="21"/>
        </w:rPr>
        <w:t>个工作日内启动支付流程。</w:t>
      </w:r>
    </w:p>
    <w:p>
      <w:pPr>
        <w:pStyle w:val="null3"/>
        <w:ind w:left="855"/>
        <w:jc w:val="both"/>
      </w:pPr>
      <w:r>
        <w:rPr>
          <w:sz w:val="21"/>
          <w:b/>
        </w:rPr>
        <w:t>六、   质保期及售后服务要求</w:t>
      </w:r>
    </w:p>
    <w:p>
      <w:pPr>
        <w:pStyle w:val="null3"/>
        <w:ind w:left="855"/>
        <w:jc w:val="both"/>
      </w:pPr>
      <w:r>
        <w:rPr>
          <w:sz w:val="21"/>
        </w:rPr>
        <w:t xml:space="preserve">1.      </w:t>
      </w:r>
      <w:r>
        <w:rPr>
          <w:sz w:val="21"/>
        </w:rPr>
        <w:t>本合同的质量保证期（简称“质保期”）为</w:t>
      </w:r>
      <w:r>
        <w:rPr>
          <w:sz w:val="21"/>
          <w:u w:val="single"/>
        </w:rPr>
        <w:t xml:space="preserve">   3  </w:t>
      </w:r>
      <w:r>
        <w:rPr>
          <w:sz w:val="21"/>
        </w:rPr>
        <w:t>年，质保期内乙方对所供货物实行包修、包换、包退及合同约定的其他事项，期满后可同时提供终身维修保养服务。</w:t>
      </w:r>
    </w:p>
    <w:p>
      <w:pPr>
        <w:pStyle w:val="null3"/>
        <w:ind w:left="855"/>
        <w:jc w:val="both"/>
      </w:pPr>
      <w:r>
        <w:rPr>
          <w:sz w:val="21"/>
        </w:rPr>
        <w:t xml:space="preserve">2.      </w:t>
      </w:r>
      <w:r>
        <w:rPr>
          <w:sz w:val="21"/>
        </w:rPr>
        <w:t>质保期内，如设备或零部件因质量原因出现故障而造成短期停用时，则质保期和免费维修期相应顺延。如停用时间累计超过60天则质保期重新计算。</w:t>
      </w:r>
    </w:p>
    <w:p>
      <w:pPr>
        <w:pStyle w:val="null3"/>
        <w:ind w:left="855"/>
        <w:jc w:val="both"/>
      </w:pPr>
      <w:r>
        <w:rPr>
          <w:sz w:val="21"/>
        </w:rPr>
        <w:t xml:space="preserve">3.      </w:t>
      </w:r>
      <w:r>
        <w:rPr>
          <w:sz w:val="21"/>
        </w:rPr>
        <w:t>对甲方的服务通知，乙方在接报后1小时内响应，4小时内到达现场，48小时内处理完毕。若在48小时内仍未能有效解决，乙方须免费提供同级别的设备予甲方临时使用。</w:t>
      </w:r>
    </w:p>
    <w:p>
      <w:pPr>
        <w:pStyle w:val="null3"/>
        <w:ind w:left="855"/>
        <w:jc w:val="both"/>
      </w:pPr>
      <w:r>
        <w:rPr>
          <w:sz w:val="21"/>
          <w:b/>
        </w:rPr>
        <w:t>七、   安装与调试</w:t>
      </w:r>
    </w:p>
    <w:p>
      <w:pPr>
        <w:pStyle w:val="null3"/>
        <w:ind w:left="855"/>
        <w:jc w:val="both"/>
      </w:pPr>
      <w:r>
        <w:rPr>
          <w:sz w:val="21"/>
        </w:rPr>
        <w:t xml:space="preserve">1.      </w:t>
      </w:r>
      <w:r>
        <w:rPr>
          <w:sz w:val="21"/>
        </w:rPr>
        <w:t>乙方必须依照招标文件的要求和报价文件的承诺，将设备、系统安装并调试至正常运行的最佳状态。</w:t>
      </w:r>
    </w:p>
    <w:p>
      <w:pPr>
        <w:pStyle w:val="null3"/>
        <w:ind w:left="855"/>
        <w:jc w:val="both"/>
      </w:pPr>
      <w:r>
        <w:rPr>
          <w:sz w:val="21"/>
          <w:b/>
        </w:rPr>
        <w:t>八、   验收：</w:t>
      </w:r>
    </w:p>
    <w:p>
      <w:pPr>
        <w:pStyle w:val="null3"/>
        <w:ind w:left="855"/>
        <w:jc w:val="both"/>
      </w:pPr>
      <w:r>
        <w:rPr>
          <w:sz w:val="21"/>
        </w:rPr>
        <w:t xml:space="preserve">1.      </w:t>
      </w:r>
      <w:r>
        <w:rPr>
          <w:sz w:val="21"/>
        </w:rPr>
        <w:t>交付验收标准</w:t>
      </w:r>
      <w:r>
        <w:rPr>
          <w:sz w:val="21"/>
        </w:rPr>
        <w:t>依次序对照适用</w:t>
      </w:r>
      <w:r>
        <w:rPr>
          <w:sz w:val="21"/>
        </w:rPr>
        <w:t>标准</w:t>
      </w:r>
      <w:r>
        <w:rPr>
          <w:sz w:val="21"/>
        </w:rPr>
        <w:t>为：</w:t>
      </w:r>
      <w:r>
        <w:rPr>
          <w:sz w:val="21"/>
        </w:rPr>
        <w:t>①符合中华人民共和国国家安全质量标准、环保标准或行业标准；②符合招标文件和相应承诺中甲方认可的合理最佳配置、参数及各项要求；③货物来源国官方标准。</w:t>
      </w:r>
    </w:p>
    <w:p>
      <w:pPr>
        <w:pStyle w:val="null3"/>
        <w:ind w:left="855"/>
        <w:jc w:val="both"/>
      </w:pPr>
      <w:r>
        <w:rPr>
          <w:sz w:val="21"/>
        </w:rPr>
        <w:t xml:space="preserve">2.      </w:t>
      </w:r>
      <w:r>
        <w:rPr>
          <w:sz w:val="21"/>
        </w:rPr>
        <w:t>进口产品必须具备原产地证明和商检局的检验证明及合法进货渠道证明。</w:t>
      </w:r>
    </w:p>
    <w:p>
      <w:pPr>
        <w:pStyle w:val="null3"/>
        <w:ind w:left="855"/>
        <w:jc w:val="both"/>
      </w:pPr>
      <w:r>
        <w:rPr>
          <w:sz w:val="21"/>
        </w:rPr>
        <w:t xml:space="preserve">3.      </w:t>
      </w:r>
      <w:r>
        <w:rPr>
          <w:sz w:val="21"/>
        </w:rPr>
        <w:t>货物为原厂商未启封全新包装，具出厂合格证，序列号、包装箱号与出厂批号一致，并可追溯查阅。所有设备的附件必须齐全。</w:t>
      </w:r>
    </w:p>
    <w:p>
      <w:pPr>
        <w:pStyle w:val="null3"/>
        <w:ind w:left="855"/>
        <w:jc w:val="both"/>
      </w:pPr>
      <w:r>
        <w:rPr>
          <w:sz w:val="21"/>
        </w:rPr>
        <w:t xml:space="preserve">4.      </w:t>
      </w:r>
      <w:r>
        <w:rPr>
          <w:sz w:val="21"/>
        </w:rPr>
        <w:t>乙方应将关键主机设备的用户手册、保修手册、有关单证资料及配备件、随机工具等交付给甲方，使用操作及安全须知等重要资料应附有中文说明。</w:t>
      </w:r>
    </w:p>
    <w:p>
      <w:pPr>
        <w:pStyle w:val="null3"/>
        <w:ind w:left="855"/>
        <w:jc w:val="both"/>
      </w:pPr>
      <w:r>
        <w:rPr>
          <w:sz w:val="21"/>
        </w:rPr>
        <w:t xml:space="preserve">5.      </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855"/>
        <w:jc w:val="both"/>
      </w:pPr>
      <w:r>
        <w:rPr>
          <w:sz w:val="21"/>
          <w:b/>
        </w:rPr>
        <w:t>九、   违约责任与赔偿损失</w:t>
      </w:r>
    </w:p>
    <w:p>
      <w:pPr>
        <w:pStyle w:val="null3"/>
        <w:ind w:left="855"/>
        <w:jc w:val="both"/>
      </w:pPr>
      <w:r>
        <w:rPr>
          <w:sz w:val="21"/>
        </w:rPr>
        <w:t xml:space="preserve">1.      </w:t>
      </w:r>
      <w:r>
        <w:rPr>
          <w:sz w:val="21"/>
        </w:rPr>
        <w:t>乙方交付的货物、工程/提供的服务不符合本合同规定的，甲方有权拒收，并且乙方须向甲方支付本合同总价5%的违约金。</w:t>
      </w:r>
    </w:p>
    <w:p>
      <w:pPr>
        <w:pStyle w:val="null3"/>
        <w:ind w:left="855"/>
        <w:jc w:val="both"/>
      </w:pPr>
      <w:r>
        <w:rPr>
          <w:sz w:val="21"/>
        </w:rPr>
        <w:t xml:space="preserve">2.      </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left="855"/>
        <w:jc w:val="both"/>
      </w:pPr>
      <w:r>
        <w:rPr>
          <w:sz w:val="21"/>
        </w:rPr>
        <w:t xml:space="preserve">3.      </w:t>
      </w:r>
      <w:r>
        <w:rPr>
          <w:sz w:val="21"/>
        </w:rPr>
        <w:t>甲方无正当理由拒收货物/接受服务，到期拒付货物/服务款项的，甲方向乙方偿付本合同总额的5%的违约金。甲方逾期付款，则每日按本合同总价的3‰向乙方偿付违约金。</w:t>
      </w:r>
    </w:p>
    <w:p>
      <w:pPr>
        <w:pStyle w:val="null3"/>
        <w:ind w:left="855"/>
        <w:jc w:val="both"/>
      </w:pPr>
      <w:r>
        <w:rPr>
          <w:sz w:val="21"/>
        </w:rPr>
        <w:t xml:space="preserve">4.      </w:t>
      </w:r>
      <w:r>
        <w:rPr>
          <w:sz w:val="21"/>
        </w:rPr>
        <w:t>对于因甲方原因导致变更、终止或者终止政府采购合同的，甲方应当依照以下合同约定对供应商受到的损失予以赔偿或者补偿：</w:t>
      </w:r>
    </w:p>
    <w:p>
      <w:pPr>
        <w:pStyle w:val="null3"/>
        <w:ind w:left="855"/>
        <w:jc w:val="both"/>
      </w:pPr>
      <w:r>
        <w:rPr>
          <w:sz w:val="21"/>
        </w:rPr>
        <w:t xml:space="preserve">5.      </w:t>
      </w:r>
      <w:r>
        <w:rPr>
          <w:sz w:val="21"/>
        </w:rPr>
        <w:t>其他违约责任按《中华人民共和国民法典合同编》处理。</w:t>
      </w:r>
    </w:p>
    <w:p>
      <w:pPr>
        <w:pStyle w:val="null3"/>
        <w:ind w:left="855"/>
        <w:jc w:val="both"/>
      </w:pPr>
      <w:r>
        <w:rPr>
          <w:sz w:val="21"/>
          <w:b/>
        </w:rPr>
        <w:t>十、   争议的解决</w:t>
      </w:r>
    </w:p>
    <w:p>
      <w:pPr>
        <w:pStyle w:val="null3"/>
        <w:ind w:left="360"/>
        <w:jc w:val="both"/>
      </w:pPr>
      <w:r>
        <w:rPr>
          <w:sz w:val="21"/>
        </w:rPr>
        <w:t xml:space="preserve">1. </w:t>
      </w:r>
      <w:r>
        <w:rPr>
          <w:sz w:val="21"/>
        </w:rPr>
        <w:t>合同执行过程中发生的任何争议，如双方不能通过友好协商解决，按相关法律法规处理。</w:t>
      </w:r>
    </w:p>
    <w:p>
      <w:pPr>
        <w:pStyle w:val="null3"/>
        <w:ind w:left="855"/>
        <w:jc w:val="both"/>
      </w:pPr>
      <w:r>
        <w:rPr>
          <w:sz w:val="21"/>
          <w:b/>
        </w:rPr>
        <w:t>十一、  不可抗力</w:t>
      </w:r>
    </w:p>
    <w:p>
      <w:pPr>
        <w:pStyle w:val="null3"/>
        <w:ind w:left="855"/>
        <w:jc w:val="both"/>
      </w:pPr>
      <w:r>
        <w:rPr>
          <w:sz w:val="21"/>
        </w:rPr>
        <w:t xml:space="preserve">1.      </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1"/>
          <w:b/>
        </w:rPr>
        <w:t>十二、  税费</w:t>
      </w:r>
    </w:p>
    <w:p>
      <w:pPr>
        <w:pStyle w:val="null3"/>
        <w:ind w:left="855"/>
        <w:jc w:val="both"/>
      </w:pPr>
      <w:r>
        <w:rPr>
          <w:sz w:val="21"/>
        </w:rPr>
        <w:t xml:space="preserve">1.      </w:t>
      </w:r>
      <w:r>
        <w:rPr>
          <w:sz w:val="21"/>
        </w:rPr>
        <w:t>在中国境内、外发生的与本合同执行有关的一切税费均由乙方负担。</w:t>
      </w:r>
    </w:p>
    <w:p>
      <w:pPr>
        <w:pStyle w:val="null3"/>
        <w:ind w:left="855"/>
        <w:jc w:val="both"/>
      </w:pPr>
      <w:r>
        <w:rPr>
          <w:sz w:val="21"/>
          <w:b/>
        </w:rPr>
        <w:t>十三、  其它</w:t>
      </w:r>
    </w:p>
    <w:p>
      <w:pPr>
        <w:pStyle w:val="null3"/>
        <w:ind w:left="855"/>
        <w:jc w:val="both"/>
      </w:pPr>
      <w:r>
        <w:rPr>
          <w:sz w:val="21"/>
        </w:rPr>
        <w:t xml:space="preserve">1.      </w:t>
      </w:r>
      <w:r>
        <w:rPr>
          <w:sz w:val="21"/>
        </w:rPr>
        <w:t>本合同所有附件、招标文件、投标文件、中标通知书均为合同的有效组成部分，与本合同具有同等法律效力。</w:t>
      </w:r>
    </w:p>
    <w:p>
      <w:pPr>
        <w:pStyle w:val="null3"/>
        <w:ind w:left="855"/>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left="855"/>
        <w:jc w:val="both"/>
      </w:pPr>
      <w:r>
        <w:rPr>
          <w:sz w:val="21"/>
        </w:rPr>
        <w:t xml:space="preserve">3.      </w:t>
      </w:r>
      <w:r>
        <w:rPr>
          <w:sz w:val="21"/>
        </w:rPr>
        <w:t>如一方地址、电话、传真号码有变更，应在变更当日内书面通知对方，否则，应承担相应责任。</w:t>
      </w:r>
    </w:p>
    <w:p>
      <w:pPr>
        <w:pStyle w:val="null3"/>
        <w:ind w:left="855"/>
        <w:jc w:val="both"/>
      </w:pPr>
      <w:r>
        <w:rPr>
          <w:sz w:val="21"/>
        </w:rPr>
        <w:t xml:space="preserve">4.      </w:t>
      </w:r>
      <w:r>
        <w:rPr>
          <w:sz w:val="21"/>
        </w:rPr>
        <w:t>除甲方事先书面同意外，乙方不得部分或全部转让其应履行的合同项下的义务。</w:t>
      </w:r>
    </w:p>
    <w:p>
      <w:pPr>
        <w:pStyle w:val="null3"/>
        <w:ind w:left="855"/>
        <w:jc w:val="both"/>
      </w:pPr>
      <w:r>
        <w:rPr>
          <w:sz w:val="21"/>
          <w:b/>
        </w:rPr>
        <w:t>十四、  合同生效</w:t>
      </w:r>
    </w:p>
    <w:p>
      <w:pPr>
        <w:pStyle w:val="null3"/>
        <w:ind w:left="855"/>
        <w:jc w:val="both"/>
      </w:pPr>
      <w:r>
        <w:rPr>
          <w:sz w:val="21"/>
        </w:rPr>
        <w:t xml:space="preserve">1.      </w:t>
      </w:r>
      <w:r>
        <w:rPr>
          <w:sz w:val="21"/>
        </w:rPr>
        <w:t>本合同在甲乙双方法定代表人或其授权代表签字盖章后生效。</w:t>
      </w:r>
    </w:p>
    <w:p>
      <w:pPr>
        <w:pStyle w:val="null3"/>
        <w:ind w:left="855"/>
        <w:jc w:val="both"/>
      </w:pPr>
      <w:r>
        <w:rPr>
          <w:sz w:val="21"/>
        </w:rPr>
        <w:t xml:space="preserve">2.      </w:t>
      </w:r>
      <w:r>
        <w:rPr>
          <w:sz w:val="21"/>
        </w:rPr>
        <w:t>合同一式</w:t>
      </w:r>
      <w:r>
        <w:rPr>
          <w:sz w:val="21"/>
          <w:u w:val="single"/>
        </w:rPr>
        <w:t xml:space="preserve">  六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签订地点：                                签订地点：</w:t>
      </w:r>
    </w:p>
    <w:p>
      <w:pPr>
        <w:pStyle w:val="null3"/>
        <w:jc w:val="both"/>
      </w:pPr>
      <w:r>
        <w:rPr>
          <w:sz w:val="21"/>
        </w:rPr>
        <w:t>签订日期：　　　年　　月　　日            签订日期：　　　年　　月　　日</w:t>
      </w:r>
    </w:p>
    <w:p>
      <w:pPr>
        <w:pStyle w:val="null3"/>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440001-2024-38086</w:t>
      </w:r>
    </w:p>
    <w:p>
      <w:pPr>
        <w:pStyle w:val="null3"/>
        <w:jc w:val="center"/>
        <w:outlineLvl w:val="3"/>
      </w:pPr>
      <w:r>
        <w:rPr>
          <w:sz w:val="24"/>
          <w:b/>
        </w:rPr>
        <w:t>采购项目编号：</w:t>
      </w:r>
      <w:r>
        <w:rPr>
          <w:sz w:val="24"/>
          <w:b/>
        </w:rPr>
        <w:t>GPCGD243109HG166J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广东省海洋发展规划研究中心备份一体机与GPU服务器采购项目(二次)</w:t>
      </w:r>
      <w:r>
        <w:rPr>
          <w:u w:val="single"/>
        </w:rPr>
        <w:t>”</w:t>
      </w:r>
      <w:r>
        <w:rPr/>
        <w:t>项目的招标[采购项目编号为：</w:t>
      </w:r>
      <w:r>
        <w:rPr>
          <w:u w:val="single"/>
        </w:rPr>
        <w:t>GPCGD243109HG166J</w:t>
      </w:r>
      <w:r>
        <w:rPr/>
        <w:t>]，我方愿参与投标。</w:t>
      </w:r>
    </w:p>
    <w:p>
      <w:pPr>
        <w:pStyle w:val="null3"/>
        <w:ind w:firstLine="480"/>
      </w:pPr>
      <w:r>
        <w:rPr/>
        <w:t>我方确认收到贵方提供的</w:t>
      </w:r>
      <w:r>
        <w:rPr>
          <w:u w:val="single"/>
        </w:rPr>
        <w:t>“</w:t>
      </w:r>
      <w:r>
        <w:rPr>
          <w:u w:val="single"/>
        </w:rPr>
        <w:t>广东省海洋发展规划研究中心备份一体机与GPU服务器采购项目(二次)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广东省海洋发展规划研究中心备份一体机与GPU服务器采购项目(二次)</w:t>
      </w:r>
      <w:r>
        <w:rPr/>
        <w:t>”项目采购[采购项目编号为</w:t>
      </w:r>
      <w:r>
        <w:rPr/>
        <w:t>GPCGD243109HG166J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广东省海洋发展规划研究中心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广东省海洋发展规划研究中心备份一体机与GPU服务器采购项目(二次)</w:t>
      </w:r>
      <w:r>
        <w:rPr/>
        <w:t>招标中获中标（采购项目编号：</w:t>
      </w:r>
      <w:r>
        <w:rPr/>
        <w:t>GPCGD243109HG166J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广东省海洋发展规划研究中心备份一体机与GPU服务器采购项目(二次)</w:t>
      </w:r>
      <w:r>
        <w:rPr/>
        <w:t>”项目（采购项目编号：</w:t>
      </w:r>
      <w:r>
        <w:rPr/>
        <w:t>GPCGD243109HG166J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