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440001-2024-37797</w:t>
      </w:r>
    </w:p>
    <w:p>
      <w:pPr>
        <w:pStyle w:val="null3"/>
        <w:jc w:val="center"/>
        <w:outlineLvl w:val="3"/>
      </w:pPr>
      <w:r>
        <w:rPr>
          <w:sz w:val="24"/>
          <w:b/>
        </w:rPr>
        <w:t>采购项目编号：</w:t>
      </w:r>
      <w:r>
        <w:rPr>
          <w:sz w:val="24"/>
          <w:b/>
        </w:rPr>
        <w:t>GPCGD244314HG047F</w:t>
      </w:r>
    </w:p>
    <w:p>
      <w:pPr>
        <w:pStyle w:val="null3"/>
        <w:jc w:val="center"/>
        <w:outlineLvl w:val="3"/>
      </w:pPr>
      <w:r>
        <w:rPr>
          <w:sz w:val="24"/>
          <w:b/>
        </w:rPr>
        <w:t>项目名称：</w:t>
      </w:r>
      <w:r>
        <w:rPr>
          <w:sz w:val="24"/>
          <w:b/>
        </w:rPr>
        <w:t>广东省应急管理厅应急特种专业技术车辆采购项目</w:t>
      </w:r>
    </w:p>
    <w:p>
      <w:pPr>
        <w:pStyle w:val="null3"/>
        <w:jc w:val="center"/>
        <w:outlineLvl w:val="3"/>
      </w:pPr>
      <w:r>
        <w:rPr>
          <w:sz w:val="24"/>
          <w:b/>
        </w:rPr>
        <w:t>采购人：</w:t>
      </w:r>
      <w:r>
        <w:rPr>
          <w:sz w:val="24"/>
          <w:b/>
        </w:rPr>
        <w:t>广东省应急管理厅</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广东省应急管理厅</w:t>
      </w:r>
      <w:r>
        <w:rPr/>
        <w:t>的委托，采用</w:t>
      </w:r>
      <w:r>
        <w:rPr/>
        <w:t>公开招标</w:t>
      </w:r>
      <w:r>
        <w:rPr/>
        <w:t>方式组织采购</w:t>
      </w:r>
      <w:r>
        <w:rPr/>
        <w:t>广东省应急管理厅应急特种专业技术车辆采购项目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广东省应急管理厅应急特种专业技术车辆采购项目</w:t>
      </w:r>
    </w:p>
    <w:p>
      <w:pPr>
        <w:pStyle w:val="null3"/>
        <w:ind w:firstLine="480"/>
      </w:pPr>
      <w:r>
        <w:rPr/>
        <w:t>采购计划编号：</w:t>
      </w:r>
      <w:r>
        <w:rPr/>
        <w:t>440001-2024-37797</w:t>
      </w:r>
    </w:p>
    <w:p>
      <w:pPr>
        <w:pStyle w:val="null3"/>
        <w:ind w:firstLine="480"/>
      </w:pPr>
      <w:r>
        <w:rPr/>
        <w:t>采购项目编号：</w:t>
      </w:r>
      <w:r>
        <w:rPr/>
        <w:t>GPCGD244314HG047F</w:t>
      </w:r>
    </w:p>
    <w:p>
      <w:pPr>
        <w:pStyle w:val="null3"/>
        <w:ind w:firstLine="480"/>
      </w:pPr>
      <w:r>
        <w:rPr/>
        <w:t>采购方式：</w:t>
      </w:r>
      <w:r>
        <w:rPr/>
        <w:t>公开招标</w:t>
      </w:r>
    </w:p>
    <w:p>
      <w:pPr>
        <w:pStyle w:val="null3"/>
        <w:ind w:firstLine="480"/>
      </w:pPr>
      <w:r>
        <w:rPr/>
        <w:t>预算金额：</w:t>
      </w:r>
      <w:r>
        <w:rPr/>
        <w:t>1,200,000.00</w:t>
      </w:r>
      <w:r>
        <w:rPr/>
        <w:t>元</w:t>
      </w:r>
    </w:p>
    <w:p>
      <w:pPr>
        <w:pStyle w:val="null3"/>
        <w:outlineLvl w:val="3"/>
      </w:pPr>
      <w:r>
        <w:rPr>
          <w:sz w:val="24"/>
          <w:b/>
        </w:rPr>
        <w:t>2.项目内容及需求情况（采购项目技术规格、参数及要求）</w:t>
      </w:r>
    </w:p>
    <w:p>
      <w:pPr>
        <w:pStyle w:val="null3"/>
      </w:pPr>
      <w:r>
        <w:rPr/>
        <w:t>采购包1(广东省应急管理厅应急特种专业技术车辆采购项目):</w:t>
      </w:r>
    </w:p>
    <w:p>
      <w:pPr>
        <w:pStyle w:val="null3"/>
      </w:pPr>
      <w:r>
        <w:rPr/>
        <w:t>采购包预算金额：1,200,000.00元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通信指挥车</w:t>
            </w:r>
          </w:p>
        </w:tc>
        <w:tc>
          <w:tcPr>
            <w:tcW w:type="dxa" w:w="2052"/>
          </w:tcPr>
          <w:p>
            <w:pPr>
              <w:pStyle w:val="null3"/>
            </w:pPr>
            <w:r>
              <w:rPr/>
              <w:t>应急特种专业技术车辆</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1,200,000.00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1个月内完成第一辆车辆的改装集成任务及交付，4个月内完成该辆车公告上牌；第二辆车辆在采购人完成原车辆报废注销完毕后通知供应商，供应商需在接到采购人通知后，1个月内完成第二辆车辆的改装集成任务及交付，2个月内完成该辆车上牌（不早于第一辆车上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以下2种证明材料之一：①经会计师事务所审计的2023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采购包1（广东省应急管理厅应急特种专业技术车辆采购项目）：</w:t>
      </w:r>
      <w:r>
        <w:rPr/>
        <w:t>本项目为面向中小企业采购项目，供应商提供的货物（应急特种专业技术车辆）须由中小企业生产且使用该中小企业商号或注册商标。中小企业须符合本项目采购标的对应行业（工业）的政策划分标准的中小企业。监狱企业、残疾人福利单位视同小型、微型企业。 注1：中小企业应符合本项目采购标的对应的行业（工业）的政策划分标准，以供应商填写的《中小企业声明函（货物）》（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注2：本项目须按货物类《中小企业声明函》进行填写，如填成服务或工程类《中小企业声明函》，则不视为中小企业。</w:t>
      </w:r>
    </w:p>
    <w:p>
      <w:pPr>
        <w:pStyle w:val="null3"/>
        <w:outlineLvl w:val="3"/>
      </w:pPr>
      <w:r>
        <w:rPr>
          <w:sz w:val="24"/>
          <w:b/>
        </w:rPr>
        <w:t>3.本项目特定的资格要求：</w:t>
      </w:r>
    </w:p>
    <w:p>
      <w:pPr>
        <w:pStyle w:val="null3"/>
      </w:pPr>
      <w:r>
        <w:rPr/>
        <w:t>采购包1（广东省应急管理厅应急特种专业技术车辆采购项目）：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www.ccgp.gov.cn)查询结果为准，如相关失信记录已失效，供应商需提供相关证明资料）</w:t>
      </w:r>
    </w:p>
    <w:p>
      <w:pPr>
        <w:pStyle w:val="null3"/>
      </w:pPr>
      <w:r>
        <w:rPr/>
        <w:t>2)单位负责人为同一人或者存在直接控股、管理关系的不同供应商，不得同时参加本采购项目投标。前期为本采购项目提供整体设计、规范编制或者项目管理、监理、检测等服务的供应商，不得参加本次采购活动。（可参照投标函相关承诺格式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广东省应急管理厅</w:t>
      </w:r>
    </w:p>
    <w:p>
      <w:pPr>
        <w:pStyle w:val="null3"/>
        <w:ind w:firstLine="480"/>
      </w:pPr>
      <w:r>
        <w:rPr/>
        <w:t xml:space="preserve"> 地址：</w:t>
      </w:r>
      <w:r>
        <w:rPr/>
        <w:t>广东省广州市越秀区建设大馬路19号</w:t>
      </w:r>
    </w:p>
    <w:p>
      <w:pPr>
        <w:pStyle w:val="null3"/>
        <w:ind w:firstLine="480"/>
      </w:pPr>
      <w:r>
        <w:rPr/>
        <w:t xml:space="preserve"> 联系方式：</w:t>
      </w:r>
      <w:r>
        <w:rPr/>
        <w:t>020-83135922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020-83187292、83187323</w:t>
      </w:r>
    </w:p>
    <w:p>
      <w:pPr>
        <w:pStyle w:val="null3"/>
        <w:outlineLvl w:val="3"/>
      </w:pPr>
      <w:r>
        <w:rPr>
          <w:sz w:val="24"/>
          <w:b/>
        </w:rPr>
        <w:t xml:space="preserve"> 3.项目联系方式</w:t>
      </w:r>
    </w:p>
    <w:p>
      <w:pPr>
        <w:pStyle w:val="null3"/>
        <w:ind w:firstLine="480"/>
      </w:pPr>
      <w:r>
        <w:rPr/>
        <w:t xml:space="preserve"> 项目联系人：</w:t>
      </w:r>
      <w:r>
        <w:rPr/>
        <w:t>秦泽辉</w:t>
      </w:r>
    </w:p>
    <w:p>
      <w:pPr>
        <w:pStyle w:val="null3"/>
        <w:ind w:firstLine="480"/>
      </w:pPr>
      <w:r>
        <w:rPr/>
        <w:t xml:space="preserve"> 电话：</w:t>
      </w:r>
      <w:r>
        <w:rPr/>
        <w:t>020-83187292、83187323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color w:val="000000"/>
        </w:rPr>
        <w:t>1.</w:t>
      </w:r>
      <w:r>
        <w:rPr>
          <w:sz w:val="21"/>
          <w:color w:val="000000"/>
        </w:rPr>
        <w:t>概述</w:t>
      </w:r>
    </w:p>
    <w:p>
      <w:pPr>
        <w:pStyle w:val="null3"/>
        <w:ind w:firstLine="420"/>
        <w:jc w:val="both"/>
      </w:pPr>
      <w:r>
        <w:rPr>
          <w:sz w:val="21"/>
          <w:color w:val="000000"/>
        </w:rPr>
        <w:t xml:space="preserve">1.1 </w:t>
      </w:r>
      <w:r>
        <w:rPr>
          <w:sz w:val="21"/>
          <w:color w:val="000000"/>
        </w:rPr>
        <w:t>项目背景</w:t>
      </w:r>
    </w:p>
    <w:p>
      <w:pPr>
        <w:pStyle w:val="null3"/>
        <w:ind w:firstLine="420"/>
        <w:jc w:val="both"/>
      </w:pPr>
      <w:r>
        <w:rPr>
          <w:sz w:val="21"/>
          <w:color w:val="000000"/>
        </w:rPr>
        <w:t>应急管理是推进国家政治体系和治理能力现代化的重要组成部分，应急管理部门承担着指导各部门应对安全生类、自然灾害类等突发事件和综合防灾减灾救灾工作，涉及领域广、突发情况多、处置难度大，直接关系到人民群众生命财产安全和社会大局稳定。</w:t>
      </w:r>
    </w:p>
    <w:p>
      <w:pPr>
        <w:pStyle w:val="null3"/>
        <w:ind w:firstLine="420"/>
        <w:jc w:val="both"/>
      </w:pPr>
      <w:r>
        <w:rPr>
          <w:sz w:val="21"/>
          <w:color w:val="000000"/>
        </w:rPr>
        <w:t>由于各类突发事故的不确定性和应急性，无论在任何时间、任何地点，都要保证通信网络的畅通，因此应急特种专业技术车的通信装备应以无线传输为主，有线网络为辅。应急特种专业技术车应能够同时适应不同网络环境使用。应急特种专业技术车是应急管理局后方应急指挥中心的前移，是现场与后方指挥中心联系的纽带，为现场监控、信息交换、现场会商、现场指挥协调等提供重要支撑。是应急突发事件处置的现场指挥中心、通信保障中心。</w:t>
      </w:r>
    </w:p>
    <w:p>
      <w:pPr>
        <w:pStyle w:val="null3"/>
        <w:ind w:firstLine="420"/>
        <w:jc w:val="both"/>
      </w:pPr>
      <w:r>
        <w:rPr>
          <w:sz w:val="21"/>
          <w:color w:val="000000"/>
        </w:rPr>
        <w:t xml:space="preserve">1.2 </w:t>
      </w:r>
      <w:r>
        <w:rPr>
          <w:sz w:val="21"/>
          <w:color w:val="000000"/>
        </w:rPr>
        <w:t>建设目标</w:t>
      </w:r>
    </w:p>
    <w:p>
      <w:pPr>
        <w:pStyle w:val="null3"/>
        <w:ind w:firstLine="420"/>
        <w:jc w:val="both"/>
      </w:pPr>
      <w:r>
        <w:rPr>
          <w:sz w:val="21"/>
          <w:color w:val="000000"/>
        </w:rPr>
        <w:t>采购预算：120万元。</w:t>
      </w:r>
    </w:p>
    <w:p>
      <w:pPr>
        <w:pStyle w:val="null3"/>
        <w:ind w:firstLine="420"/>
        <w:jc w:val="both"/>
      </w:pPr>
      <w:r>
        <w:rPr>
          <w:sz w:val="21"/>
          <w:color w:val="000000"/>
        </w:rPr>
        <w:t>建设两辆技术优越实用、机动性强、功能完善、可靠性高、安全保密性强、符合全天候工作的小型越野特种专业技术用车。</w:t>
      </w:r>
    </w:p>
    <w:p>
      <w:pPr>
        <w:pStyle w:val="null3"/>
        <w:ind w:firstLine="420"/>
        <w:jc w:val="both"/>
      </w:pPr>
      <w:r>
        <w:rPr>
          <w:sz w:val="21"/>
          <w:color w:val="000000"/>
        </w:rPr>
        <w:t>由于需要进入灾害事故现场，对车辆技术支撑要求高，要车况好、底盘高，具备良好网络通信，能实时动态连线，实现音视频畅通、视频会商、指挥协同、应急调度、应急指挥决策等功能。利用SUV车辆平台进行改装，建设成为用于广东应急管理、安全生产、自然灾害防治、处置突发事件、防灾减灾救灾、应急指挥救援、综合应急演练等，为提高广东应急指挥现场处置能力，为应急指挥决策提供前沿最新信息等。满足事故现场统一指挥、专常兼备、反应灵敏、上下联动的需要，通过数据、语音、图像和视频等信息传输功能互通，组织重大灾害应急处置工作，显著提高应急救援能力和效能。</w:t>
      </w:r>
    </w:p>
    <w:p>
      <w:pPr>
        <w:pStyle w:val="null3"/>
        <w:ind w:firstLine="420"/>
        <w:jc w:val="both"/>
      </w:pPr>
      <w:r>
        <w:rPr>
          <w:sz w:val="21"/>
          <w:color w:val="000000"/>
        </w:rPr>
        <w:t>合同签订后1个月内完成第一辆车辆的改装集成任务及交付，4个月内完成该辆车公告上牌；第二辆车辆在采购人完成原车辆报废注销完毕后通知供应商，供应商需在接到采购人通知后，1个月内完成第二辆车辆的改装集成任务及交付，2个月内完成该辆车上牌（不早于第一辆车上牌）。</w:t>
      </w:r>
    </w:p>
    <w:p>
      <w:pPr>
        <w:pStyle w:val="null3"/>
        <w:ind w:firstLine="420"/>
        <w:jc w:val="both"/>
      </w:pPr>
      <w:r>
        <w:rPr>
          <w:sz w:val="21"/>
          <w:color w:val="000000"/>
        </w:rPr>
        <w:t xml:space="preserve">1.3 </w:t>
      </w:r>
      <w:r>
        <w:rPr>
          <w:sz w:val="21"/>
          <w:color w:val="000000"/>
        </w:rPr>
        <w:t>整体建设原则</w:t>
      </w:r>
    </w:p>
    <w:p>
      <w:pPr>
        <w:pStyle w:val="null3"/>
        <w:ind w:firstLine="420"/>
        <w:jc w:val="both"/>
      </w:pPr>
      <w:r>
        <w:rPr>
          <w:sz w:val="21"/>
          <w:color w:val="000000"/>
        </w:rPr>
        <w:t>充分利用现有的各种资源和条件，最大限度地发挥现有装备和设施的作用，缩短建设周期，减少项目建设的投入；坚持突出重点、解决急需，利用有限的投入首先满足“通”的需求；使用目前国际国内领先、成熟的通信技术，确保系统建设的技术优越性和可靠性。系统具备相当的网络设备容量及处理能力，软硬件预留接口，使系统具有充分的可扩充性。</w:t>
      </w:r>
    </w:p>
    <w:p>
      <w:pPr>
        <w:pStyle w:val="null3"/>
        <w:ind w:firstLine="420"/>
        <w:jc w:val="both"/>
      </w:pPr>
      <w:r>
        <w:rPr>
          <w:sz w:val="21"/>
          <w:color w:val="000000"/>
        </w:rPr>
        <w:t>应急特种专业技术车的建设遵循简捷、实用、安全、可靠的建设理念，在设计、建造、检验、系统集成、会商等各个环节严格遵循以下建设原则：</w:t>
      </w:r>
    </w:p>
    <w:p>
      <w:pPr>
        <w:pStyle w:val="null3"/>
        <w:ind w:firstLine="420"/>
        <w:jc w:val="both"/>
      </w:pPr>
      <w:r>
        <w:rPr>
          <w:sz w:val="21"/>
          <w:color w:val="000000"/>
        </w:rPr>
        <w:t>1</w:t>
      </w:r>
      <w:r>
        <w:rPr>
          <w:sz w:val="21"/>
          <w:color w:val="000000"/>
        </w:rPr>
        <w:t>）优越性</w:t>
      </w:r>
    </w:p>
    <w:p>
      <w:pPr>
        <w:pStyle w:val="null3"/>
        <w:ind w:firstLine="420"/>
        <w:jc w:val="both"/>
      </w:pPr>
      <w:r>
        <w:rPr>
          <w:sz w:val="21"/>
          <w:color w:val="000000"/>
        </w:rPr>
        <w:t>充分运用优越的电子、通信技术，确保系统具有较长的生命周期，成为技术优越、信息顺畅、安全稳定的电子信息分系统。</w:t>
      </w:r>
    </w:p>
    <w:p>
      <w:pPr>
        <w:pStyle w:val="null3"/>
        <w:ind w:firstLine="420"/>
        <w:jc w:val="both"/>
      </w:pPr>
      <w:r>
        <w:rPr>
          <w:sz w:val="21"/>
          <w:color w:val="000000"/>
        </w:rPr>
        <w:t>2</w:t>
      </w:r>
      <w:r>
        <w:rPr>
          <w:sz w:val="21"/>
          <w:color w:val="000000"/>
        </w:rPr>
        <w:t>）兼容性</w:t>
      </w:r>
    </w:p>
    <w:p>
      <w:pPr>
        <w:pStyle w:val="null3"/>
        <w:ind w:firstLine="420"/>
        <w:jc w:val="both"/>
      </w:pPr>
      <w:r>
        <w:rPr>
          <w:sz w:val="21"/>
          <w:color w:val="000000"/>
        </w:rPr>
        <w:t>统一标准，相互兼容。应急电子信息分系统建设所采用的技术体系及标准，与国家标准、行业标准和其他相关标准相一致，实现与现有应急指挥系统相互兼容、互连互通的要求。</w:t>
      </w:r>
    </w:p>
    <w:p>
      <w:pPr>
        <w:pStyle w:val="null3"/>
        <w:ind w:firstLine="420"/>
        <w:jc w:val="both"/>
      </w:pPr>
      <w:r>
        <w:rPr>
          <w:sz w:val="21"/>
          <w:color w:val="000000"/>
        </w:rPr>
        <w:t>3</w:t>
      </w:r>
      <w:r>
        <w:rPr>
          <w:sz w:val="21"/>
          <w:color w:val="000000"/>
        </w:rPr>
        <w:t>）可扩充性</w:t>
      </w:r>
    </w:p>
    <w:p>
      <w:pPr>
        <w:pStyle w:val="null3"/>
        <w:ind w:firstLine="420"/>
        <w:jc w:val="both"/>
      </w:pPr>
      <w:r>
        <w:rPr>
          <w:sz w:val="21"/>
          <w:color w:val="000000"/>
        </w:rPr>
        <w:t>系统具有较强的扩展和升级能力，提供多种扩展接口并预留设备安装空间，作为设备升级和扩展的基础。</w:t>
      </w:r>
    </w:p>
    <w:p>
      <w:pPr>
        <w:pStyle w:val="null3"/>
        <w:ind w:firstLine="420"/>
        <w:jc w:val="both"/>
      </w:pPr>
      <w:r>
        <w:rPr>
          <w:sz w:val="21"/>
          <w:color w:val="000000"/>
        </w:rPr>
        <w:t>4</w:t>
      </w:r>
      <w:r>
        <w:rPr>
          <w:sz w:val="21"/>
          <w:color w:val="000000"/>
        </w:rPr>
        <w:t>）经济性</w:t>
      </w:r>
    </w:p>
    <w:p>
      <w:pPr>
        <w:pStyle w:val="null3"/>
        <w:ind w:firstLine="420"/>
        <w:jc w:val="both"/>
      </w:pPr>
      <w:r>
        <w:rPr>
          <w:sz w:val="21"/>
          <w:color w:val="000000"/>
        </w:rPr>
        <w:t>系统设计遵循效益最大化的原则，充分考虑硬件、软件以及其它资源的合理配置，达到最佳的系统性价比。</w:t>
      </w:r>
    </w:p>
    <w:p>
      <w:pPr>
        <w:pStyle w:val="null3"/>
        <w:ind w:firstLine="420"/>
        <w:jc w:val="both"/>
      </w:pPr>
      <w:r>
        <w:rPr>
          <w:sz w:val="21"/>
          <w:color w:val="000000"/>
        </w:rPr>
        <w:t>5</w:t>
      </w:r>
      <w:r>
        <w:rPr>
          <w:sz w:val="21"/>
          <w:color w:val="000000"/>
        </w:rPr>
        <w:t>）可靠性</w:t>
      </w:r>
    </w:p>
    <w:p>
      <w:pPr>
        <w:pStyle w:val="null3"/>
        <w:ind w:firstLine="420"/>
        <w:jc w:val="both"/>
      </w:pPr>
      <w:r>
        <w:rPr>
          <w:sz w:val="21"/>
          <w:color w:val="000000"/>
        </w:rPr>
        <w:t>系统设计充分考虑可靠性，系统关键设备采用冗余设计，提高系统的容错能力，保证系统正常运行。</w:t>
      </w:r>
    </w:p>
    <w:p>
      <w:pPr>
        <w:pStyle w:val="null3"/>
        <w:ind w:firstLine="420"/>
        <w:jc w:val="both"/>
      </w:pPr>
      <w:r>
        <w:rPr>
          <w:sz w:val="21"/>
          <w:color w:val="000000"/>
        </w:rPr>
        <w:t>6</w:t>
      </w:r>
      <w:r>
        <w:rPr>
          <w:sz w:val="21"/>
          <w:color w:val="000000"/>
        </w:rPr>
        <w:t>）安全性</w:t>
      </w:r>
    </w:p>
    <w:p>
      <w:pPr>
        <w:pStyle w:val="null3"/>
        <w:ind w:firstLine="420"/>
        <w:jc w:val="both"/>
      </w:pPr>
      <w:r>
        <w:rPr>
          <w:sz w:val="21"/>
          <w:color w:val="000000"/>
        </w:rPr>
        <w:t>系统设计充分考虑安全性，在供电和环境监控方面采取有效措施，提供较好的电气安全和环境安全。</w:t>
      </w:r>
    </w:p>
    <w:p>
      <w:pPr>
        <w:pStyle w:val="null3"/>
        <w:ind w:firstLine="420"/>
        <w:jc w:val="both"/>
      </w:pPr>
      <w:r>
        <w:rPr>
          <w:sz w:val="21"/>
          <w:color w:val="000000"/>
        </w:rPr>
        <w:t>7</w:t>
      </w:r>
      <w:r>
        <w:rPr>
          <w:sz w:val="21"/>
          <w:color w:val="000000"/>
        </w:rPr>
        <w:t>）可维护性</w:t>
      </w:r>
    </w:p>
    <w:p>
      <w:pPr>
        <w:pStyle w:val="null3"/>
        <w:ind w:firstLine="420"/>
        <w:jc w:val="both"/>
      </w:pPr>
      <w:r>
        <w:rPr>
          <w:sz w:val="21"/>
          <w:color w:val="000000"/>
        </w:rPr>
        <w:t>系统设计提供简单、直观、方便的维护和管理手段，尽量减少维护和管理环节。</w:t>
      </w:r>
    </w:p>
    <w:p>
      <w:pPr>
        <w:pStyle w:val="null3"/>
        <w:ind w:firstLine="420"/>
        <w:jc w:val="both"/>
      </w:pPr>
      <w:r>
        <w:rPr>
          <w:sz w:val="21"/>
          <w:color w:val="000000"/>
        </w:rPr>
        <w:t xml:space="preserve">1.4 </w:t>
      </w:r>
      <w:r>
        <w:rPr>
          <w:sz w:val="21"/>
          <w:color w:val="000000"/>
        </w:rPr>
        <w:t>总体性能要求</w:t>
      </w:r>
    </w:p>
    <w:p>
      <w:pPr>
        <w:pStyle w:val="null3"/>
        <w:ind w:firstLine="420"/>
        <w:jc w:val="both"/>
      </w:pPr>
      <w:r>
        <w:rPr>
          <w:sz w:val="21"/>
          <w:color w:val="000000"/>
        </w:rPr>
        <w:t>1)</w:t>
      </w:r>
      <w:r>
        <w:rPr>
          <w:sz w:val="21"/>
          <w:color w:val="000000"/>
        </w:rPr>
        <w:t>开设与撤收时间</w:t>
      </w:r>
    </w:p>
    <w:p>
      <w:pPr>
        <w:pStyle w:val="null3"/>
        <w:ind w:firstLine="420"/>
        <w:jc w:val="both"/>
      </w:pPr>
      <w:r>
        <w:rPr>
          <w:sz w:val="21"/>
          <w:color w:val="000000"/>
        </w:rPr>
        <w:t>环境温度在0℃～35℃时，由1-2人操作，应急特种专业技术车开设时间不大于10min，撤收时间不大于5min。</w:t>
      </w:r>
    </w:p>
    <w:p>
      <w:pPr>
        <w:pStyle w:val="null3"/>
        <w:ind w:firstLine="420"/>
        <w:jc w:val="both"/>
      </w:pPr>
      <w:r>
        <w:rPr>
          <w:sz w:val="21"/>
          <w:color w:val="000000"/>
        </w:rPr>
        <w:t>2)</w:t>
      </w:r>
      <w:r>
        <w:rPr>
          <w:sz w:val="21"/>
          <w:color w:val="000000"/>
        </w:rPr>
        <w:t>机动能力</w:t>
      </w:r>
    </w:p>
    <w:p>
      <w:pPr>
        <w:pStyle w:val="null3"/>
        <w:ind w:firstLine="420"/>
        <w:jc w:val="both"/>
      </w:pPr>
      <w:r>
        <w:rPr>
          <w:sz w:val="21"/>
          <w:color w:val="000000"/>
        </w:rPr>
        <w:t>公路运输不超限，系统集成后能通过公路涵洞，不改变原车的技术性能。同时，确保机动指挥通信平台的车速、转弯半径、爬坡度、制动距离、越壕宽度、接近角、离去角、涉水深度等技术指标应与原载车的相应指标相同或接近。车辆平均故障间隔里程≥10000km。</w:t>
      </w:r>
    </w:p>
    <w:p>
      <w:pPr>
        <w:pStyle w:val="null3"/>
        <w:ind w:firstLine="420"/>
        <w:jc w:val="both"/>
      </w:pPr>
      <w:r>
        <w:rPr>
          <w:sz w:val="21"/>
          <w:color w:val="000000"/>
        </w:rPr>
        <w:t>3)</w:t>
      </w:r>
      <w:r>
        <w:rPr>
          <w:sz w:val="21"/>
          <w:color w:val="000000"/>
        </w:rPr>
        <w:t>环境适应性</w:t>
      </w:r>
    </w:p>
    <w:p>
      <w:pPr>
        <w:pStyle w:val="null3"/>
        <w:ind w:firstLine="420"/>
        <w:jc w:val="both"/>
      </w:pPr>
      <w:r>
        <w:rPr>
          <w:sz w:val="21"/>
          <w:color w:val="000000"/>
        </w:rPr>
        <w:t>空气相对湿度不大于95%（25℃时）；</w:t>
      </w:r>
    </w:p>
    <w:p>
      <w:pPr>
        <w:pStyle w:val="null3"/>
        <w:ind w:firstLine="420"/>
        <w:jc w:val="both"/>
      </w:pPr>
      <w:r>
        <w:rPr>
          <w:sz w:val="21"/>
          <w:color w:val="000000"/>
        </w:rPr>
        <w:t>贮存温度：-45℃～55℃。</w:t>
      </w:r>
    </w:p>
    <w:p>
      <w:pPr>
        <w:pStyle w:val="null3"/>
        <w:ind w:firstLine="420"/>
        <w:jc w:val="both"/>
      </w:pPr>
      <w:r>
        <w:rPr>
          <w:sz w:val="21"/>
          <w:color w:val="000000"/>
        </w:rPr>
        <w:t>在稳定风速为21m/s的环境条件下应能正常工作，在稳定风速为32m/s的环境条件下不应损坏。</w:t>
      </w:r>
    </w:p>
    <w:p>
      <w:pPr>
        <w:pStyle w:val="null3"/>
        <w:ind w:firstLine="420"/>
        <w:jc w:val="both"/>
      </w:pPr>
      <w:r>
        <w:rPr>
          <w:sz w:val="21"/>
          <w:color w:val="000000"/>
        </w:rPr>
        <w:t>4)</w:t>
      </w:r>
      <w:r>
        <w:rPr>
          <w:sz w:val="21"/>
          <w:color w:val="000000"/>
        </w:rPr>
        <w:t>可靠性</w:t>
      </w:r>
    </w:p>
    <w:p>
      <w:pPr>
        <w:pStyle w:val="null3"/>
        <w:ind w:firstLine="420"/>
        <w:jc w:val="both"/>
      </w:pPr>
      <w:r>
        <w:rPr>
          <w:sz w:val="21"/>
          <w:color w:val="000000"/>
        </w:rPr>
        <w:t>系统设计生命周期≥15年，扩展和撤收系统平均故障间隔次数≥500次，平均故障维修时间MTTR≤0.5小时，系统可用度≥92%。</w:t>
      </w:r>
    </w:p>
    <w:p>
      <w:pPr>
        <w:pStyle w:val="null3"/>
        <w:ind w:firstLine="420"/>
        <w:jc w:val="both"/>
      </w:pPr>
      <w:r>
        <w:rPr>
          <w:sz w:val="21"/>
          <w:color w:val="000000"/>
        </w:rPr>
        <w:t>5)</w:t>
      </w:r>
      <w:r>
        <w:rPr>
          <w:sz w:val="21"/>
          <w:color w:val="000000"/>
        </w:rPr>
        <w:t>电磁兼容</w:t>
      </w:r>
    </w:p>
    <w:p>
      <w:pPr>
        <w:pStyle w:val="null3"/>
        <w:ind w:firstLine="420"/>
        <w:jc w:val="both"/>
      </w:pPr>
      <w:r>
        <w:rPr>
          <w:sz w:val="21"/>
          <w:color w:val="000000"/>
        </w:rPr>
        <w:t>系统应满足国军标电磁兼容性要求。</w:t>
      </w:r>
    </w:p>
    <w:p>
      <w:pPr>
        <w:pStyle w:val="null3"/>
        <w:ind w:firstLine="420"/>
        <w:jc w:val="both"/>
      </w:pPr>
      <w:r>
        <w:rPr>
          <w:sz w:val="21"/>
          <w:color w:val="000000"/>
        </w:rPr>
        <w:t xml:space="preserve">1.5 </w:t>
      </w:r>
      <w:r>
        <w:rPr>
          <w:sz w:val="21"/>
          <w:color w:val="000000"/>
        </w:rPr>
        <w:t>设计标准与规范</w:t>
      </w:r>
    </w:p>
    <w:p>
      <w:pPr>
        <w:pStyle w:val="null3"/>
        <w:ind w:firstLine="420"/>
        <w:jc w:val="both"/>
      </w:pPr>
      <w:r>
        <w:rPr>
          <w:sz w:val="21"/>
          <w:color w:val="000000"/>
        </w:rPr>
        <w:t>系统的设计与建设应遵循下列标准和规范：</w:t>
      </w:r>
    </w:p>
    <w:p>
      <w:pPr>
        <w:pStyle w:val="null3"/>
        <w:ind w:firstLine="420"/>
        <w:jc w:val="both"/>
      </w:pPr>
      <w:r>
        <w:rPr>
          <w:sz w:val="21"/>
          <w:color w:val="000000"/>
        </w:rPr>
        <w:t>1</w:t>
      </w:r>
      <w:r>
        <w:rPr>
          <w:sz w:val="21"/>
          <w:color w:val="000000"/>
        </w:rPr>
        <w:t>）国军标</w:t>
      </w:r>
    </w:p>
    <w:p>
      <w:pPr>
        <w:pStyle w:val="null3"/>
        <w:ind w:firstLine="420"/>
        <w:jc w:val="both"/>
      </w:pPr>
      <w:r>
        <w:rPr>
          <w:sz w:val="21"/>
          <w:color w:val="000000"/>
        </w:rPr>
        <w:t xml:space="preserve">GJB 100-1986      </w:t>
      </w:r>
      <w:r>
        <w:rPr>
          <w:sz w:val="21"/>
          <w:color w:val="000000"/>
        </w:rPr>
        <w:t>《面板、机架、和机柜的基本尺寸系列》</w:t>
      </w:r>
    </w:p>
    <w:p>
      <w:pPr>
        <w:pStyle w:val="null3"/>
        <w:ind w:firstLine="420"/>
        <w:jc w:val="both"/>
      </w:pPr>
      <w:r>
        <w:rPr>
          <w:sz w:val="21"/>
          <w:color w:val="000000"/>
        </w:rPr>
        <w:t xml:space="preserve">GJB 219B-2005     </w:t>
      </w:r>
      <w:r>
        <w:rPr>
          <w:sz w:val="21"/>
          <w:color w:val="000000"/>
        </w:rPr>
        <w:t>《军用通信车通用规范》</w:t>
      </w:r>
    </w:p>
    <w:p>
      <w:pPr>
        <w:pStyle w:val="null3"/>
        <w:ind w:firstLine="420"/>
        <w:jc w:val="both"/>
      </w:pPr>
      <w:r>
        <w:rPr>
          <w:sz w:val="21"/>
          <w:color w:val="000000"/>
        </w:rPr>
        <w:t xml:space="preserve">GJB 367A-2001     </w:t>
      </w:r>
      <w:r>
        <w:rPr>
          <w:sz w:val="21"/>
          <w:color w:val="000000"/>
        </w:rPr>
        <w:t>《军用通信设备通用规范》</w:t>
      </w:r>
    </w:p>
    <w:p>
      <w:pPr>
        <w:pStyle w:val="null3"/>
        <w:ind w:firstLine="420"/>
        <w:jc w:val="both"/>
      </w:pPr>
      <w:r>
        <w:rPr>
          <w:sz w:val="21"/>
          <w:color w:val="000000"/>
        </w:rPr>
        <w:t xml:space="preserve">GJB 663-2012      </w:t>
      </w:r>
      <w:r>
        <w:rPr>
          <w:sz w:val="21"/>
          <w:color w:val="000000"/>
        </w:rPr>
        <w:t>《军用通信设备系统安全要求》</w:t>
      </w:r>
    </w:p>
    <w:p>
      <w:pPr>
        <w:pStyle w:val="null3"/>
        <w:ind w:firstLine="420"/>
        <w:jc w:val="both"/>
      </w:pPr>
      <w:r>
        <w:rPr>
          <w:sz w:val="21"/>
          <w:color w:val="000000"/>
        </w:rPr>
        <w:t xml:space="preserve">GJB 2873-1997     </w:t>
      </w:r>
      <w:r>
        <w:rPr>
          <w:sz w:val="21"/>
          <w:color w:val="000000"/>
        </w:rPr>
        <w:t>《军事装备和设施的人机工程设计准则》</w:t>
      </w:r>
    </w:p>
    <w:p>
      <w:pPr>
        <w:pStyle w:val="null3"/>
        <w:ind w:firstLine="420"/>
        <w:jc w:val="both"/>
      </w:pPr>
      <w:r>
        <w:rPr>
          <w:sz w:val="21"/>
          <w:color w:val="000000"/>
        </w:rPr>
        <w:t xml:space="preserve">GJB 4752-1997     </w:t>
      </w:r>
      <w:r>
        <w:rPr>
          <w:sz w:val="21"/>
          <w:color w:val="000000"/>
        </w:rPr>
        <w:t>《军用通信车通用接口要求》</w:t>
      </w:r>
    </w:p>
    <w:p>
      <w:pPr>
        <w:pStyle w:val="null3"/>
        <w:ind w:firstLine="420"/>
        <w:jc w:val="both"/>
      </w:pPr>
      <w:r>
        <w:rPr>
          <w:sz w:val="21"/>
          <w:color w:val="000000"/>
        </w:rPr>
        <w:t>2)</w:t>
      </w:r>
      <w:r>
        <w:rPr>
          <w:sz w:val="21"/>
          <w:color w:val="000000"/>
        </w:rPr>
        <w:t>国家标准</w:t>
      </w:r>
    </w:p>
    <w:p>
      <w:pPr>
        <w:pStyle w:val="null3"/>
        <w:ind w:firstLine="420"/>
        <w:jc w:val="both"/>
      </w:pPr>
      <w:r>
        <w:rPr>
          <w:sz w:val="21"/>
          <w:color w:val="000000"/>
        </w:rPr>
        <w:t xml:space="preserve">GB 1589-2016      </w:t>
      </w:r>
      <w:r>
        <w:rPr>
          <w:sz w:val="21"/>
          <w:color w:val="000000"/>
        </w:rPr>
        <w:t xml:space="preserve">《汽车、挂车及汽车列车外廓尺寸、 轴荷及质量限值》 </w:t>
      </w:r>
    </w:p>
    <w:p>
      <w:pPr>
        <w:pStyle w:val="null3"/>
        <w:ind w:firstLine="420"/>
        <w:jc w:val="both"/>
      </w:pPr>
      <w:r>
        <w:rPr>
          <w:sz w:val="21"/>
          <w:color w:val="000000"/>
        </w:rPr>
        <w:t xml:space="preserve">GB 7258-2020      </w:t>
      </w:r>
      <w:r>
        <w:rPr>
          <w:sz w:val="21"/>
          <w:color w:val="000000"/>
        </w:rPr>
        <w:t>《机动车运行安全技术条件》</w:t>
      </w:r>
    </w:p>
    <w:p>
      <w:pPr>
        <w:pStyle w:val="null3"/>
        <w:ind w:firstLine="420"/>
        <w:jc w:val="both"/>
      </w:pPr>
      <w:r>
        <w:rPr>
          <w:sz w:val="21"/>
          <w:color w:val="000000"/>
        </w:rPr>
        <w:t xml:space="preserve">GB/T 10000-2023   </w:t>
      </w:r>
      <w:r>
        <w:rPr>
          <w:sz w:val="21"/>
          <w:color w:val="000000"/>
        </w:rPr>
        <w:t>《中国成年人人体尺寸》</w:t>
      </w:r>
    </w:p>
    <w:p>
      <w:pPr>
        <w:pStyle w:val="null3"/>
        <w:ind w:firstLine="420"/>
        <w:jc w:val="both"/>
      </w:pPr>
      <w:r>
        <w:rPr>
          <w:sz w:val="21"/>
          <w:color w:val="000000"/>
        </w:rPr>
        <w:t xml:space="preserve">GB 50325-2020     </w:t>
      </w:r>
      <w:r>
        <w:rPr>
          <w:sz w:val="21"/>
          <w:color w:val="000000"/>
        </w:rPr>
        <w:t>《车内装饰环保标准》</w:t>
      </w:r>
    </w:p>
    <w:p>
      <w:pPr>
        <w:pStyle w:val="null3"/>
        <w:ind w:firstLine="420"/>
        <w:jc w:val="both"/>
      </w:pPr>
      <w:r>
        <w:rPr>
          <w:sz w:val="21"/>
          <w:color w:val="000000"/>
        </w:rPr>
        <w:t xml:space="preserve">GB/T 12538-2023   </w:t>
      </w:r>
      <w:r>
        <w:rPr>
          <w:sz w:val="21"/>
          <w:color w:val="000000"/>
        </w:rPr>
        <w:t>《道路车辆质心位置的测定》</w:t>
      </w:r>
    </w:p>
    <w:p>
      <w:pPr>
        <w:pStyle w:val="null3"/>
        <w:ind w:firstLine="420"/>
        <w:jc w:val="both"/>
      </w:pPr>
      <w:r>
        <w:rPr>
          <w:sz w:val="21"/>
          <w:color w:val="000000"/>
        </w:rPr>
        <w:t xml:space="preserve">GB/T 12673-2019   </w:t>
      </w:r>
      <w:r>
        <w:rPr>
          <w:sz w:val="21"/>
          <w:color w:val="000000"/>
        </w:rPr>
        <w:t>《汽车主要尺寸测量方法》</w:t>
      </w:r>
    </w:p>
    <w:p>
      <w:pPr>
        <w:pStyle w:val="null3"/>
        <w:ind w:firstLine="420"/>
        <w:jc w:val="both"/>
      </w:pPr>
      <w:r>
        <w:rPr>
          <w:sz w:val="21"/>
          <w:color w:val="000000"/>
        </w:rPr>
        <w:t xml:space="preserve">GB/T 12674-2024   </w:t>
      </w:r>
      <w:r>
        <w:rPr>
          <w:sz w:val="21"/>
          <w:color w:val="000000"/>
        </w:rPr>
        <w:t>《汽车质量（重量）参数测定方法》</w:t>
      </w:r>
    </w:p>
    <w:p>
      <w:pPr>
        <w:pStyle w:val="null3"/>
        <w:ind w:firstLine="420"/>
        <w:jc w:val="both"/>
      </w:pPr>
      <w:r>
        <w:rPr>
          <w:sz w:val="21"/>
          <w:color w:val="000000"/>
        </w:rPr>
        <w:t xml:space="preserve">GB/T 12679-1990   </w:t>
      </w:r>
      <w:r>
        <w:rPr>
          <w:sz w:val="21"/>
          <w:color w:val="000000"/>
        </w:rPr>
        <w:t>《汽车耐久性行驶试验方法》</w:t>
      </w:r>
    </w:p>
    <w:p>
      <w:pPr>
        <w:pStyle w:val="null3"/>
        <w:ind w:firstLine="420"/>
        <w:jc w:val="both"/>
      </w:pPr>
      <w:r>
        <w:rPr>
          <w:sz w:val="21"/>
          <w:color w:val="000000"/>
        </w:rPr>
        <w:t xml:space="preserve">GB 50169-2016     </w:t>
      </w:r>
      <w:r>
        <w:rPr>
          <w:sz w:val="21"/>
          <w:color w:val="000000"/>
        </w:rPr>
        <w:t>《电气装置安装工程接地装置施工及验收规范》</w:t>
      </w:r>
    </w:p>
    <w:p>
      <w:pPr>
        <w:pStyle w:val="null3"/>
        <w:ind w:firstLine="420"/>
        <w:jc w:val="both"/>
      </w:pPr>
      <w:r>
        <w:rPr>
          <w:sz w:val="21"/>
          <w:color w:val="000000"/>
        </w:rPr>
        <w:t xml:space="preserve">GB/T 22239-2019   </w:t>
      </w:r>
      <w:r>
        <w:rPr>
          <w:sz w:val="21"/>
          <w:color w:val="000000"/>
        </w:rPr>
        <w:t>《信息系统安全等级保护基本要求》</w:t>
      </w:r>
    </w:p>
    <w:p>
      <w:pPr>
        <w:pStyle w:val="null3"/>
        <w:ind w:firstLine="420"/>
        <w:jc w:val="both"/>
      </w:pPr>
      <w:r>
        <w:rPr>
          <w:sz w:val="21"/>
          <w:color w:val="000000"/>
        </w:rPr>
        <w:t xml:space="preserve">GB 4943.1-2022     </w:t>
      </w:r>
      <w:r>
        <w:rPr>
          <w:sz w:val="21"/>
          <w:color w:val="000000"/>
        </w:rPr>
        <w:t>《音视频、信息技术和通信技术设备 第1部分：安全要求》</w:t>
      </w:r>
    </w:p>
    <w:p>
      <w:pPr>
        <w:pStyle w:val="null3"/>
        <w:ind w:firstLine="420"/>
        <w:jc w:val="both"/>
      </w:pPr>
      <w:r>
        <w:rPr>
          <w:sz w:val="21"/>
          <w:color w:val="000000"/>
        </w:rPr>
        <w:t xml:space="preserve">GA/T669.1-2023    </w:t>
      </w:r>
      <w:r>
        <w:rPr>
          <w:sz w:val="21"/>
          <w:color w:val="000000"/>
        </w:rPr>
        <w:t>《城市监控报警联网系统技术标准》</w:t>
      </w:r>
    </w:p>
    <w:p>
      <w:pPr>
        <w:pStyle w:val="null3"/>
        <w:ind w:firstLine="420"/>
        <w:jc w:val="both"/>
      </w:pPr>
      <w:r>
        <w:rPr>
          <w:sz w:val="21"/>
          <w:color w:val="000000"/>
        </w:rPr>
        <w:t xml:space="preserve">GB 50464-2008     </w:t>
      </w:r>
      <w:r>
        <w:rPr>
          <w:sz w:val="21"/>
          <w:color w:val="000000"/>
        </w:rPr>
        <w:t>《视频显示系统工程技术规范》</w:t>
      </w:r>
    </w:p>
    <w:p>
      <w:pPr>
        <w:pStyle w:val="null3"/>
        <w:ind w:firstLine="420"/>
        <w:jc w:val="both"/>
      </w:pPr>
      <w:r>
        <w:rPr>
          <w:sz w:val="21"/>
          <w:color w:val="000000"/>
        </w:rPr>
        <w:t xml:space="preserve">GB/T 28181-2022 </w:t>
      </w:r>
      <w:r>
        <w:rPr>
          <w:sz w:val="21"/>
          <w:color w:val="000000"/>
        </w:rPr>
        <w:t>《公共安全视频监控联网系统信息传输、交换、控制技术要求》</w:t>
      </w:r>
    </w:p>
    <w:p>
      <w:pPr>
        <w:pStyle w:val="null3"/>
        <w:ind w:firstLine="420"/>
        <w:jc w:val="both"/>
      </w:pPr>
      <w:r>
        <w:rPr>
          <w:sz w:val="21"/>
          <w:color w:val="000000"/>
        </w:rPr>
        <w:t>3</w:t>
      </w:r>
      <w:r>
        <w:rPr>
          <w:sz w:val="21"/>
          <w:color w:val="000000"/>
        </w:rPr>
        <w:t>）行业标准与政策文件</w:t>
      </w:r>
    </w:p>
    <w:p>
      <w:pPr>
        <w:pStyle w:val="null3"/>
        <w:ind w:firstLine="420"/>
        <w:jc w:val="both"/>
      </w:pPr>
      <w:r>
        <w:rPr>
          <w:sz w:val="21"/>
          <w:color w:val="000000"/>
        </w:rPr>
        <w:t>《“十四五”国家应急体系规划》（国发〔2021〕36号）；</w:t>
      </w:r>
    </w:p>
    <w:p>
      <w:pPr>
        <w:pStyle w:val="null3"/>
        <w:ind w:firstLine="420"/>
        <w:jc w:val="both"/>
      </w:pPr>
      <w:r>
        <w:rPr>
          <w:sz w:val="21"/>
          <w:color w:val="000000"/>
        </w:rPr>
        <w:t>《“十四五”国家综合防灾减灾规划》（国减发〔2022〕1号）；</w:t>
      </w:r>
    </w:p>
    <w:p>
      <w:pPr>
        <w:pStyle w:val="null3"/>
        <w:ind w:firstLine="420"/>
        <w:jc w:val="both"/>
      </w:pPr>
      <w:r>
        <w:rPr>
          <w:sz w:val="21"/>
          <w:color w:val="000000"/>
        </w:rPr>
        <w:t>《“十四五”应急救援力量建设规划》（应急〔2022〕61号）；</w:t>
      </w:r>
    </w:p>
    <w:p>
      <w:pPr>
        <w:pStyle w:val="null3"/>
        <w:ind w:firstLine="420"/>
        <w:jc w:val="both"/>
      </w:pPr>
      <w:r>
        <w:rPr>
          <w:sz w:val="21"/>
          <w:color w:val="000000"/>
        </w:rPr>
        <w:t>《“十四五”智慧应急规划》；</w:t>
      </w:r>
    </w:p>
    <w:p>
      <w:pPr>
        <w:pStyle w:val="null3"/>
        <w:ind w:firstLine="420"/>
        <w:jc w:val="both"/>
      </w:pPr>
      <w:r>
        <w:rPr>
          <w:sz w:val="21"/>
          <w:color w:val="000000"/>
        </w:rPr>
        <w:t>《“十四五”应急卫星与业务发展规划》；</w:t>
      </w:r>
    </w:p>
    <w:p>
      <w:pPr>
        <w:pStyle w:val="null3"/>
        <w:ind w:firstLine="420"/>
        <w:jc w:val="both"/>
      </w:pPr>
      <w:r>
        <w:rPr>
          <w:sz w:val="21"/>
          <w:color w:val="000000"/>
        </w:rPr>
        <w:t>《“十四五”应急管理装备发展规划》。</w:t>
      </w:r>
    </w:p>
    <w:p>
      <w:pPr>
        <w:pStyle w:val="null3"/>
        <w:ind w:firstLine="420"/>
        <w:jc w:val="both"/>
      </w:pPr>
      <w:r>
        <w:rPr>
          <w:sz w:val="21"/>
          <w:color w:val="000000"/>
        </w:rPr>
        <w:t>《广东省应急管理“十四五”规划》（粤府〔2021〕67号）；</w:t>
      </w:r>
    </w:p>
    <w:p>
      <w:pPr>
        <w:pStyle w:val="null3"/>
        <w:ind w:firstLine="420"/>
        <w:jc w:val="both"/>
      </w:pPr>
      <w:r>
        <w:rPr>
          <w:sz w:val="21"/>
          <w:color w:val="000000"/>
        </w:rPr>
        <w:t>《广东省应急管理厅关于印发广东省“智慧应急”规划（2023-2025年）的通知》（粤应急〔2023〕61号）；</w:t>
      </w:r>
    </w:p>
    <w:p>
      <w:pPr>
        <w:pStyle w:val="null3"/>
        <w:ind w:firstLine="420"/>
        <w:jc w:val="both"/>
      </w:pPr>
      <w:r>
        <w:rPr>
          <w:sz w:val="21"/>
          <w:color w:val="000000"/>
        </w:rPr>
        <w:t>2.</w:t>
      </w:r>
      <w:r>
        <w:rPr>
          <w:sz w:val="21"/>
          <w:color w:val="000000"/>
        </w:rPr>
        <w:t>系统功能与组成</w:t>
      </w:r>
    </w:p>
    <w:p>
      <w:pPr>
        <w:pStyle w:val="null3"/>
        <w:ind w:firstLine="420"/>
        <w:jc w:val="both"/>
      </w:pPr>
      <w:r>
        <w:rPr>
          <w:sz w:val="21"/>
          <w:color w:val="000000"/>
        </w:rPr>
        <w:t xml:space="preserve">2.1 </w:t>
      </w:r>
      <w:r>
        <w:rPr>
          <w:sz w:val="21"/>
          <w:color w:val="000000"/>
        </w:rPr>
        <w:t>系统功能</w:t>
      </w:r>
    </w:p>
    <w:p>
      <w:pPr>
        <w:pStyle w:val="null3"/>
        <w:ind w:firstLine="420"/>
        <w:jc w:val="both"/>
      </w:pPr>
      <w:r>
        <w:rPr>
          <w:sz w:val="21"/>
          <w:color w:val="000000"/>
        </w:rPr>
        <w:t>特种专业技术用车是应急、抗灾救灾现场的通信保障中心，它应具备相对完善的信息采集、信息处理、通信保障、综合保障等功能，具体包括：</w:t>
      </w:r>
    </w:p>
    <w:p>
      <w:pPr>
        <w:pStyle w:val="null3"/>
        <w:ind w:firstLine="420"/>
        <w:jc w:val="both"/>
      </w:pPr>
      <w:r>
        <w:rPr>
          <w:sz w:val="21"/>
          <w:color w:val="000000"/>
        </w:rPr>
        <w:t>1</w:t>
      </w:r>
      <w:r>
        <w:rPr>
          <w:sz w:val="21"/>
          <w:color w:val="000000"/>
        </w:rPr>
        <w:t>）信息采集/传输功能</w:t>
      </w:r>
    </w:p>
    <w:p>
      <w:pPr>
        <w:pStyle w:val="null3"/>
        <w:ind w:firstLine="420"/>
        <w:jc w:val="both"/>
      </w:pPr>
      <w:r>
        <w:rPr>
          <w:sz w:val="21"/>
          <w:color w:val="000000"/>
        </w:rPr>
        <w:t>系统通过摄像机车外等音视频采集设备实时采集现场的信息，实现信息的采集、传输等功能，并可与应急指挥中心建立音视频连接，为领导决策和救灾提供信息支持。</w:t>
      </w:r>
    </w:p>
    <w:p>
      <w:pPr>
        <w:pStyle w:val="null3"/>
        <w:ind w:firstLine="420"/>
        <w:jc w:val="both"/>
      </w:pPr>
      <w:r>
        <w:rPr>
          <w:sz w:val="21"/>
          <w:color w:val="000000"/>
        </w:rPr>
        <w:t>2</w:t>
      </w:r>
      <w:r>
        <w:rPr>
          <w:sz w:val="21"/>
          <w:color w:val="000000"/>
        </w:rPr>
        <w:t>）综合信息处理功能</w:t>
      </w:r>
    </w:p>
    <w:p>
      <w:pPr>
        <w:pStyle w:val="null3"/>
        <w:ind w:firstLine="420"/>
        <w:jc w:val="both"/>
      </w:pPr>
      <w:r>
        <w:rPr>
          <w:sz w:val="21"/>
          <w:color w:val="000000"/>
        </w:rPr>
        <w:t>系统采集的音视频信息能够接收、处理、发送各种文电信息，能够及时准确地将各种信息传送给后方指挥中心，提高抗灾救灾应急指挥的工作效率。</w:t>
      </w:r>
    </w:p>
    <w:p>
      <w:pPr>
        <w:pStyle w:val="null3"/>
        <w:ind w:firstLine="420"/>
        <w:jc w:val="both"/>
      </w:pPr>
      <w:r>
        <w:rPr>
          <w:sz w:val="21"/>
          <w:color w:val="000000"/>
        </w:rPr>
        <w:t>3</w:t>
      </w:r>
      <w:r>
        <w:rPr>
          <w:sz w:val="21"/>
          <w:color w:val="000000"/>
        </w:rPr>
        <w:t>）通信功能</w:t>
      </w:r>
    </w:p>
    <w:p>
      <w:pPr>
        <w:pStyle w:val="null3"/>
        <w:ind w:firstLine="420"/>
        <w:jc w:val="both"/>
      </w:pPr>
      <w:r>
        <w:rPr>
          <w:sz w:val="21"/>
          <w:color w:val="000000"/>
        </w:rPr>
        <w:t>远程通信</w:t>
      </w:r>
    </w:p>
    <w:p>
      <w:pPr>
        <w:pStyle w:val="null3"/>
        <w:ind w:firstLine="420"/>
        <w:jc w:val="both"/>
      </w:pPr>
      <w:r>
        <w:rPr>
          <w:sz w:val="21"/>
          <w:color w:val="000000"/>
        </w:rPr>
        <w:t>系统提供基于公网5G链路和天通卫星通信手段和路由，实现实时图像、声音、数据通信，指挥和部署现场各种救援力量，动态监控现场情况，确保对现场实施指挥调度。</w:t>
      </w:r>
    </w:p>
    <w:p>
      <w:pPr>
        <w:pStyle w:val="null3"/>
        <w:ind w:firstLine="420"/>
        <w:jc w:val="both"/>
      </w:pPr>
      <w:r>
        <w:rPr>
          <w:sz w:val="21"/>
          <w:color w:val="000000"/>
        </w:rPr>
        <w:t>互联互通</w:t>
      </w:r>
    </w:p>
    <w:p>
      <w:pPr>
        <w:pStyle w:val="null3"/>
        <w:ind w:firstLine="420"/>
        <w:jc w:val="both"/>
      </w:pPr>
      <w:r>
        <w:rPr>
          <w:sz w:val="21"/>
          <w:color w:val="000000"/>
        </w:rPr>
        <w:t>车能现场迅速展开，车与应急指挥中心之间，与周围固定网（包括公网和专网）之间都可以方便的通过有线、无线的方式互联互通，实现相互配套、功能互补，更加合理高效地发挥整个系统的作用。</w:t>
      </w:r>
    </w:p>
    <w:p>
      <w:pPr>
        <w:pStyle w:val="null3"/>
        <w:ind w:firstLine="420"/>
        <w:jc w:val="both"/>
      </w:pPr>
      <w:r>
        <w:rPr>
          <w:sz w:val="21"/>
          <w:color w:val="000000"/>
        </w:rPr>
        <w:t>4</w:t>
      </w:r>
      <w:r>
        <w:rPr>
          <w:sz w:val="21"/>
          <w:color w:val="000000"/>
        </w:rPr>
        <w:t>）显示控制</w:t>
      </w:r>
    </w:p>
    <w:p>
      <w:pPr>
        <w:pStyle w:val="null3"/>
        <w:ind w:firstLine="420"/>
        <w:jc w:val="both"/>
      </w:pPr>
      <w:r>
        <w:rPr>
          <w:sz w:val="21"/>
          <w:color w:val="000000"/>
        </w:rPr>
        <w:t>系统可实现车外摄像机的控制，实现不同角度图像、视频信息采集，并通过显示器展示。</w:t>
      </w:r>
    </w:p>
    <w:p>
      <w:pPr>
        <w:pStyle w:val="null3"/>
        <w:ind w:firstLine="420"/>
        <w:jc w:val="both"/>
      </w:pPr>
      <w:r>
        <w:rPr>
          <w:sz w:val="21"/>
          <w:color w:val="000000"/>
        </w:rPr>
        <w:t xml:space="preserve">2.2 </w:t>
      </w:r>
      <w:r>
        <w:rPr>
          <w:sz w:val="21"/>
          <w:color w:val="000000"/>
        </w:rPr>
        <w:t>系统组成</w:t>
      </w:r>
    </w:p>
    <w:p>
      <w:pPr>
        <w:pStyle w:val="null3"/>
        <w:ind w:firstLine="420"/>
        <w:jc w:val="both"/>
      </w:pPr>
      <w:r>
        <w:rPr>
          <w:sz w:val="21"/>
          <w:color w:val="000000"/>
        </w:rPr>
        <w:t>特种专业技术用车由装载平台分系统、电子信息分系统和综合保障分系统组成。</w:t>
      </w:r>
    </w:p>
    <w:p>
      <w:pPr>
        <w:pStyle w:val="null3"/>
        <w:ind w:firstLine="420"/>
        <w:jc w:val="both"/>
      </w:pPr>
      <w:r>
        <w:rPr>
          <w:sz w:val="21"/>
          <w:color w:val="000000"/>
        </w:rPr>
        <w:t>2.3</w:t>
      </w:r>
      <w:r>
        <w:rPr>
          <w:sz w:val="21"/>
          <w:color w:val="000000"/>
        </w:rPr>
        <w:t>设备配置清单</w:t>
      </w:r>
    </w:p>
    <w:tbl>
      <w:tblPr>
        <w:tblW w:w="0" w:type="auto"/>
        <w:tblBorders>
          <w:top w:val="single"/>
          <w:left w:val="single"/>
          <w:bottom w:val="single"/>
          <w:right w:val="single"/>
          <w:insideH w:val="single"/>
          <w:insideV w:val="single"/>
        </w:tblBorders>
      </w:tblPr>
      <w:tblGrid>
        <w:gridCol w:w="1661"/>
        <w:gridCol w:w="1661"/>
        <w:gridCol w:w="1661"/>
        <w:gridCol w:w="1323"/>
        <w:gridCol w:w="1999"/>
      </w:tblGrid>
      <w:tr>
        <w:tc>
          <w:tcPr>
            <w:tcW w:type="dxa" w:w="166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序号</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名称</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技术参数要求</w:t>
            </w:r>
          </w:p>
        </w:tc>
        <w:tc>
          <w:tcPr>
            <w:tcW w:type="dxa" w:w="13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数量</w:t>
            </w:r>
          </w:p>
        </w:tc>
        <w:tc>
          <w:tcPr>
            <w:tcW w:type="dxa" w:w="19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备注</w:t>
            </w:r>
          </w:p>
        </w:tc>
      </w:tr>
      <w:tr>
        <w:tc>
          <w:tcPr>
            <w:tcW w:type="dxa" w:w="1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16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车辆底盘</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shd w:fill="FFFFFF" w:val="clear"/>
              </w:rPr>
              <w:t>1</w:t>
            </w:r>
            <w:r>
              <w:rPr>
                <w:sz w:val="21"/>
                <w:color w:val="000000"/>
                <w:shd w:fill="FFFFFF" w:val="clear"/>
              </w:rPr>
              <w:t>、动力系统</w:t>
            </w:r>
            <w:r>
              <w:rPr>
                <w:sz w:val="21"/>
                <w:color w:val="000000"/>
                <w:shd w:fill="FFFFFF" w:val="clear"/>
              </w:rPr>
              <w:t>：汽油</w:t>
            </w:r>
            <w:r>
              <w:rPr>
                <w:sz w:val="21"/>
                <w:color w:val="000000"/>
                <w:shd w:fill="FFFFFF" w:val="clear"/>
              </w:rPr>
              <w:t>48V</w:t>
            </w:r>
            <w:r>
              <w:rPr>
                <w:sz w:val="21"/>
                <w:color w:val="000000"/>
                <w:shd w:fill="FFFFFF" w:val="clear"/>
              </w:rPr>
              <w:t>轻混系统；</w:t>
            </w:r>
          </w:p>
          <w:p>
            <w:pPr>
              <w:pStyle w:val="null3"/>
              <w:jc w:val="left"/>
            </w:pPr>
            <w:r>
              <w:rPr>
                <w:sz w:val="21"/>
                <w:color w:val="000000"/>
                <w:shd w:fill="FFFFFF" w:val="clear"/>
              </w:rPr>
              <w:t>2</w:t>
            </w:r>
            <w:r>
              <w:rPr>
                <w:sz w:val="21"/>
                <w:color w:val="000000"/>
                <w:shd w:fill="FFFFFF" w:val="clear"/>
              </w:rPr>
              <w:t>、</w:t>
            </w:r>
            <w:r>
              <w:rPr>
                <w:sz w:val="21"/>
                <w:color w:val="000000"/>
              </w:rPr>
              <w:t xml:space="preserve">发动机：3.0T </w:t>
            </w:r>
            <w:r>
              <w:rPr>
                <w:sz w:val="21"/>
                <w:color w:val="000000"/>
                <w:shd w:fill="FFFFFF" w:val="clear"/>
              </w:rPr>
              <w:t>360</w:t>
            </w:r>
            <w:r>
              <w:rPr>
                <w:sz w:val="21"/>
                <w:color w:val="000000"/>
                <w:shd w:fill="FFFFFF" w:val="clear"/>
              </w:rPr>
              <w:t>马力</w:t>
            </w:r>
            <w:r>
              <w:rPr>
                <w:sz w:val="21"/>
                <w:color w:val="000000"/>
                <w:shd w:fill="FFFFFF" w:val="clear"/>
              </w:rPr>
              <w:t xml:space="preserve"> V6</w:t>
            </w:r>
            <w:r>
              <w:rPr>
                <w:sz w:val="21"/>
                <w:color w:val="000000"/>
              </w:rPr>
              <w:t>；</w:t>
            </w:r>
          </w:p>
          <w:p>
            <w:pPr>
              <w:pStyle w:val="null3"/>
              <w:jc w:val="left"/>
            </w:pPr>
            <w:r>
              <w:rPr>
                <w:sz w:val="21"/>
                <w:color w:val="000000"/>
              </w:rPr>
              <w:t>3</w:t>
            </w:r>
            <w:r>
              <w:rPr>
                <w:sz w:val="21"/>
                <w:color w:val="000000"/>
              </w:rPr>
              <w:t>、最大马力(PS)：</w:t>
            </w:r>
            <w:r>
              <w:rPr>
                <w:sz w:val="21"/>
                <w:color w:val="000000"/>
              </w:rPr>
              <w:t>≥</w:t>
            </w:r>
            <w:r>
              <w:rPr>
                <w:sz w:val="21"/>
                <w:color w:val="000000"/>
              </w:rPr>
              <w:t>360</w:t>
            </w:r>
            <w:r>
              <w:rPr>
                <w:sz w:val="21"/>
                <w:color w:val="000000"/>
              </w:rPr>
              <w:t>；</w:t>
            </w:r>
          </w:p>
          <w:p>
            <w:pPr>
              <w:pStyle w:val="null3"/>
              <w:jc w:val="left"/>
            </w:pPr>
            <w:r>
              <w:rPr>
                <w:sz w:val="21"/>
                <w:color w:val="000000"/>
              </w:rPr>
              <w:t>4</w:t>
            </w:r>
            <w:r>
              <w:rPr>
                <w:sz w:val="21"/>
                <w:color w:val="000000"/>
              </w:rPr>
              <w:t>、最大扭矩(N•m)：</w:t>
            </w:r>
            <w:r>
              <w:rPr>
                <w:sz w:val="21"/>
                <w:color w:val="000000"/>
              </w:rPr>
              <w:t>≥</w:t>
            </w:r>
            <w:r>
              <w:rPr>
                <w:sz w:val="21"/>
                <w:color w:val="000000"/>
              </w:rPr>
              <w:t>500</w:t>
            </w:r>
            <w:r>
              <w:rPr>
                <w:sz w:val="21"/>
                <w:color w:val="000000"/>
              </w:rPr>
              <w:t>；</w:t>
            </w:r>
          </w:p>
          <w:p>
            <w:pPr>
              <w:pStyle w:val="null3"/>
              <w:jc w:val="left"/>
            </w:pPr>
            <w:r>
              <w:rPr>
                <w:sz w:val="21"/>
                <w:color w:val="000000"/>
              </w:rPr>
              <w:t>5</w:t>
            </w:r>
            <w:r>
              <w:rPr>
                <w:sz w:val="21"/>
                <w:color w:val="000000"/>
              </w:rPr>
              <w:t>、</w:t>
            </w:r>
            <w:r>
              <w:rPr>
                <w:sz w:val="21"/>
                <w:color w:val="000000"/>
                <w:shd w:fill="FFFFFF" w:val="clear"/>
              </w:rPr>
              <w:t>最大功率</w:t>
            </w:r>
            <w:r>
              <w:rPr>
                <w:sz w:val="21"/>
                <w:color w:val="000000"/>
                <w:shd w:fill="FFFFFF" w:val="clear"/>
              </w:rPr>
              <w:t xml:space="preserve">(kW) </w:t>
            </w:r>
            <w:r>
              <w:rPr>
                <w:sz w:val="21"/>
                <w:color w:val="000000"/>
              </w:rPr>
              <w:t>：</w:t>
            </w:r>
            <w:r>
              <w:rPr>
                <w:sz w:val="21"/>
                <w:color w:val="000000"/>
              </w:rPr>
              <w:t>≥</w:t>
            </w:r>
            <w:r>
              <w:rPr>
                <w:sz w:val="21"/>
                <w:color w:val="000000"/>
                <w:shd w:fill="FFFFFF" w:val="clear"/>
              </w:rPr>
              <w:t>265</w:t>
            </w:r>
            <w:r>
              <w:rPr>
                <w:sz w:val="21"/>
                <w:color w:val="000000"/>
                <w:shd w:fill="FFFFFF" w:val="clear"/>
              </w:rPr>
              <w:t>；</w:t>
            </w:r>
          </w:p>
          <w:p>
            <w:pPr>
              <w:pStyle w:val="null3"/>
              <w:jc w:val="left"/>
            </w:pPr>
            <w:r>
              <w:rPr>
                <w:sz w:val="21"/>
                <w:color w:val="000000"/>
              </w:rPr>
              <w:t>6</w:t>
            </w:r>
            <w:r>
              <w:rPr>
                <w:sz w:val="21"/>
                <w:color w:val="000000"/>
              </w:rPr>
              <w:t>、变速箱：9挡手自一体；</w:t>
            </w:r>
          </w:p>
          <w:p>
            <w:pPr>
              <w:pStyle w:val="null3"/>
              <w:jc w:val="left"/>
            </w:pPr>
            <w:r>
              <w:rPr>
                <w:sz w:val="21"/>
                <w:color w:val="000000"/>
              </w:rPr>
              <w:t>7</w:t>
            </w:r>
            <w:r>
              <w:rPr>
                <w:sz w:val="21"/>
                <w:color w:val="000000"/>
              </w:rPr>
              <w:t>、车身（长×宽×高(mm)）：约5070×1934×1905；</w:t>
            </w:r>
          </w:p>
          <w:p>
            <w:pPr>
              <w:pStyle w:val="null3"/>
              <w:jc w:val="left"/>
            </w:pPr>
            <w:r>
              <w:rPr>
                <w:sz w:val="21"/>
                <w:color w:val="000000"/>
              </w:rPr>
              <w:t>8</w:t>
            </w:r>
            <w:r>
              <w:rPr>
                <w:sz w:val="21"/>
                <w:color w:val="000000"/>
              </w:rPr>
              <w:t>、轴距(mm)：</w:t>
            </w:r>
            <w:r>
              <w:rPr>
                <w:sz w:val="21"/>
                <w:color w:val="000000"/>
              </w:rPr>
              <w:t>≥</w:t>
            </w:r>
            <w:r>
              <w:rPr>
                <w:sz w:val="21"/>
                <w:color w:val="000000"/>
              </w:rPr>
              <w:t>2850</w:t>
            </w:r>
            <w:r>
              <w:rPr>
                <w:sz w:val="21"/>
                <w:color w:val="000000"/>
              </w:rPr>
              <w:t>；</w:t>
            </w:r>
          </w:p>
          <w:p>
            <w:pPr>
              <w:pStyle w:val="null3"/>
              <w:jc w:val="left"/>
            </w:pPr>
            <w:r>
              <w:rPr>
                <w:sz w:val="21"/>
                <w:color w:val="000000"/>
              </w:rPr>
              <w:t>9</w:t>
            </w:r>
            <w:r>
              <w:rPr>
                <w:sz w:val="21"/>
                <w:color w:val="000000"/>
              </w:rPr>
              <w:t>、最小离地间隙(mm)：</w:t>
            </w:r>
            <w:r>
              <w:rPr>
                <w:sz w:val="21"/>
                <w:color w:val="000000"/>
              </w:rPr>
              <w:t>≥</w:t>
            </w:r>
            <w:r>
              <w:rPr>
                <w:sz w:val="21"/>
                <w:color w:val="000000"/>
              </w:rPr>
              <w:t>220</w:t>
            </w:r>
            <w:r>
              <w:rPr>
                <w:sz w:val="21"/>
                <w:color w:val="000000"/>
              </w:rPr>
              <w:t>；</w:t>
            </w:r>
          </w:p>
          <w:p>
            <w:pPr>
              <w:pStyle w:val="null3"/>
              <w:jc w:val="left"/>
            </w:pPr>
            <w:r>
              <w:rPr>
                <w:sz w:val="21"/>
                <w:color w:val="000000"/>
              </w:rPr>
              <w:t>10</w:t>
            </w:r>
            <w:r>
              <w:rPr>
                <w:sz w:val="21"/>
                <w:color w:val="000000"/>
              </w:rPr>
              <w:t>、排放标准：</w:t>
            </w:r>
            <w:r>
              <w:rPr>
                <w:sz w:val="21"/>
                <w:color w:val="000000"/>
              </w:rPr>
              <w:t>不低于</w:t>
            </w:r>
            <w:r>
              <w:rPr>
                <w:sz w:val="21"/>
                <w:color w:val="000000"/>
              </w:rPr>
              <w:t>国VI；</w:t>
            </w:r>
          </w:p>
          <w:p>
            <w:pPr>
              <w:pStyle w:val="null3"/>
              <w:jc w:val="left"/>
            </w:pPr>
            <w:r>
              <w:rPr>
                <w:sz w:val="21"/>
                <w:color w:val="000000"/>
              </w:rPr>
              <w:t>11</w:t>
            </w:r>
            <w:r>
              <w:rPr>
                <w:sz w:val="21"/>
                <w:color w:val="000000"/>
              </w:rPr>
              <w:t>、</w:t>
            </w:r>
            <w:r>
              <w:rPr>
                <w:sz w:val="21"/>
                <w:color w:val="000000"/>
                <w:shd w:fill="FFFFFF" w:val="clear"/>
              </w:rPr>
              <w:t>最小离地间隙</w:t>
            </w:r>
            <w:r>
              <w:rPr>
                <w:sz w:val="21"/>
                <w:color w:val="000000"/>
                <w:shd w:fill="FFFFFF" w:val="clear"/>
              </w:rPr>
              <w:t>(mm)</w:t>
            </w:r>
            <w:r>
              <w:rPr>
                <w:sz w:val="21"/>
                <w:color w:val="000000"/>
                <w:shd w:fill="FFFFFF" w:val="clear"/>
              </w:rPr>
              <w:t>：</w:t>
            </w:r>
            <w:r>
              <w:rPr>
                <w:sz w:val="21"/>
                <w:color w:val="000000"/>
              </w:rPr>
              <w:t>约</w:t>
            </w:r>
            <w:r>
              <w:rPr>
                <w:sz w:val="21"/>
                <w:color w:val="000000"/>
                <w:shd w:fill="FFFFFF" w:val="clear"/>
              </w:rPr>
              <w:t>224</w:t>
            </w:r>
            <w:r>
              <w:rPr>
                <w:sz w:val="21"/>
                <w:color w:val="000000"/>
                <w:shd w:fill="FFFFFF" w:val="clear"/>
              </w:rPr>
              <w:t>；</w:t>
            </w:r>
          </w:p>
          <w:p>
            <w:pPr>
              <w:pStyle w:val="null3"/>
              <w:jc w:val="left"/>
            </w:pPr>
            <w:r>
              <w:rPr>
                <w:sz w:val="21"/>
                <w:color w:val="000000"/>
              </w:rPr>
              <w:t>12</w:t>
            </w:r>
            <w:r>
              <w:rPr>
                <w:sz w:val="21"/>
                <w:color w:val="000000"/>
              </w:rPr>
              <w:t>、</w:t>
            </w:r>
            <w:r>
              <w:rPr>
                <w:sz w:val="21"/>
                <w:color w:val="000000"/>
                <w:shd w:fill="FFFFFF" w:val="clear"/>
              </w:rPr>
              <w:t>接近角</w:t>
            </w:r>
            <w:r>
              <w:rPr>
                <w:sz w:val="21"/>
                <w:color w:val="000000"/>
                <w:shd w:fill="FFFFFF" w:val="clear"/>
              </w:rPr>
              <w:t>(°)</w:t>
            </w:r>
            <w:r>
              <w:rPr>
                <w:sz w:val="21"/>
                <w:color w:val="000000"/>
                <w:shd w:fill="FFFFFF" w:val="clear"/>
              </w:rPr>
              <w:t>：</w:t>
            </w:r>
            <w:r>
              <w:rPr>
                <w:sz w:val="21"/>
                <w:color w:val="000000"/>
              </w:rPr>
              <w:t>约</w:t>
            </w:r>
            <w:r>
              <w:rPr>
                <w:sz w:val="21"/>
                <w:color w:val="000000"/>
                <w:shd w:fill="FFFFFF" w:val="clear"/>
              </w:rPr>
              <w:t>29.6</w:t>
            </w:r>
            <w:r>
              <w:rPr>
                <w:sz w:val="21"/>
                <w:color w:val="000000"/>
                <w:shd w:fill="FFFFFF" w:val="clear"/>
              </w:rPr>
              <w:t>；</w:t>
            </w:r>
          </w:p>
          <w:p>
            <w:pPr>
              <w:pStyle w:val="null3"/>
              <w:jc w:val="left"/>
            </w:pPr>
            <w:r>
              <w:rPr>
                <w:sz w:val="21"/>
                <w:color w:val="000000"/>
              </w:rPr>
              <w:t>13</w:t>
            </w:r>
            <w:r>
              <w:rPr>
                <w:sz w:val="21"/>
                <w:color w:val="000000"/>
              </w:rPr>
              <w:t>、</w:t>
            </w:r>
            <w:r>
              <w:rPr>
                <w:sz w:val="21"/>
                <w:color w:val="000000"/>
                <w:shd w:fill="FFFFFF" w:val="clear"/>
              </w:rPr>
              <w:t>离去角</w:t>
            </w:r>
            <w:r>
              <w:rPr>
                <w:sz w:val="21"/>
                <w:color w:val="000000"/>
                <w:shd w:fill="FFFFFF" w:val="clear"/>
              </w:rPr>
              <w:t>(°)</w:t>
            </w:r>
            <w:r>
              <w:rPr>
                <w:sz w:val="21"/>
                <w:color w:val="000000"/>
                <w:shd w:fill="FFFFFF" w:val="clear"/>
              </w:rPr>
              <w:t>：</w:t>
            </w:r>
            <w:r>
              <w:rPr>
                <w:sz w:val="21"/>
                <w:color w:val="000000"/>
              </w:rPr>
              <w:t>约</w:t>
            </w:r>
            <w:r>
              <w:rPr>
                <w:sz w:val="21"/>
                <w:color w:val="000000"/>
                <w:shd w:fill="FFFFFF" w:val="clear"/>
              </w:rPr>
              <w:t>24</w:t>
            </w:r>
            <w:r>
              <w:rPr>
                <w:sz w:val="21"/>
                <w:color w:val="000000"/>
                <w:shd w:fill="FFFFFF" w:val="clear"/>
              </w:rPr>
              <w:t>；</w:t>
            </w:r>
          </w:p>
          <w:p>
            <w:pPr>
              <w:pStyle w:val="null3"/>
              <w:jc w:val="left"/>
            </w:pPr>
            <w:r>
              <w:rPr>
                <w:sz w:val="21"/>
                <w:color w:val="000000"/>
              </w:rPr>
              <w:t>14</w:t>
            </w:r>
            <w:r>
              <w:rPr>
                <w:sz w:val="21"/>
                <w:color w:val="000000"/>
              </w:rPr>
              <w:t>、</w:t>
            </w:r>
            <w:r>
              <w:rPr>
                <w:sz w:val="21"/>
                <w:color w:val="000000"/>
                <w:shd w:fill="FFFFFF" w:val="clear"/>
              </w:rPr>
              <w:t>油箱容积</w:t>
            </w:r>
            <w:r>
              <w:rPr>
                <w:sz w:val="21"/>
                <w:color w:val="000000"/>
                <w:shd w:fill="FFFFFF" w:val="clear"/>
              </w:rPr>
              <w:t>(L)</w:t>
            </w:r>
            <w:r>
              <w:rPr>
                <w:sz w:val="21"/>
                <w:color w:val="000000"/>
              </w:rPr>
              <w:t>：</w:t>
            </w:r>
            <w:r>
              <w:rPr>
                <w:sz w:val="21"/>
                <w:color w:val="000000"/>
              </w:rPr>
              <w:t>≥</w:t>
            </w:r>
            <w:r>
              <w:rPr>
                <w:sz w:val="21"/>
                <w:color w:val="000000"/>
                <w:shd w:fill="FFFFFF" w:val="clear"/>
              </w:rPr>
              <w:t>80</w:t>
            </w:r>
            <w:r>
              <w:rPr>
                <w:sz w:val="21"/>
                <w:color w:val="000000"/>
                <w:shd w:fill="FFFFFF" w:val="clear"/>
              </w:rPr>
              <w:t>；</w:t>
            </w:r>
          </w:p>
          <w:p>
            <w:pPr>
              <w:pStyle w:val="null3"/>
              <w:jc w:val="left"/>
            </w:pPr>
            <w:r>
              <w:rPr>
                <w:sz w:val="21"/>
                <w:color w:val="000000"/>
              </w:rPr>
              <w:t>15</w:t>
            </w:r>
            <w:r>
              <w:rPr>
                <w:sz w:val="21"/>
                <w:color w:val="000000"/>
              </w:rPr>
              <w:t>、驱动方式：前置四驱；</w:t>
            </w:r>
          </w:p>
          <w:p>
            <w:pPr>
              <w:pStyle w:val="null3"/>
              <w:jc w:val="left"/>
            </w:pPr>
            <w:r>
              <w:rPr>
                <w:sz w:val="21"/>
                <w:color w:val="000000"/>
              </w:rPr>
              <w:t>16</w:t>
            </w:r>
            <w:r>
              <w:rPr>
                <w:sz w:val="21"/>
                <w:color w:val="000000"/>
              </w:rPr>
              <w:t>、</w:t>
            </w:r>
            <w:r>
              <w:rPr>
                <w:sz w:val="21"/>
                <w:color w:val="000000"/>
                <w:shd w:fill="FFFFFF" w:val="clear"/>
              </w:rPr>
              <w:t>四驱形式：</w:t>
            </w:r>
            <w:r>
              <w:rPr>
                <w:sz w:val="21"/>
                <w:color w:val="000000"/>
                <w:shd w:fill="FFFFFF" w:val="clear"/>
              </w:rPr>
              <w:t>适时四驱；</w:t>
            </w:r>
          </w:p>
          <w:p>
            <w:pPr>
              <w:pStyle w:val="null3"/>
              <w:jc w:val="left"/>
            </w:pPr>
            <w:r>
              <w:rPr>
                <w:sz w:val="21"/>
                <w:color w:val="000000"/>
              </w:rPr>
              <w:t>17</w:t>
            </w:r>
            <w:r>
              <w:rPr>
                <w:sz w:val="21"/>
                <w:color w:val="000000"/>
              </w:rPr>
              <w:t>、车体结构：非承载式。</w:t>
            </w:r>
          </w:p>
          <w:p>
            <w:pPr>
              <w:pStyle w:val="null3"/>
              <w:jc w:val="left"/>
            </w:pPr>
            <w:r>
              <w:rPr>
                <w:sz w:val="21"/>
                <w:color w:val="000000"/>
              </w:rPr>
              <w:t>18</w:t>
            </w:r>
            <w:r>
              <w:rPr>
                <w:sz w:val="21"/>
                <w:color w:val="000000"/>
              </w:rPr>
              <w:t>、座位数：5座</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r>
              <w:rPr>
                <w:sz w:val="21"/>
                <w:color w:val="000000"/>
              </w:rPr>
              <w:t>辆</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661"/>
            <w:vMerge/>
            <w:tcBorders>
              <w:top w:val="none" w:color="000000" w:sz="4"/>
              <w:left w:val="single" w:color="000000" w:sz="4"/>
              <w:bottom w:val="single" w:color="000000" w:sz="4"/>
              <w:right w:val="single" w:color="000000" w:sz="4"/>
            </w:tcBorders>
          </w:tcPr>
          <w:p/>
        </w:tc>
        <w:tc>
          <w:tcPr>
            <w:tcW w:type="dxa" w:w="1661"/>
            <w:vMerge/>
            <w:tcBorders>
              <w:top w:val="none" w:color="000000" w:sz="4"/>
              <w:left w:val="none" w:color="000000" w:sz="4"/>
              <w:bottom w:val="single" w:color="000000" w:sz="4"/>
              <w:right w:val="single" w:color="000000" w:sz="4"/>
            </w:tcBorders>
          </w:tcP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19</w:t>
            </w:r>
            <w:r>
              <w:rPr>
                <w:sz w:val="21"/>
                <w:color w:val="000000"/>
              </w:rPr>
              <w:t>、含公告费、购置税、保险、上牌费、消费税等所有上牌相关费用。注：由中标单位代缴上述所有上牌相关费用，包含在投标报价中。</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r>
              <w:rPr>
                <w:sz w:val="21"/>
                <w:color w:val="000000"/>
              </w:rPr>
              <w:t>批</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车辆改装</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机柜预埋，结构件改造，外观喷涂。</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r>
              <w:rPr>
                <w:sz w:val="21"/>
                <w:color w:val="000000"/>
              </w:rPr>
              <w:t>项</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定制</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车顶行李架</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铝合金材质整理行李架，用于车顶设备及天线安装</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r>
              <w:rPr>
                <w:sz w:val="21"/>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定制</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4</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设备机柜</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型材整体成型机柜，10U，与地板采用可拆卸式安装便于维护。</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r>
              <w:rPr>
                <w:sz w:val="21"/>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定制</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车外T型云台摄像机</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、不低于400万像素，支持≥2560×1440分辨率；</w:t>
            </w:r>
          </w:p>
          <w:p>
            <w:pPr>
              <w:pStyle w:val="null3"/>
              <w:jc w:val="left"/>
            </w:pPr>
            <w:r>
              <w:rPr>
                <w:sz w:val="21"/>
                <w:color w:val="000000"/>
              </w:rPr>
              <w:t>2</w:t>
            </w:r>
            <w:r>
              <w:rPr>
                <w:sz w:val="21"/>
                <w:color w:val="000000"/>
              </w:rPr>
              <w:t>、焦距4.3 mm～129 mm ，不低于33倍光学变倍，不低于16倍数字变倍；</w:t>
            </w:r>
          </w:p>
          <w:p>
            <w:pPr>
              <w:pStyle w:val="null3"/>
              <w:jc w:val="left"/>
            </w:pPr>
            <w:r>
              <w:rPr>
                <w:sz w:val="21"/>
                <w:color w:val="000000"/>
              </w:rPr>
              <w:t>3</w:t>
            </w:r>
            <w:r>
              <w:rPr>
                <w:sz w:val="21"/>
                <w:color w:val="000000"/>
              </w:rPr>
              <w:t>、水平方向360°连续旋转，垂直方向+90°～-90°旋转；</w:t>
            </w:r>
          </w:p>
          <w:p>
            <w:pPr>
              <w:pStyle w:val="null3"/>
              <w:jc w:val="left"/>
            </w:pPr>
            <w:r>
              <w:rPr>
                <w:sz w:val="21"/>
                <w:color w:val="000000"/>
              </w:rPr>
              <w:t>4</w:t>
            </w:r>
            <w:r>
              <w:rPr>
                <w:sz w:val="21"/>
                <w:color w:val="000000"/>
              </w:rPr>
              <w:t>、水平速度为0.1°～100°/s,垂直速度为0.1°～80°/s；</w:t>
            </w:r>
          </w:p>
          <w:p>
            <w:pPr>
              <w:pStyle w:val="null3"/>
              <w:jc w:val="left"/>
            </w:pPr>
            <w:r>
              <w:rPr>
                <w:sz w:val="21"/>
                <w:color w:val="000000"/>
              </w:rPr>
              <w:t>5</w:t>
            </w:r>
            <w:r>
              <w:rPr>
                <w:sz w:val="21"/>
                <w:color w:val="000000"/>
              </w:rPr>
              <w:t>、防护等级：不低于IP66。</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r>
              <w:rPr>
                <w:sz w:val="21"/>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6</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云台键盘</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可控制各种协议摄像机。</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r>
              <w:rPr>
                <w:sz w:val="21"/>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定制</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7</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头枕显示器</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、屏幕尺寸：</w:t>
            </w:r>
            <w:r>
              <w:rPr>
                <w:sz w:val="22"/>
                <w:color w:val="000000"/>
              </w:rPr>
              <w:t>≥10英寸</w:t>
            </w:r>
            <w:r>
              <w:rPr>
                <w:sz w:val="21"/>
                <w:color w:val="000000"/>
              </w:rPr>
              <w:t>；</w:t>
            </w:r>
          </w:p>
          <w:p>
            <w:pPr>
              <w:pStyle w:val="null3"/>
              <w:jc w:val="left"/>
            </w:pPr>
            <w:r>
              <w:rPr>
                <w:sz w:val="21"/>
                <w:color w:val="000000"/>
              </w:rPr>
              <w:t>2</w:t>
            </w:r>
            <w:r>
              <w:rPr>
                <w:sz w:val="21"/>
                <w:color w:val="000000"/>
              </w:rPr>
              <w:t>、分辨率：</w:t>
            </w:r>
            <w:r>
              <w:rPr>
                <w:sz w:val="22"/>
                <w:color w:val="000000"/>
              </w:rPr>
              <w:t>≥1920*1080</w:t>
            </w:r>
            <w:r>
              <w:rPr>
                <w:sz w:val="21"/>
                <w:color w:val="000000"/>
              </w:rPr>
              <w:t>；</w:t>
            </w:r>
          </w:p>
          <w:p>
            <w:pPr>
              <w:pStyle w:val="null3"/>
              <w:jc w:val="left"/>
            </w:pPr>
            <w:r>
              <w:rPr>
                <w:sz w:val="21"/>
                <w:color w:val="000000"/>
              </w:rPr>
              <w:t>3</w:t>
            </w:r>
            <w:r>
              <w:rPr>
                <w:sz w:val="21"/>
                <w:color w:val="000000"/>
              </w:rPr>
              <w:t>、</w:t>
            </w:r>
            <w:r>
              <w:rPr>
                <w:sz w:val="22"/>
                <w:color w:val="000000"/>
              </w:rPr>
              <w:t>≥</w:t>
            </w:r>
            <w:r>
              <w:rPr>
                <w:sz w:val="21"/>
                <w:color w:val="000000"/>
              </w:rPr>
              <w:t>8+128GB</w:t>
            </w:r>
            <w:r>
              <w:rPr>
                <w:sz w:val="21"/>
                <w:color w:val="000000"/>
              </w:rPr>
              <w:t>；</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r>
              <w:rPr>
                <w:sz w:val="21"/>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8</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5G</w:t>
            </w:r>
            <w:r>
              <w:rPr>
                <w:sz w:val="21"/>
                <w:color w:val="000000"/>
              </w:rPr>
              <w:t>路由器</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color w:val="000000"/>
              </w:rPr>
              <w:t>1</w:t>
            </w:r>
            <w:r>
              <w:rPr>
                <w:color w:val="000000"/>
              </w:rPr>
              <w:t>、≥</w:t>
            </w:r>
            <w:r>
              <w:rPr>
                <w:color w:val="000000"/>
              </w:rPr>
              <w:t>1</w:t>
            </w:r>
            <w:r>
              <w:rPr>
                <w:color w:val="000000"/>
              </w:rPr>
              <w:t>个</w:t>
            </w:r>
            <w:r>
              <w:rPr>
                <w:color w:val="000000"/>
              </w:rPr>
              <w:t>10/100Mbps WAN</w:t>
            </w:r>
            <w:r>
              <w:rPr>
                <w:color w:val="000000"/>
              </w:rPr>
              <w:t>口，≥</w:t>
            </w:r>
            <w:r>
              <w:rPr>
                <w:color w:val="000000"/>
              </w:rPr>
              <w:t>4</w:t>
            </w:r>
            <w:r>
              <w:rPr>
                <w:color w:val="000000"/>
              </w:rPr>
              <w:t>个</w:t>
            </w:r>
            <w:r>
              <w:rPr>
                <w:color w:val="000000"/>
              </w:rPr>
              <w:t>10/100Mbps LAN</w:t>
            </w:r>
            <w:r>
              <w:rPr>
                <w:color w:val="000000"/>
              </w:rPr>
              <w:t>口。</w:t>
            </w:r>
          </w:p>
          <w:p>
            <w:pPr>
              <w:pStyle w:val="null3"/>
            </w:pPr>
            <w:r>
              <w:rPr>
                <w:color w:val="000000"/>
              </w:rPr>
              <w:t>2</w:t>
            </w:r>
            <w:r>
              <w:rPr>
                <w:color w:val="000000"/>
              </w:rPr>
              <w:t>、含</w:t>
            </w:r>
            <w:r>
              <w:rPr>
                <w:color w:val="000000"/>
              </w:rPr>
              <w:t>VPN</w:t>
            </w:r>
            <w:r>
              <w:rPr>
                <w:color w:val="000000"/>
              </w:rPr>
              <w:t>服务器无线模块</w:t>
            </w:r>
            <w:r>
              <w:rPr>
                <w:color w:val="000000"/>
              </w:rPr>
              <w:t>工业级无线模块；</w:t>
            </w:r>
          </w:p>
          <w:p>
            <w:pPr>
              <w:pStyle w:val="null3"/>
            </w:pPr>
            <w:r>
              <w:rPr>
                <w:color w:val="000000"/>
              </w:rPr>
              <w:t>3</w:t>
            </w:r>
            <w:r>
              <w:rPr>
                <w:color w:val="000000"/>
              </w:rPr>
              <w:t>、标准及频段</w:t>
            </w:r>
            <w:r>
              <w:rPr>
                <w:color w:val="000000"/>
              </w:rPr>
              <w:t xml:space="preserve"> 5G NR</w:t>
            </w:r>
            <w:r>
              <w:rPr>
                <w:color w:val="000000"/>
              </w:rPr>
              <w:t>；</w:t>
            </w:r>
          </w:p>
          <w:p>
            <w:pPr>
              <w:pStyle w:val="null3"/>
            </w:pPr>
            <w:r>
              <w:rPr>
                <w:color w:val="000000"/>
              </w:rPr>
              <w:t>4</w:t>
            </w:r>
            <w:r>
              <w:rPr>
                <w:color w:val="000000"/>
              </w:rPr>
              <w:t>、理论带宽</w:t>
            </w:r>
            <w:r>
              <w:rPr>
                <w:color w:val="000000"/>
              </w:rPr>
              <w:t xml:space="preserve"> 5G NR</w:t>
            </w:r>
            <w:r>
              <w:rPr>
                <w:color w:val="000000"/>
              </w:rPr>
              <w:t>：下行速率</w:t>
            </w:r>
            <w:r>
              <w:rPr>
                <w:color w:val="000000"/>
              </w:rPr>
              <w:t>≥</w:t>
            </w:r>
            <w:r>
              <w:rPr>
                <w:color w:val="000000"/>
              </w:rPr>
              <w:t>3.4Gbps</w:t>
            </w:r>
            <w:r>
              <w:rPr>
                <w:color w:val="000000"/>
              </w:rPr>
              <w:t>，上行速率</w:t>
            </w:r>
            <w:r>
              <w:rPr>
                <w:color w:val="000000"/>
              </w:rPr>
              <w:t>≥</w:t>
            </w:r>
            <w:r>
              <w:rPr>
                <w:color w:val="000000"/>
              </w:rPr>
              <w:t>350Mbps</w:t>
            </w:r>
            <w:r>
              <w:rPr>
                <w:color w:val="000000"/>
              </w:rPr>
              <w:t>；</w:t>
            </w:r>
          </w:p>
          <w:p>
            <w:pPr>
              <w:pStyle w:val="null3"/>
            </w:pPr>
            <w:r>
              <w:rPr>
                <w:color w:val="000000"/>
              </w:rPr>
              <w:t>5</w:t>
            </w:r>
            <w:r>
              <w:rPr>
                <w:color w:val="000000"/>
              </w:rPr>
              <w:t>、</w:t>
            </w:r>
            <w:r>
              <w:rPr>
                <w:color w:val="000000"/>
              </w:rPr>
              <w:t>LTE Cat20</w:t>
            </w:r>
            <w:r>
              <w:rPr>
                <w:color w:val="000000"/>
              </w:rPr>
              <w:t>：下行速率≥</w:t>
            </w:r>
            <w:r>
              <w:rPr>
                <w:color w:val="000000"/>
              </w:rPr>
              <w:t xml:space="preserve"> 2.0Gbps</w:t>
            </w:r>
            <w:r>
              <w:rPr>
                <w:color w:val="000000"/>
              </w:rPr>
              <w:t>，上行速率≥</w:t>
            </w:r>
            <w:r>
              <w:rPr>
                <w:color w:val="000000"/>
              </w:rPr>
              <w:t xml:space="preserve"> 150Mbps</w:t>
            </w:r>
            <w:r>
              <w:rPr>
                <w:color w:val="000000"/>
              </w:rPr>
              <w:t>；</w:t>
            </w:r>
          </w:p>
          <w:p>
            <w:pPr>
              <w:pStyle w:val="null3"/>
            </w:pPr>
            <w:r>
              <w:rPr>
                <w:color w:val="000000"/>
              </w:rPr>
              <w:t>6</w:t>
            </w:r>
            <w:r>
              <w:rPr>
                <w:color w:val="000000"/>
              </w:rPr>
              <w:t>、</w:t>
            </w:r>
            <w:r>
              <w:rPr>
                <w:color w:val="000000"/>
              </w:rPr>
              <w:t>HSPA+</w:t>
            </w:r>
            <w:r>
              <w:rPr>
                <w:color w:val="000000"/>
              </w:rPr>
              <w:t>：下行速率≥</w:t>
            </w:r>
            <w:r>
              <w:rPr>
                <w:color w:val="000000"/>
              </w:rPr>
              <w:t xml:space="preserve"> 42Mpbs</w:t>
            </w:r>
            <w:r>
              <w:rPr>
                <w:color w:val="000000"/>
              </w:rPr>
              <w:t>，上行速率≥</w:t>
            </w:r>
            <w:r>
              <w:rPr>
                <w:color w:val="000000"/>
              </w:rPr>
              <w:t xml:space="preserve"> 5.76 Mbps</w:t>
            </w:r>
            <w:r>
              <w:rPr>
                <w:color w:val="000000"/>
              </w:rPr>
              <w:t>；</w:t>
            </w:r>
          </w:p>
          <w:p>
            <w:pPr>
              <w:pStyle w:val="null3"/>
            </w:pPr>
            <w:r>
              <w:rPr>
                <w:color w:val="000000"/>
              </w:rPr>
              <w:t>7</w:t>
            </w:r>
            <w:r>
              <w:rPr>
                <w:color w:val="000000"/>
              </w:rPr>
              <w:t>、发射功率</w:t>
            </w:r>
            <w:r>
              <w:rPr>
                <w:color w:val="000000"/>
              </w:rPr>
              <w:t xml:space="preserve"> &lt;23dBm</w:t>
            </w:r>
            <w:r>
              <w:rPr>
                <w:color w:val="000000"/>
              </w:rPr>
              <w:t>；接收灵敏度</w:t>
            </w:r>
            <w:r>
              <w:rPr>
                <w:color w:val="000000"/>
              </w:rPr>
              <w:t xml:space="preserve"> &lt;-97dBm</w:t>
            </w:r>
            <w:r>
              <w:rPr>
                <w:color w:val="000000"/>
              </w:rPr>
              <w:t>；</w:t>
            </w:r>
          </w:p>
          <w:p>
            <w:pPr>
              <w:pStyle w:val="null3"/>
            </w:pPr>
            <w:r>
              <w:rPr>
                <w:color w:val="000000"/>
              </w:rPr>
              <w:t>8</w:t>
            </w:r>
            <w:r>
              <w:rPr>
                <w:color w:val="000000"/>
              </w:rPr>
              <w:t>、标准及频段</w:t>
            </w:r>
            <w:r>
              <w:rPr>
                <w:color w:val="000000"/>
              </w:rPr>
              <w:t>支持</w:t>
            </w:r>
            <w:r>
              <w:rPr>
                <w:color w:val="000000"/>
              </w:rPr>
              <w:t xml:space="preserve"> IEEE802.11b/g/n</w:t>
            </w:r>
            <w:r>
              <w:rPr>
                <w:color w:val="000000"/>
              </w:rPr>
              <w:t>，</w:t>
            </w:r>
            <w:r>
              <w:rPr>
                <w:color w:val="000000"/>
              </w:rPr>
              <w:t>2.4G</w:t>
            </w:r>
            <w:r>
              <w:rPr>
                <w:color w:val="000000"/>
              </w:rPr>
              <w:t>，支持</w:t>
            </w:r>
            <w:r>
              <w:rPr>
                <w:color w:val="000000"/>
              </w:rPr>
              <w:t xml:space="preserve"> AP </w:t>
            </w:r>
            <w:r>
              <w:rPr>
                <w:color w:val="000000"/>
              </w:rPr>
              <w:t>模式，</w:t>
            </w:r>
            <w:r>
              <w:rPr>
                <w:color w:val="000000"/>
              </w:rPr>
              <w:t xml:space="preserve">Station </w:t>
            </w:r>
            <w:r>
              <w:rPr>
                <w:color w:val="000000"/>
              </w:rPr>
              <w:t>模式（可选）；支持</w:t>
            </w:r>
            <w:r>
              <w:rPr>
                <w:color w:val="000000"/>
              </w:rPr>
              <w:t xml:space="preserve"> IEEE802.11ac</w:t>
            </w:r>
            <w:r>
              <w:rPr>
                <w:color w:val="000000"/>
              </w:rPr>
              <w:t>，</w:t>
            </w:r>
            <w:r>
              <w:rPr>
                <w:color w:val="000000"/>
              </w:rPr>
              <w:t>5.8G</w:t>
            </w:r>
            <w:r>
              <w:rPr>
                <w:color w:val="000000"/>
              </w:rPr>
              <w:t>，支持</w:t>
            </w:r>
            <w:r>
              <w:rPr>
                <w:color w:val="000000"/>
              </w:rPr>
              <w:t xml:space="preserve"> AP </w:t>
            </w:r>
            <w:r>
              <w:rPr>
                <w:color w:val="000000"/>
              </w:rPr>
              <w:t>模式。</w:t>
            </w:r>
          </w:p>
          <w:p>
            <w:pPr>
              <w:pStyle w:val="null3"/>
              <w:jc w:val="left"/>
            </w:pPr>
            <w:r>
              <w:rPr>
                <w:sz w:val="21"/>
                <w:color w:val="000000"/>
              </w:rPr>
              <w:t>9</w:t>
            </w:r>
            <w:r>
              <w:rPr>
                <w:sz w:val="21"/>
                <w:color w:val="000000"/>
              </w:rPr>
              <w:t>、含一年流量资费</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r>
              <w:rPr>
                <w:sz w:val="21"/>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工业级路由器</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9</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天通卫星电话</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w:t>
            </w:r>
            <w:r>
              <w:rPr>
                <w:sz w:val="22"/>
                <w:color w:val="000000"/>
              </w:rPr>
              <w:t>≥</w:t>
            </w:r>
            <w:r>
              <w:rPr>
                <w:sz w:val="21"/>
                <w:color w:val="000000"/>
              </w:rPr>
              <w:t>5.5</w:t>
            </w:r>
            <w:r>
              <w:rPr>
                <w:sz w:val="21"/>
                <w:color w:val="000000"/>
              </w:rPr>
              <w:t>英寸显示屏，支持天通卫星移动通信话音、短信功能，接收频段：2170-2200MHz；</w:t>
            </w:r>
          </w:p>
          <w:p>
            <w:pPr>
              <w:pStyle w:val="null3"/>
              <w:jc w:val="left"/>
            </w:pPr>
            <w:r>
              <w:rPr>
                <w:sz w:val="21"/>
                <w:color w:val="000000"/>
              </w:rPr>
              <w:t>2</w:t>
            </w:r>
            <w:r>
              <w:rPr>
                <w:sz w:val="21"/>
                <w:color w:val="000000"/>
              </w:rPr>
              <w:t>、发射频段：1980-2010MHz；</w:t>
            </w:r>
          </w:p>
          <w:p>
            <w:pPr>
              <w:pStyle w:val="null3"/>
              <w:jc w:val="left"/>
            </w:pPr>
            <w:r>
              <w:rPr>
                <w:sz w:val="21"/>
                <w:color w:val="000000"/>
              </w:rPr>
              <w:t>3</w:t>
            </w:r>
            <w:r>
              <w:rPr>
                <w:sz w:val="21"/>
                <w:color w:val="000000"/>
              </w:rPr>
              <w:t>、话音速率：1.2kbps/2.4kbps/4kbps；</w:t>
            </w:r>
          </w:p>
          <w:p>
            <w:pPr>
              <w:pStyle w:val="null3"/>
              <w:jc w:val="left"/>
            </w:pPr>
            <w:r>
              <w:rPr>
                <w:sz w:val="21"/>
                <w:color w:val="000000"/>
              </w:rPr>
              <w:t>4</w:t>
            </w:r>
            <w:r>
              <w:rPr>
                <w:sz w:val="21"/>
                <w:color w:val="000000"/>
              </w:rPr>
              <w:t>、短信：单条最大长度≥140字节。</w:t>
            </w:r>
          </w:p>
          <w:p>
            <w:pPr>
              <w:pStyle w:val="null3"/>
              <w:jc w:val="left"/>
            </w:pPr>
            <w:r>
              <w:rPr>
                <w:sz w:val="21"/>
                <w:color w:val="000000"/>
              </w:rPr>
              <w:t>5</w:t>
            </w:r>
            <w:r>
              <w:rPr>
                <w:sz w:val="21"/>
                <w:color w:val="000000"/>
              </w:rPr>
              <w:t>、支持电信、移动和联通的4G全网通频段，具有公网对讲功能。</w:t>
            </w:r>
          </w:p>
          <w:p>
            <w:pPr>
              <w:pStyle w:val="null3"/>
              <w:jc w:val="left"/>
            </w:pPr>
            <w:r>
              <w:rPr>
                <w:sz w:val="21"/>
                <w:color w:val="000000"/>
              </w:rPr>
              <w:t>6</w:t>
            </w:r>
            <w:r>
              <w:rPr>
                <w:sz w:val="21"/>
                <w:color w:val="000000"/>
              </w:rPr>
              <w:t>、含1年通话套餐。</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r>
              <w:rPr>
                <w:sz w:val="21"/>
                <w:color w:val="000000"/>
              </w:rPr>
              <w:t>部</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车载移动电源</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、电源功率：≥1000W；</w:t>
            </w:r>
            <w:r>
              <w:br/>
            </w:r>
            <w:r>
              <w:rPr>
                <w:sz w:val="21"/>
                <w:color w:val="000000"/>
              </w:rPr>
              <w:t xml:space="preserve"> 2、电池类型：磷酸铁锂电池；</w:t>
            </w:r>
            <w:r>
              <w:br/>
            </w:r>
            <w:r>
              <w:rPr>
                <w:sz w:val="21"/>
                <w:color w:val="000000"/>
              </w:rPr>
              <w:t xml:space="preserve"> 3、AC端口输出：不低于220V 50HZ 1000W,不少于2个；DC输出端口：不低于12V 10A 120W；</w:t>
            </w:r>
            <w:r>
              <w:br/>
            </w:r>
            <w:r>
              <w:rPr>
                <w:sz w:val="21"/>
                <w:color w:val="000000"/>
              </w:rPr>
              <w:t xml:space="preserve"> 4、USB输出不少于3个；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r>
              <w:rPr>
                <w:sz w:val="21"/>
                <w:color w:val="000000"/>
              </w:rPr>
              <w:t>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11</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配电配线</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、含配电控制器，按需配置包含电源线缆、信号线缆及敷设，接口焊接等。</w:t>
            </w:r>
          </w:p>
          <w:p>
            <w:pPr>
              <w:pStyle w:val="null3"/>
              <w:jc w:val="left"/>
            </w:pPr>
            <w:r>
              <w:rPr>
                <w:sz w:val="21"/>
                <w:color w:val="000000"/>
              </w:rPr>
              <w:t>2</w:t>
            </w:r>
            <w:r>
              <w:rPr>
                <w:sz w:val="21"/>
                <w:color w:val="000000"/>
              </w:rPr>
              <w:t>、含外接线缆：不短于25米220V电缆线，含手动线缆盘。</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r>
              <w:rPr>
                <w:sz w:val="21"/>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定制</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12</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接地避雷</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、蛇皮扁平接地线不短于20m，0.8m铜质接地棒1根；</w:t>
            </w:r>
          </w:p>
          <w:p>
            <w:pPr>
              <w:pStyle w:val="null3"/>
              <w:jc w:val="left"/>
            </w:pPr>
            <w:r>
              <w:rPr>
                <w:sz w:val="21"/>
                <w:color w:val="000000"/>
              </w:rPr>
              <w:t>2</w:t>
            </w:r>
            <w:r>
              <w:rPr>
                <w:sz w:val="21"/>
                <w:color w:val="000000"/>
              </w:rPr>
              <w:t>、额定工作电压≤230V，保护电压≤350V，漏电流≤1mA，额定放电电流不大于（20次8／20 us脉冲测试）10 K。</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r>
              <w:rPr>
                <w:sz w:val="21"/>
                <w:color w:val="000000"/>
              </w:rPr>
              <w:t>套</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定制</w:t>
            </w:r>
          </w:p>
        </w:tc>
      </w:tr>
      <w:tr>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13</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灭火器</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、手提式</w:t>
            </w:r>
          </w:p>
          <w:p>
            <w:pPr>
              <w:pStyle w:val="null3"/>
              <w:jc w:val="left"/>
            </w:pPr>
            <w:r>
              <w:rPr>
                <w:sz w:val="21"/>
                <w:color w:val="000000"/>
              </w:rPr>
              <w:t>2</w:t>
            </w:r>
            <w:r>
              <w:rPr>
                <w:sz w:val="21"/>
                <w:color w:val="000000"/>
              </w:rPr>
              <w:t>、1公斤新型车载灭火器</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r>
              <w:rPr>
                <w:sz w:val="21"/>
                <w:color w:val="000000"/>
              </w:rPr>
              <w:t>只</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sz w:val="21"/>
          <w:color w:val="000000"/>
        </w:rPr>
        <w:t>3.</w:t>
      </w:r>
      <w:r>
        <w:rPr>
          <w:sz w:val="21"/>
          <w:color w:val="000000"/>
        </w:rPr>
        <w:t>车辆建设技术要求</w:t>
      </w:r>
    </w:p>
    <w:p>
      <w:pPr>
        <w:pStyle w:val="null3"/>
        <w:ind w:firstLine="420"/>
        <w:jc w:val="both"/>
      </w:pPr>
      <w:r>
        <w:rPr>
          <w:sz w:val="21"/>
          <w:color w:val="000000"/>
        </w:rPr>
        <w:t xml:space="preserve">3.1 </w:t>
      </w:r>
      <w:r>
        <w:rPr>
          <w:sz w:val="21"/>
          <w:color w:val="000000"/>
        </w:rPr>
        <w:t>载车平台分系统</w:t>
      </w:r>
    </w:p>
    <w:p>
      <w:pPr>
        <w:pStyle w:val="null3"/>
        <w:ind w:firstLine="420"/>
        <w:jc w:val="both"/>
      </w:pPr>
      <w:r>
        <w:rPr>
          <w:sz w:val="21"/>
          <w:color w:val="000000"/>
        </w:rPr>
        <w:t xml:space="preserve">3.1.1 </w:t>
      </w:r>
      <w:r>
        <w:rPr>
          <w:sz w:val="21"/>
          <w:color w:val="000000"/>
        </w:rPr>
        <w:t>配置需求</w:t>
      </w:r>
    </w:p>
    <w:p>
      <w:pPr>
        <w:pStyle w:val="null3"/>
        <w:ind w:firstLine="420"/>
        <w:jc w:val="both"/>
      </w:pPr>
      <w:r>
        <w:rPr>
          <w:sz w:val="21"/>
          <w:color w:val="000000"/>
        </w:rPr>
        <w:t>★投标人须承诺:车辆改装完成后，提供车辆上牌全部相关手续，主要包括:整车出厂合格证、环保信息随车清单、车辆一致性证书等。同时还须提供原车辆底盘的相关手续。如投标人提供的相关手续不符合国家相关规定，导致车辆无法上牌，造成的损失将由投标人全部承担。（投标时提供承诺，格式见第六章格式十）</w:t>
      </w:r>
    </w:p>
    <w:p>
      <w:pPr>
        <w:pStyle w:val="null3"/>
        <w:spacing w:after="120"/>
        <w:ind w:firstLine="420"/>
        <w:jc w:val="both"/>
      </w:pPr>
      <w:r>
        <w:rPr>
          <w:sz w:val="21"/>
          <w:color w:val="000000"/>
        </w:rPr>
        <w:t>★供应商必须承诺：改装后的特种专业技术用车必须上工信部公告。（投标时提供承诺，格式见第六章格式十）</w:t>
      </w:r>
    </w:p>
    <w:p>
      <w:pPr>
        <w:pStyle w:val="null3"/>
        <w:ind w:firstLine="420"/>
        <w:jc w:val="both"/>
      </w:pPr>
      <w:r>
        <w:rPr>
          <w:sz w:val="21"/>
          <w:color w:val="000000"/>
        </w:rPr>
        <w:t xml:space="preserve">3.1.2 </w:t>
      </w:r>
      <w:r>
        <w:rPr>
          <w:sz w:val="21"/>
          <w:color w:val="000000"/>
        </w:rPr>
        <w:t>车体改装要求</w:t>
      </w:r>
    </w:p>
    <w:p>
      <w:pPr>
        <w:pStyle w:val="null3"/>
        <w:ind w:firstLine="420"/>
        <w:jc w:val="both"/>
      </w:pPr>
      <w:r>
        <w:rPr>
          <w:sz w:val="21"/>
          <w:color w:val="000000"/>
        </w:rPr>
        <w:t>应符合交通管理部门有关要求。应能保证车体系统在一般城市道路和公路正常行驶及低速越野行驶，轴荷分配及左右</w:t>
      </w:r>
      <w:r>
        <w:rPr>
          <w:sz w:val="21"/>
          <w:b/>
          <w:color w:val="000000"/>
        </w:rPr>
        <w:t>配重</w:t>
      </w:r>
      <w:r>
        <w:rPr>
          <w:sz w:val="21"/>
          <w:color w:val="000000"/>
        </w:rPr>
        <w:t>应合理，满载时不应超过原车总载重量，改装不破坏原车结构，车体改造完成后应进行整车性能测试，如行驶测试、淋雨测试等，汽车制动性能、噪声、排放性能应满足一般国际通信车辆标准，具有较好的稳定性、平顺性、舒适性等性能设计指标。</w:t>
      </w:r>
    </w:p>
    <w:p>
      <w:pPr>
        <w:pStyle w:val="null3"/>
        <w:ind w:firstLine="420"/>
        <w:jc w:val="both"/>
      </w:pPr>
      <w:r>
        <w:rPr>
          <w:sz w:val="21"/>
          <w:color w:val="000000"/>
        </w:rPr>
        <w:t xml:space="preserve">3.1.3 </w:t>
      </w:r>
      <w:r>
        <w:rPr>
          <w:sz w:val="21"/>
          <w:color w:val="000000"/>
        </w:rPr>
        <w:t>车内改装要求</w:t>
      </w:r>
    </w:p>
    <w:p>
      <w:pPr>
        <w:pStyle w:val="null3"/>
        <w:ind w:firstLine="420"/>
        <w:jc w:val="both"/>
      </w:pPr>
      <w:r>
        <w:rPr>
          <w:sz w:val="21"/>
          <w:color w:val="000000"/>
        </w:rPr>
        <w:t>车内改装尽量采用原车内饰、内饰美观、大方、高档、实用。装饰材料使用耐污染、防静电、防火、防水和环保的材料。根据设备安装需要布置标准机架。车内设备及机架应固定稳固，在行驶过程中不应产生任何松动和损坏。</w:t>
      </w:r>
    </w:p>
    <w:p>
      <w:pPr>
        <w:pStyle w:val="null3"/>
        <w:ind w:firstLine="420"/>
        <w:jc w:val="both"/>
      </w:pPr>
      <w:r>
        <w:rPr>
          <w:sz w:val="21"/>
          <w:color w:val="000000"/>
        </w:rPr>
        <w:t>车厢内壁走线槽装置平整，接缝平直。车内饰内壁装饰后应无螺钉孔和铆钉孔。车内设备机架应有独立减震装置，确保行车时设备安全。</w:t>
      </w:r>
    </w:p>
    <w:p>
      <w:pPr>
        <w:pStyle w:val="null3"/>
        <w:ind w:firstLine="420"/>
        <w:jc w:val="both"/>
      </w:pPr>
      <w:r>
        <w:rPr>
          <w:sz w:val="21"/>
          <w:color w:val="000000"/>
        </w:rPr>
        <w:t>车厢内机柜和设备布置合理、美观大方，便于操作使用，便于设备的安装、检修和维护，符合人体工程学要求。设备安装牢固可靠，有足够强度。</w:t>
      </w:r>
    </w:p>
    <w:p>
      <w:pPr>
        <w:pStyle w:val="null3"/>
        <w:ind w:firstLine="420"/>
        <w:jc w:val="both"/>
      </w:pPr>
      <w:r>
        <w:rPr>
          <w:sz w:val="21"/>
          <w:color w:val="000000"/>
        </w:rPr>
        <w:t xml:space="preserve">3.1.4 </w:t>
      </w:r>
      <w:r>
        <w:rPr>
          <w:sz w:val="21"/>
          <w:color w:val="000000"/>
        </w:rPr>
        <w:t>车外改装要求</w:t>
      </w:r>
    </w:p>
    <w:p>
      <w:pPr>
        <w:pStyle w:val="null3"/>
        <w:ind w:firstLine="420"/>
        <w:jc w:val="both"/>
      </w:pPr>
      <w:r>
        <w:rPr>
          <w:sz w:val="21"/>
          <w:color w:val="000000"/>
        </w:rPr>
        <w:t>车顶合理设置摄像机、天线的安装位；</w:t>
      </w:r>
    </w:p>
    <w:p>
      <w:pPr>
        <w:pStyle w:val="null3"/>
        <w:ind w:firstLine="420"/>
        <w:jc w:val="both"/>
      </w:pPr>
      <w:r>
        <w:rPr>
          <w:sz w:val="21"/>
          <w:color w:val="000000"/>
        </w:rPr>
        <w:t>车身外饰图案，采购人确定图饰方案，供应商喷涂或者粘贴施工。</w:t>
      </w:r>
    </w:p>
    <w:p>
      <w:pPr>
        <w:pStyle w:val="null3"/>
        <w:ind w:firstLine="420"/>
        <w:jc w:val="both"/>
      </w:pPr>
      <w:r>
        <w:rPr>
          <w:sz w:val="21"/>
          <w:color w:val="000000"/>
        </w:rPr>
        <w:t xml:space="preserve">3.1.6 </w:t>
      </w:r>
      <w:r>
        <w:rPr>
          <w:sz w:val="21"/>
          <w:color w:val="000000"/>
        </w:rPr>
        <w:t>行驶性能要求</w:t>
      </w:r>
    </w:p>
    <w:p>
      <w:pPr>
        <w:pStyle w:val="null3"/>
        <w:ind w:firstLine="420"/>
        <w:jc w:val="both"/>
      </w:pPr>
      <w:r>
        <w:rPr>
          <w:sz w:val="21"/>
          <w:color w:val="000000"/>
        </w:rPr>
        <w:t>车辆改装集成完毕后不影响原车的车速、转弯半径、爬坡度、制动距离、越壕宽度、接近角、离去角、涉水深度等技术指标，基本保持原车性能不变。</w:t>
      </w:r>
    </w:p>
    <w:p>
      <w:pPr>
        <w:pStyle w:val="null3"/>
        <w:ind w:firstLine="420"/>
        <w:jc w:val="both"/>
      </w:pPr>
      <w:r>
        <w:rPr>
          <w:sz w:val="21"/>
          <w:color w:val="000000"/>
        </w:rPr>
        <w:t xml:space="preserve">3.1.7 </w:t>
      </w:r>
      <w:r>
        <w:rPr>
          <w:sz w:val="21"/>
          <w:color w:val="000000"/>
        </w:rPr>
        <w:t>车辆交付手续</w:t>
      </w:r>
    </w:p>
    <w:p>
      <w:pPr>
        <w:pStyle w:val="null3"/>
        <w:ind w:firstLine="420"/>
        <w:jc w:val="both"/>
      </w:pPr>
      <w:r>
        <w:rPr>
          <w:sz w:val="21"/>
          <w:color w:val="000000"/>
        </w:rPr>
        <w:t>应提供按照国家关于车辆方面相关规定的完整手续，确保车辆正常上牌。</w:t>
      </w:r>
    </w:p>
    <w:p>
      <w:pPr>
        <w:pStyle w:val="null3"/>
        <w:ind w:firstLine="420"/>
        <w:jc w:val="both"/>
      </w:pPr>
      <w:r>
        <w:rPr>
          <w:sz w:val="21"/>
          <w:color w:val="000000"/>
        </w:rPr>
        <w:t xml:space="preserve">3.2 </w:t>
      </w:r>
      <w:r>
        <w:rPr>
          <w:sz w:val="21"/>
          <w:color w:val="000000"/>
        </w:rPr>
        <w:t>电子信息分系统</w:t>
      </w:r>
    </w:p>
    <w:p>
      <w:pPr>
        <w:pStyle w:val="null3"/>
        <w:ind w:firstLine="420"/>
        <w:jc w:val="both"/>
      </w:pPr>
      <w:r>
        <w:rPr>
          <w:sz w:val="21"/>
          <w:color w:val="000000"/>
        </w:rPr>
        <w:t xml:space="preserve">3.2.1 </w:t>
      </w:r>
      <w:r>
        <w:rPr>
          <w:sz w:val="21"/>
          <w:color w:val="000000"/>
        </w:rPr>
        <w:t>功能描述</w:t>
      </w:r>
    </w:p>
    <w:p>
      <w:pPr>
        <w:pStyle w:val="null3"/>
        <w:ind w:firstLine="420"/>
        <w:jc w:val="both"/>
      </w:pPr>
      <w:r>
        <w:rPr>
          <w:sz w:val="21"/>
          <w:color w:val="000000"/>
        </w:rPr>
        <w:t>电子信息分系统是特种专业技术用车的基础和支撑。电子信息分系统建设紧密围绕灾害发生后的调度指挥、现场通信等任务，保障通信指挥车和固定指挥中心之间的话音、数据及图像等多种业务的应用需求，整合各类基础通信网络，为现场指挥提供一个集话音、数据及图像等多种业务为一体的综合网络平台，保证各级后方指挥机构与通信指挥车的信息互通。具有有线、无线通信及视频、数据传输功能并采用多种方式采集现场信息。</w:t>
      </w:r>
    </w:p>
    <w:p>
      <w:pPr>
        <w:pStyle w:val="null3"/>
        <w:ind w:firstLine="420"/>
        <w:jc w:val="both"/>
      </w:pPr>
      <w:r>
        <w:rPr>
          <w:sz w:val="21"/>
          <w:color w:val="000000"/>
        </w:rPr>
        <w:t>电子信息分系统由信息采集子系统、信息处理子系统和信息传输子系统三部分组成。</w:t>
      </w:r>
    </w:p>
    <w:p>
      <w:pPr>
        <w:pStyle w:val="null3"/>
        <w:ind w:firstLine="420"/>
        <w:jc w:val="both"/>
      </w:pPr>
      <w:r>
        <w:rPr>
          <w:sz w:val="21"/>
          <w:color w:val="000000"/>
        </w:rPr>
        <w:t>信息采集子系统主要实现现场视频的采集；</w:t>
      </w:r>
    </w:p>
    <w:p>
      <w:pPr>
        <w:pStyle w:val="null3"/>
        <w:ind w:firstLine="420"/>
        <w:jc w:val="both"/>
      </w:pPr>
      <w:r>
        <w:rPr>
          <w:sz w:val="21"/>
          <w:color w:val="000000"/>
        </w:rPr>
        <w:t>信息处理子系统主要实现图像的处理、播放及视频会商功能；</w:t>
      </w:r>
    </w:p>
    <w:p>
      <w:pPr>
        <w:pStyle w:val="null3"/>
        <w:ind w:firstLine="420"/>
        <w:jc w:val="both"/>
      </w:pPr>
      <w:r>
        <w:rPr>
          <w:sz w:val="21"/>
          <w:color w:val="000000"/>
        </w:rPr>
        <w:t>信息传输子系统主要实现信息的通信传输功能。</w:t>
      </w:r>
    </w:p>
    <w:p>
      <w:pPr>
        <w:pStyle w:val="null3"/>
        <w:ind w:firstLine="420"/>
        <w:jc w:val="both"/>
      </w:pPr>
      <w:r>
        <w:rPr>
          <w:sz w:val="21"/>
          <w:color w:val="000000"/>
        </w:rPr>
        <w:t xml:space="preserve">3.3 </w:t>
      </w:r>
      <w:r>
        <w:rPr>
          <w:sz w:val="21"/>
          <w:color w:val="000000"/>
        </w:rPr>
        <w:t>综合保障分系统</w:t>
      </w:r>
    </w:p>
    <w:p>
      <w:pPr>
        <w:pStyle w:val="null3"/>
        <w:ind w:firstLine="420"/>
        <w:jc w:val="both"/>
      </w:pPr>
      <w:r>
        <w:rPr>
          <w:sz w:val="21"/>
          <w:color w:val="000000"/>
        </w:rPr>
        <w:t>综合保障分系统由供配电子系统、安全子系统和配套设施三部分组成。</w:t>
      </w:r>
    </w:p>
    <w:p>
      <w:pPr>
        <w:pStyle w:val="null3"/>
        <w:ind w:firstLine="420"/>
        <w:jc w:val="both"/>
      </w:pPr>
      <w:r>
        <w:rPr>
          <w:sz w:val="21"/>
          <w:color w:val="000000"/>
        </w:rPr>
        <w:t>供配电子系统主要实现车内各设备的供电，本次采用一台车载移动电源为全系统实现供电。配备一台车载配电箱，输入输出均采用军用航空接插件。</w:t>
      </w:r>
    </w:p>
    <w:p>
      <w:pPr>
        <w:pStyle w:val="null3"/>
        <w:ind w:firstLine="420"/>
        <w:jc w:val="both"/>
      </w:pPr>
      <w:r>
        <w:rPr>
          <w:sz w:val="21"/>
          <w:color w:val="000000"/>
        </w:rPr>
        <w:t>安全子系统应充分设计考虑信号/电源方面接地/防雷的设计配置。导线、电缆的选择和布线，符合GJB 291B-2005 《军用通信车通用规范》中电磁兼容性的要求。</w:t>
      </w:r>
    </w:p>
    <w:p>
      <w:pPr>
        <w:pStyle w:val="null3"/>
        <w:ind w:firstLine="420"/>
        <w:jc w:val="both"/>
      </w:pPr>
      <w:r>
        <w:rPr>
          <w:sz w:val="21"/>
          <w:color w:val="000000"/>
        </w:rPr>
        <w:t>配套设施应配备一套便携式外接线缆盘，含不短于25M 220V电源线缆。配备一只1kg灭火器。</w:t>
      </w:r>
    </w:p>
    <w:p>
      <w:pPr>
        <w:pStyle w:val="null3"/>
        <w:ind w:firstLine="420"/>
        <w:jc w:val="both"/>
      </w:pPr>
      <w:r>
        <w:rPr>
          <w:sz w:val="21"/>
          <w:color w:val="000000"/>
        </w:rPr>
        <w:t>4</w:t>
      </w:r>
      <w:r>
        <w:rPr>
          <w:sz w:val="21"/>
          <w:color w:val="000000"/>
        </w:rPr>
        <w:t>、 系统工艺设计</w:t>
      </w:r>
    </w:p>
    <w:p>
      <w:pPr>
        <w:pStyle w:val="null3"/>
        <w:ind w:firstLine="420"/>
        <w:jc w:val="both"/>
      </w:pPr>
      <w:r>
        <w:rPr>
          <w:sz w:val="21"/>
          <w:color w:val="000000"/>
        </w:rPr>
        <w:t>从车内外改装、综合布线、电磁兼容等方面工艺进行描述，包括不限于车外改装的车顶密封防水设计、综合布线的防干扰设计、系统使用安全性设计等。</w:t>
      </w:r>
    </w:p>
    <w:p>
      <w:pPr>
        <w:pStyle w:val="null3"/>
        <w:ind w:firstLine="420"/>
        <w:jc w:val="both"/>
      </w:pPr>
      <w:r>
        <w:rPr>
          <w:sz w:val="21"/>
          <w:color w:val="000000"/>
        </w:rPr>
        <w:t>5</w:t>
      </w:r>
      <w:r>
        <w:rPr>
          <w:sz w:val="21"/>
          <w:color w:val="000000"/>
        </w:rPr>
        <w:t>、系统六性设计</w:t>
      </w:r>
    </w:p>
    <w:p>
      <w:pPr>
        <w:pStyle w:val="null3"/>
        <w:ind w:firstLine="420"/>
        <w:jc w:val="both"/>
      </w:pPr>
      <w:r>
        <w:rPr>
          <w:sz w:val="21"/>
          <w:color w:val="000000"/>
        </w:rPr>
        <w:t>系统六性设计包括系统可靠性设计、维修性设计、保障性设计、安全性设计、测试性设计和适应性设计等方面。</w:t>
      </w:r>
    </w:p>
    <w:p>
      <w:pPr>
        <w:pStyle w:val="null3"/>
        <w:ind w:firstLine="420"/>
        <w:jc w:val="both"/>
      </w:pPr>
      <w:r>
        <w:rPr>
          <w:sz w:val="21"/>
          <w:color w:val="000000"/>
        </w:rPr>
        <w:t>6</w:t>
      </w:r>
      <w:r>
        <w:rPr>
          <w:sz w:val="21"/>
          <w:color w:val="000000"/>
        </w:rPr>
        <w:t>、整车交付</w:t>
      </w:r>
    </w:p>
    <w:p>
      <w:pPr>
        <w:pStyle w:val="null3"/>
        <w:ind w:firstLine="420"/>
        <w:jc w:val="both"/>
      </w:pPr>
      <w:r>
        <w:rPr>
          <w:sz w:val="21"/>
          <w:color w:val="000000"/>
        </w:rPr>
        <w:t>在系统交付前，按照国家改装车辆相关标准进行一系列试验，保证车辆安全上路行驶。</w:t>
      </w:r>
    </w:p>
    <w:p>
      <w:pPr>
        <w:pStyle w:val="null3"/>
        <w:ind w:firstLine="420"/>
        <w:jc w:val="both"/>
      </w:pPr>
      <w:r>
        <w:rPr>
          <w:sz w:val="21"/>
          <w:color w:val="000000"/>
        </w:rPr>
        <w:t xml:space="preserve">7   </w:t>
      </w:r>
      <w:r>
        <w:rPr>
          <w:sz w:val="21"/>
          <w:color w:val="000000"/>
        </w:rPr>
        <w:t>售后服务</w:t>
      </w:r>
    </w:p>
    <w:p>
      <w:pPr>
        <w:pStyle w:val="null3"/>
        <w:ind w:firstLine="420"/>
        <w:jc w:val="both"/>
      </w:pPr>
      <w:r>
        <w:rPr>
          <w:sz w:val="21"/>
          <w:color w:val="000000"/>
        </w:rPr>
        <w:t>7.1</w:t>
      </w:r>
      <w:r>
        <w:rPr>
          <w:sz w:val="21"/>
          <w:color w:val="000000"/>
        </w:rPr>
        <w:t>售后服务承诺</w:t>
      </w:r>
    </w:p>
    <w:p>
      <w:pPr>
        <w:pStyle w:val="null3"/>
        <w:ind w:firstLine="420"/>
        <w:jc w:val="both"/>
      </w:pPr>
      <w:r>
        <w:rPr>
          <w:sz w:val="21"/>
          <w:color w:val="000000"/>
        </w:rPr>
        <w:t>为保证采购人所购系统的正常使用，明确供需双方在车辆维护和维修过程中的权利和义务，经供需双方共同协商，就供应商所售系统的有关售后服务事宜达成如下协议：</w:t>
      </w:r>
    </w:p>
    <w:p>
      <w:pPr>
        <w:pStyle w:val="null3"/>
        <w:ind w:firstLine="420"/>
        <w:jc w:val="both"/>
      </w:pPr>
      <w:r>
        <w:rPr>
          <w:sz w:val="21"/>
          <w:color w:val="000000"/>
        </w:rPr>
        <w:t>1</w:t>
      </w:r>
      <w:r>
        <w:rPr>
          <w:sz w:val="21"/>
          <w:color w:val="000000"/>
        </w:rPr>
        <w:t>）供应商保证所售汽车的未改装部份，能享受底盘生产厂的《使用说明书》和《保修手册》承诺的质量保修期和保修范围， 能享受底盘生产厂提供的各种优惠的售后服务活动。</w:t>
      </w:r>
    </w:p>
    <w:p>
      <w:pPr>
        <w:pStyle w:val="null3"/>
        <w:ind w:firstLine="420"/>
        <w:jc w:val="both"/>
      </w:pPr>
      <w:r>
        <w:rPr>
          <w:sz w:val="21"/>
          <w:color w:val="000000"/>
        </w:rPr>
        <w:t>2</w:t>
      </w:r>
      <w:r>
        <w:rPr>
          <w:sz w:val="21"/>
          <w:color w:val="000000"/>
        </w:rPr>
        <w:t>）所供货产品（包含列装设备）自甲乙双方代表在货物交付后的验收合格报告书上签字之日起计算起，提供1年的质保服务，质保期内，提供1年的保修服务（相关费用已包含在投标报价中）。配套软件终身升级。质保期内更换零配件，7×24小时技术响应，4小时内维修工程师到达维修现场。</w:t>
      </w:r>
    </w:p>
    <w:p>
      <w:pPr>
        <w:pStyle w:val="null3"/>
        <w:ind w:firstLine="420"/>
        <w:jc w:val="both"/>
      </w:pPr>
      <w:r>
        <w:rPr>
          <w:sz w:val="21"/>
          <w:color w:val="000000"/>
        </w:rPr>
        <w:t>3</w:t>
      </w:r>
      <w:r>
        <w:rPr>
          <w:sz w:val="21"/>
          <w:color w:val="000000"/>
        </w:rPr>
        <w:t>）所投产品在保修期内，如非人为原因而出现的产品质量问题，维修二次后仍然有故障，则应无条件更换同品牌、同型号的新设备或作退货处理。</w:t>
      </w:r>
    </w:p>
    <w:p>
      <w:pPr>
        <w:pStyle w:val="null3"/>
        <w:ind w:firstLine="420"/>
        <w:jc w:val="both"/>
      </w:pPr>
      <w:r>
        <w:rPr>
          <w:sz w:val="21"/>
          <w:color w:val="000000"/>
        </w:rPr>
        <w:t>4</w:t>
      </w:r>
      <w:r>
        <w:rPr>
          <w:sz w:val="21"/>
          <w:color w:val="000000"/>
        </w:rPr>
        <w:t>）质保期过后，维修只收成本费，维修人员的食宿、交通费自理。</w:t>
      </w:r>
    </w:p>
    <w:p>
      <w:pPr>
        <w:pStyle w:val="null3"/>
        <w:ind w:firstLine="420"/>
        <w:jc w:val="both"/>
      </w:pPr>
      <w:r>
        <w:rPr>
          <w:sz w:val="21"/>
          <w:color w:val="000000"/>
        </w:rPr>
        <w:t>5</w:t>
      </w:r>
      <w:r>
        <w:rPr>
          <w:sz w:val="21"/>
          <w:color w:val="000000"/>
        </w:rPr>
        <w:t>）所投标的产品应是全新的(包括所有零配件、专用工具等)，表面无划伤，无碰撞，各项技术指标完全符合国家计量检测标准；</w:t>
      </w:r>
    </w:p>
    <w:p>
      <w:pPr>
        <w:pStyle w:val="null3"/>
        <w:ind w:firstLine="420"/>
        <w:jc w:val="both"/>
      </w:pPr>
      <w:r>
        <w:rPr>
          <w:sz w:val="21"/>
          <w:color w:val="000000"/>
        </w:rPr>
        <w:t>6</w:t>
      </w:r>
      <w:r>
        <w:rPr>
          <w:sz w:val="21"/>
          <w:color w:val="000000"/>
        </w:rPr>
        <w:t>）提供现场技术培训，负责对业主的技术人员、操作人员、维修人员进行产品及系统的操作、系统的管理维护、常用技术知识进行技术培训，使培训的操作人员按操作规程能够独立操作,培训人数按照用户需求而定。培训费用含在投标报价中。</w:t>
      </w:r>
    </w:p>
    <w:p>
      <w:pPr>
        <w:pStyle w:val="null3"/>
        <w:ind w:firstLine="420"/>
        <w:jc w:val="both"/>
      </w:pPr>
      <w:r>
        <w:rPr>
          <w:sz w:val="21"/>
          <w:color w:val="000000"/>
        </w:rPr>
        <w:t>7</w:t>
      </w:r>
      <w:r>
        <w:rPr>
          <w:sz w:val="21"/>
          <w:color w:val="000000"/>
        </w:rPr>
        <w:t>）采购人应按照供应商《使用说明书》和《保修手册》的要求使用和维护车辆。</w:t>
      </w:r>
    </w:p>
    <w:p>
      <w:pPr>
        <w:pStyle w:val="null3"/>
        <w:ind w:firstLine="420"/>
        <w:jc w:val="both"/>
      </w:pPr>
      <w:r>
        <w:rPr>
          <w:sz w:val="21"/>
          <w:color w:val="000000"/>
        </w:rPr>
        <w:t>8</w:t>
      </w:r>
      <w:r>
        <w:rPr>
          <w:sz w:val="21"/>
          <w:color w:val="000000"/>
        </w:rPr>
        <w:t>）供应商为采购人所购车辆建立用户档案，并建立专门的回访制度，设立专职服务人员，为用户提供回访、技术咨询和技术培训等服务。</w:t>
      </w:r>
    </w:p>
    <w:p>
      <w:pPr>
        <w:pStyle w:val="null3"/>
        <w:ind w:firstLine="420"/>
        <w:jc w:val="both"/>
      </w:pPr>
      <w:r>
        <w:rPr>
          <w:sz w:val="21"/>
          <w:color w:val="000000"/>
        </w:rPr>
        <w:t>9</w:t>
      </w:r>
      <w:r>
        <w:rPr>
          <w:sz w:val="21"/>
          <w:color w:val="000000"/>
        </w:rPr>
        <w:t>）采购人应及时向供应商反馈车辆的售后信息，主动配合供应商的售后服务活动，以便供应商不断提高产品质量和服务水平。</w:t>
      </w:r>
    </w:p>
    <w:p>
      <w:pPr>
        <w:pStyle w:val="null3"/>
        <w:ind w:firstLine="420"/>
        <w:jc w:val="both"/>
      </w:pPr>
      <w:r>
        <w:rPr>
          <w:sz w:val="21"/>
          <w:color w:val="000000"/>
        </w:rPr>
        <w:t>10</w:t>
      </w:r>
      <w:r>
        <w:rPr>
          <w:sz w:val="21"/>
          <w:color w:val="000000"/>
        </w:rPr>
        <w:t>）供应商采用在特约维修站维修与上门维修相结合的服务方式。用户车辆能正常行驶或行驶中不存在交通安全隐患的质量故障，用户应到特约维修站维修。</w:t>
      </w:r>
    </w:p>
    <w:p>
      <w:pPr>
        <w:pStyle w:val="null3"/>
        <w:ind w:firstLine="420"/>
        <w:jc w:val="both"/>
      </w:pPr>
      <w:r>
        <w:rPr>
          <w:sz w:val="21"/>
          <w:color w:val="000000"/>
        </w:rPr>
        <w:t>11</w:t>
      </w:r>
      <w:r>
        <w:rPr>
          <w:sz w:val="21"/>
          <w:color w:val="000000"/>
        </w:rPr>
        <w:t>）用户车辆不能正常行驶或行驶中存在交通安全隐患的质量故障， 供应商可委托特约维修站上门维修。但超过保修范围或保修期限的质量故障，用户应承担相应的费用。</w:t>
      </w:r>
    </w:p>
    <w:p>
      <w:pPr>
        <w:pStyle w:val="null3"/>
        <w:ind w:firstLine="420"/>
        <w:jc w:val="both"/>
      </w:pPr>
      <w:r>
        <w:rPr>
          <w:sz w:val="21"/>
          <w:color w:val="000000"/>
        </w:rPr>
        <w:t>12</w:t>
      </w:r>
      <w:r>
        <w:rPr>
          <w:sz w:val="21"/>
          <w:color w:val="000000"/>
        </w:rPr>
        <w:t>）承诺所有硬件设备终身维护，售后服务期过后只收零配件成本费。</w:t>
      </w:r>
    </w:p>
    <w:p>
      <w:pPr>
        <w:pStyle w:val="null3"/>
        <w:ind w:firstLine="420"/>
        <w:jc w:val="both"/>
      </w:pPr>
      <w:r>
        <w:rPr>
          <w:sz w:val="21"/>
          <w:color w:val="000000"/>
        </w:rPr>
        <w:t>13</w:t>
      </w:r>
      <w:r>
        <w:rPr>
          <w:sz w:val="21"/>
          <w:color w:val="000000"/>
        </w:rPr>
        <w:t>）备品备件：专门建立备品、备件库，设备出现故障，需要返厂维修时，提供备品备件。</w:t>
      </w:r>
    </w:p>
    <w:p>
      <w:pPr>
        <w:pStyle w:val="null3"/>
        <w:ind w:firstLine="420"/>
        <w:jc w:val="both"/>
      </w:pPr>
      <w:r>
        <w:rPr>
          <w:sz w:val="21"/>
          <w:color w:val="000000"/>
        </w:rPr>
        <w:t>14</w:t>
      </w:r>
      <w:r>
        <w:rPr>
          <w:sz w:val="21"/>
          <w:color w:val="000000"/>
        </w:rPr>
        <w:t>）供应商应设立服务热线，及时为用户服务。</w:t>
      </w:r>
    </w:p>
    <w:p>
      <w:pPr>
        <w:pStyle w:val="null3"/>
        <w:ind w:firstLine="420"/>
        <w:jc w:val="both"/>
      </w:pPr>
      <w:r>
        <w:rPr>
          <w:sz w:val="21"/>
          <w:color w:val="000000"/>
        </w:rPr>
        <w:t>8</w:t>
      </w:r>
      <w:r>
        <w:rPr>
          <w:sz w:val="21"/>
          <w:color w:val="000000"/>
        </w:rPr>
        <w:t>、保密协议</w:t>
      </w:r>
    </w:p>
    <w:p>
      <w:pPr>
        <w:pStyle w:val="null3"/>
        <w:ind w:firstLine="420"/>
        <w:jc w:val="both"/>
      </w:pPr>
      <w:r>
        <w:rPr>
          <w:sz w:val="21"/>
          <w:color w:val="000000"/>
        </w:rPr>
        <w:t>8.1</w:t>
      </w:r>
      <w:r>
        <w:rPr>
          <w:sz w:val="21"/>
          <w:color w:val="000000"/>
        </w:rPr>
        <w:t>协助采购方根据相关标准制定固定资产标签；</w:t>
      </w:r>
    </w:p>
    <w:p>
      <w:pPr>
        <w:pStyle w:val="null3"/>
        <w:ind w:firstLine="420"/>
        <w:jc w:val="both"/>
      </w:pPr>
      <w:r>
        <w:rPr>
          <w:sz w:val="21"/>
          <w:color w:val="000000"/>
        </w:rPr>
        <w:t>8.2</w:t>
      </w:r>
      <w:r>
        <w:rPr>
          <w:sz w:val="21"/>
          <w:color w:val="000000"/>
        </w:rPr>
        <w:t>承建单位未经采购方允许不得将改项目相关信息透露给第三方单位；</w:t>
      </w:r>
    </w:p>
    <w:p>
      <w:pPr>
        <w:pStyle w:val="null3"/>
        <w:ind w:firstLine="420"/>
        <w:jc w:val="both"/>
      </w:pPr>
      <w:r>
        <w:rPr>
          <w:sz w:val="21"/>
          <w:color w:val="000000"/>
        </w:rPr>
        <w:t>8.3</w:t>
      </w:r>
      <w:r>
        <w:rPr>
          <w:sz w:val="21"/>
          <w:color w:val="000000"/>
        </w:rPr>
        <w:t>承建单位提供的技术资料、软件的使用权归采购人所有。</w:t>
      </w:r>
    </w:p>
    <w:p>
      <w:pPr>
        <w:pStyle w:val="null3"/>
        <w:ind w:firstLine="420"/>
        <w:jc w:val="both"/>
      </w:pPr>
      <w:r>
        <w:rPr>
          <w:sz w:val="21"/>
          <w:color w:val="000000"/>
        </w:rPr>
        <w:t>9</w:t>
      </w:r>
      <w:r>
        <w:rPr>
          <w:sz w:val="21"/>
          <w:color w:val="000000"/>
        </w:rPr>
        <w:t>、技术知识产权</w:t>
      </w:r>
    </w:p>
    <w:p>
      <w:pPr>
        <w:pStyle w:val="null3"/>
        <w:ind w:firstLine="420"/>
        <w:jc w:val="both"/>
      </w:pPr>
      <w:r>
        <w:rPr>
          <w:sz w:val="21"/>
          <w:color w:val="000000"/>
        </w:rPr>
        <w:t>特种技术车辆改造完毕交货使用后，技术知识产权归采购人所有。</w:t>
      </w:r>
    </w:p>
    <w:p>
      <w:pPr>
        <w:pStyle w:val="null3"/>
        <w:ind w:firstLine="420"/>
        <w:jc w:val="both"/>
      </w:pPr>
      <w:r>
        <w:rPr>
          <w:sz w:val="21"/>
          <w:color w:val="000000"/>
        </w:rPr>
        <w:t>10</w:t>
      </w:r>
      <w:r>
        <w:rPr>
          <w:sz w:val="21"/>
          <w:color w:val="000000"/>
        </w:rPr>
        <w:t>、固定资产</w:t>
      </w:r>
    </w:p>
    <w:p>
      <w:pPr>
        <w:pStyle w:val="null3"/>
        <w:ind w:firstLine="420"/>
        <w:jc w:val="both"/>
      </w:pPr>
      <w:r>
        <w:rPr>
          <w:sz w:val="21"/>
          <w:color w:val="000000"/>
        </w:rPr>
        <w:t>按照固定资产规定登记、造册、编号、按采购人需求喷字。</w:t>
      </w:r>
    </w:p>
    <w:p>
      <w:pPr>
        <w:pStyle w:val="null3"/>
        <w:ind w:firstLine="420"/>
        <w:jc w:val="both"/>
      </w:pPr>
      <w:r>
        <w:rPr>
          <w:sz w:val="21"/>
          <w:color w:val="000000"/>
        </w:rPr>
        <w:t>11</w:t>
      </w:r>
      <w:r>
        <w:rPr>
          <w:sz w:val="21"/>
          <w:color w:val="000000"/>
        </w:rPr>
        <w:t>、档案资料</w:t>
      </w:r>
    </w:p>
    <w:p>
      <w:pPr>
        <w:pStyle w:val="null3"/>
        <w:ind w:firstLine="420"/>
        <w:jc w:val="both"/>
      </w:pPr>
      <w:r>
        <w:rPr>
          <w:sz w:val="21"/>
          <w:color w:val="000000"/>
        </w:rPr>
        <w:t>特种技术车辆改造完毕交货使用后，有关使用维护手册、配套资料、竣工图纸、线路图、设备清单等汇总整理交采购人归档。</w:t>
      </w:r>
    </w:p>
    <w:p>
      <w:pPr>
        <w:pStyle w:val="null3"/>
        <w:ind w:firstLine="420"/>
        <w:jc w:val="both"/>
      </w:pPr>
      <w:r>
        <w:rPr>
          <w:sz w:val="21"/>
          <w:color w:val="000000"/>
        </w:rPr>
        <w:t>12</w:t>
      </w:r>
      <w:r>
        <w:rPr>
          <w:sz w:val="21"/>
          <w:color w:val="000000"/>
        </w:rPr>
        <w:t>、商务要求</w:t>
      </w:r>
    </w:p>
    <w:p>
      <w:pPr>
        <w:pStyle w:val="null3"/>
        <w:ind w:firstLine="420"/>
        <w:jc w:val="both"/>
      </w:pPr>
      <w:r>
        <w:rPr>
          <w:sz w:val="21"/>
          <w:color w:val="000000"/>
        </w:rPr>
        <w:t>12.1</w:t>
      </w:r>
      <w:r>
        <w:rPr>
          <w:sz w:val="21"/>
          <w:color w:val="000000"/>
        </w:rPr>
        <w:t>交付时间：合同签订后1个月内完成第一辆车辆的改装集成任务及交付，4个月内完成该辆车公告上牌；第二辆车辆在采购人完成原车辆报废注销完毕后通知供应商，供应商需在接到采购人通知后，1个月内完成第二辆车辆的改装集成任务及交付，2个月内完成该辆车上牌（不早于第一辆车上牌）。（需提交按时交货的承诺书，格式见第六章格式十）。</w:t>
      </w:r>
    </w:p>
    <w:p>
      <w:pPr>
        <w:pStyle w:val="null3"/>
        <w:ind w:firstLine="420"/>
        <w:jc w:val="both"/>
      </w:pPr>
      <w:r>
        <w:rPr>
          <w:sz w:val="21"/>
          <w:color w:val="000000"/>
        </w:rPr>
        <w:t>12.2</w:t>
      </w:r>
      <w:r>
        <w:rPr>
          <w:sz w:val="21"/>
          <w:color w:val="000000"/>
        </w:rPr>
        <w:t>交货地点：采购人指定地点。</w:t>
      </w:r>
    </w:p>
    <w:p>
      <w:pPr>
        <w:pStyle w:val="null3"/>
        <w:ind w:firstLine="420"/>
        <w:jc w:val="both"/>
      </w:pPr>
      <w:r>
        <w:rPr>
          <w:sz w:val="21"/>
          <w:color w:val="000000"/>
        </w:rPr>
        <w:t>12.3</w:t>
      </w:r>
      <w:r>
        <w:rPr>
          <w:sz w:val="21"/>
          <w:color w:val="000000"/>
        </w:rPr>
        <w:t>付款方式及条件：合同签订，采购人收到发票后10个工作日内支付合同总价款的</w:t>
      </w:r>
      <w:r>
        <w:rPr>
          <w:sz w:val="21"/>
        </w:rPr>
        <w:t>30</w:t>
      </w:r>
      <w:r>
        <w:rPr>
          <w:sz w:val="21"/>
          <w:color w:val="000000"/>
        </w:rPr>
        <w:t>%</w:t>
      </w:r>
      <w:r>
        <w:rPr>
          <w:sz w:val="21"/>
          <w:color w:val="000000"/>
        </w:rPr>
        <w:t>，每辆车的余款都在车辆验收合格，采购人收到发票后10个工作日内支付。</w:t>
      </w:r>
    </w:p>
    <w:p>
      <w:pPr>
        <w:pStyle w:val="null3"/>
        <w:ind w:firstLine="420"/>
        <w:jc w:val="both"/>
      </w:pPr>
      <w:r>
        <w:rPr>
          <w:sz w:val="21"/>
          <w:color w:val="000000"/>
        </w:rPr>
        <w:t>12.4</w:t>
      </w:r>
      <w:r>
        <w:rPr>
          <w:sz w:val="21"/>
          <w:color w:val="000000"/>
        </w:rPr>
        <w:t>质保期：验收合格后1年。保修期内上门维修服务，提供配件（费用含在投标报价中）。</w:t>
      </w:r>
    </w:p>
    <w:p>
      <w:pPr>
        <w:pStyle w:val="null3"/>
        <w:ind w:firstLine="420"/>
        <w:jc w:val="both"/>
      </w:pPr>
      <w:r>
        <w:rPr>
          <w:sz w:val="21"/>
          <w:color w:val="000000"/>
        </w:rPr>
        <w:t>12.5</w:t>
      </w:r>
      <w:r>
        <w:rPr>
          <w:sz w:val="21"/>
          <w:color w:val="000000"/>
        </w:rPr>
        <w:t>备品备件供应及优惠价格要求：质保期内提供正常使用的备品备件（费用含在投标报价中），质保期结束后按成本价提供。</w:t>
      </w:r>
    </w:p>
    <w:p>
      <w:pPr>
        <w:pStyle w:val="null3"/>
        <w:ind w:firstLine="420"/>
        <w:jc w:val="both"/>
      </w:pPr>
      <w:r>
        <w:rPr>
          <w:sz w:val="21"/>
          <w:color w:val="000000"/>
        </w:rPr>
        <w:t>12.6</w:t>
      </w:r>
      <w:r>
        <w:rPr>
          <w:sz w:val="21"/>
          <w:color w:val="000000"/>
        </w:rPr>
        <w:t>培训人员现场培训（操作、维护等）：现场培训（费用含在投标报价中）。</w:t>
      </w:r>
    </w:p>
    <w:p>
      <w:pPr>
        <w:pStyle w:val="null3"/>
        <w:ind w:firstLine="420"/>
        <w:jc w:val="both"/>
      </w:pPr>
      <w:r>
        <w:rPr>
          <w:sz w:val="21"/>
          <w:color w:val="000000"/>
        </w:rPr>
        <w:t>13</w:t>
      </w:r>
      <w:r>
        <w:rPr>
          <w:sz w:val="21"/>
          <w:color w:val="000000"/>
        </w:rPr>
        <w:t>、验收要求</w:t>
      </w:r>
    </w:p>
    <w:p>
      <w:pPr>
        <w:pStyle w:val="null3"/>
        <w:ind w:firstLine="420"/>
        <w:jc w:val="both"/>
      </w:pPr>
      <w:r>
        <w:rPr>
          <w:sz w:val="21"/>
          <w:color w:val="000000"/>
        </w:rPr>
        <w:t>验收时间：采购人收到中标人履约验收申请后，7日内组织验收。</w:t>
      </w:r>
    </w:p>
    <w:p>
      <w:pPr>
        <w:pStyle w:val="null3"/>
        <w:ind w:firstLine="420"/>
        <w:jc w:val="both"/>
      </w:pPr>
      <w:r>
        <w:rPr>
          <w:sz w:val="21"/>
          <w:color w:val="000000"/>
        </w:rPr>
        <w:t>验收程序：两台车分两批次分别进行验收。</w:t>
      </w:r>
    </w:p>
    <w:p>
      <w:pPr>
        <w:pStyle w:val="null3"/>
        <w:ind w:firstLine="420"/>
        <w:jc w:val="both"/>
      </w:pPr>
      <w:r>
        <w:rPr>
          <w:sz w:val="21"/>
          <w:color w:val="000000"/>
        </w:rPr>
        <w:t>验收标准：按照国家相关规定执行。</w:t>
      </w:r>
    </w:p>
    <w:p>
      <w:pPr>
        <w:pStyle w:val="null3"/>
        <w:ind w:firstLine="420"/>
        <w:jc w:val="both"/>
      </w:pPr>
      <w:r>
        <w:rPr>
          <w:sz w:val="21"/>
          <w:color w:val="000000"/>
        </w:rPr>
        <w:t>采购人组成验收小组按国家有关规定、规范进行验收，必要时邀请相关的专业人员或机构参与验收。因产品质量问题发生争议时，以第三方机构出具的书面鉴定意见为准。产品符合质量技术标准的，鉴定费由采购人承担，否则鉴定费由中标方承担。</w:t>
      </w:r>
    </w:p>
    <w:p>
      <w:pPr>
        <w:pStyle w:val="null3"/>
        <w:ind w:firstLine="420"/>
        <w:jc w:val="both"/>
      </w:pPr>
      <w:r>
        <w:rPr>
          <w:sz w:val="21"/>
          <w:color w:val="000000"/>
        </w:rPr>
        <w:t>对照投标文件、合同、补充协议和封存样品（如有）开展装配一致性查验，重点核查部件、总成的品牌及型号，包括可拆卸更换的轮（备）胎的正品检查。</w:t>
      </w:r>
    </w:p>
    <w:p>
      <w:pPr>
        <w:pStyle w:val="null3"/>
        <w:ind w:firstLine="420"/>
        <w:jc w:val="both"/>
      </w:pPr>
      <w:r>
        <w:rPr>
          <w:sz w:val="21"/>
          <w:color w:val="000000"/>
        </w:rPr>
        <w:t>对照投标文件及合同对随车器材、工具、零配件、易损件、消耗品的规格、数量和质保期等内容做检查。</w:t>
      </w:r>
    </w:p>
    <w:p>
      <w:pPr>
        <w:pStyle w:val="null3"/>
        <w:ind w:firstLine="420"/>
        <w:jc w:val="both"/>
      </w:pPr>
      <w:r>
        <w:rPr>
          <w:sz w:val="21"/>
          <w:color w:val="000000"/>
        </w:rPr>
        <w:t>对照国家及行业标准、招标文件、投标文件、合同，对车辆逐器材逐项目进行性能测试，中标人提供的产品说明书或检测机构出具的报告等书面文件不作为质量验收依据。</w:t>
      </w:r>
    </w:p>
    <w:p>
      <w:pPr>
        <w:pStyle w:val="null3"/>
        <w:ind w:firstLine="420"/>
        <w:jc w:val="both"/>
      </w:pPr>
      <w:r>
        <w:rPr>
          <w:sz w:val="21"/>
          <w:color w:val="000000"/>
        </w:rPr>
        <w:t>对照投标文件参数及合同，进行系统功能性测试。</w:t>
      </w:r>
    </w:p>
    <w:p>
      <w:pPr>
        <w:pStyle w:val="null3"/>
        <w:ind w:firstLine="420"/>
        <w:jc w:val="both"/>
      </w:pPr>
      <w:r>
        <w:rPr>
          <w:sz w:val="21"/>
          <w:color w:val="000000"/>
        </w:rPr>
        <w:t>投标内容均须提供中文产品说明书，装备/零部件须同时提供原文说明书及中文产品说明书。说明书应包括装备周期性检查及维护保养的详细说明，并提供装备操作使用和检查维护的音视频资料。其中，大型装备/车辆配备不少于4套中文说明书并提供电子版文档，同时提供全寿命周期易损件、消耗品、随车器材、工具等型号规格清单。</w:t>
      </w:r>
    </w:p>
    <w:p>
      <w:pPr>
        <w:pStyle w:val="null3"/>
        <w:ind w:firstLine="420"/>
        <w:jc w:val="both"/>
      </w:pPr>
      <w:r>
        <w:rPr>
          <w:sz w:val="21"/>
          <w:color w:val="000000"/>
        </w:rPr>
        <w:t>中标人所提供的产品须分类做好标记，并配合采购人做好固定资产的登记入库工作。</w:t>
      </w:r>
    </w:p>
    <w:p>
      <w:pPr>
        <w:pStyle w:val="null3"/>
        <w:ind w:firstLine="420"/>
        <w:jc w:val="both"/>
      </w:pPr>
      <w:r>
        <w:rPr>
          <w:sz w:val="21"/>
          <w:color w:val="000000"/>
        </w:rPr>
        <w:t>14</w:t>
      </w:r>
      <w:r>
        <w:rPr>
          <w:sz w:val="21"/>
          <w:color w:val="000000"/>
        </w:rPr>
        <w:t>、投标要求</w:t>
      </w:r>
    </w:p>
    <w:p>
      <w:pPr>
        <w:pStyle w:val="null3"/>
        <w:ind w:firstLine="420"/>
        <w:jc w:val="both"/>
      </w:pPr>
      <w:r>
        <w:rPr>
          <w:sz w:val="21"/>
          <w:color w:val="000000"/>
        </w:rPr>
        <w:t>14.1</w:t>
      </w:r>
      <w:r>
        <w:rPr>
          <w:sz w:val="21"/>
          <w:color w:val="000000"/>
        </w:rPr>
        <w:t>投标人提供整体技术方案，方案内容包括：</w:t>
      </w:r>
      <w:r>
        <w:rPr>
          <w:sz w:val="21"/>
          <w:color w:val="000000"/>
        </w:rPr>
        <w:t>（</w:t>
      </w:r>
      <w:r>
        <w:rPr>
          <w:sz w:val="21"/>
          <w:color w:val="000000"/>
        </w:rPr>
        <w:t>1</w:t>
      </w:r>
      <w:r>
        <w:rPr>
          <w:sz w:val="21"/>
          <w:color w:val="000000"/>
        </w:rPr>
        <w:t>）系统集成方案；（</w:t>
      </w:r>
      <w:r>
        <w:rPr>
          <w:sz w:val="21"/>
          <w:color w:val="000000"/>
        </w:rPr>
        <w:t>2</w:t>
      </w:r>
      <w:r>
        <w:rPr>
          <w:sz w:val="21"/>
          <w:color w:val="000000"/>
        </w:rPr>
        <w:t>）电子信息分系统设计及详细系统图；（</w:t>
      </w:r>
      <w:r>
        <w:rPr>
          <w:sz w:val="21"/>
          <w:color w:val="000000"/>
        </w:rPr>
        <w:t>3</w:t>
      </w:r>
      <w:r>
        <w:rPr>
          <w:sz w:val="21"/>
          <w:color w:val="000000"/>
        </w:rPr>
        <w:t>）综合保障分系统设计及配电方案图；（</w:t>
      </w:r>
      <w:r>
        <w:rPr>
          <w:sz w:val="21"/>
          <w:color w:val="000000"/>
        </w:rPr>
        <w:t>4</w:t>
      </w:r>
      <w:r>
        <w:rPr>
          <w:sz w:val="21"/>
          <w:color w:val="000000"/>
        </w:rPr>
        <w:t>）整车配重计算含重心布局图；（</w:t>
      </w:r>
      <w:r>
        <w:rPr>
          <w:sz w:val="21"/>
          <w:color w:val="000000"/>
        </w:rPr>
        <w:t>5</w:t>
      </w:r>
      <w:r>
        <w:rPr>
          <w:sz w:val="21"/>
          <w:color w:val="000000"/>
        </w:rPr>
        <w:t>）车辆内、外平面布置图；（</w:t>
      </w:r>
      <w:r>
        <w:rPr>
          <w:sz w:val="21"/>
          <w:color w:val="000000"/>
        </w:rPr>
        <w:t>6</w:t>
      </w:r>
      <w:r>
        <w:rPr>
          <w:sz w:val="21"/>
          <w:color w:val="000000"/>
        </w:rPr>
        <w:t>）工艺设计方案；</w:t>
      </w:r>
      <w:r>
        <w:rPr>
          <w:sz w:val="21"/>
          <w:color w:val="000000"/>
        </w:rPr>
        <w:t>(7</w:t>
      </w:r>
      <w:r>
        <w:rPr>
          <w:sz w:val="21"/>
          <w:color w:val="000000"/>
        </w:rPr>
        <w:t>）系统六性设计方案等。</w:t>
      </w:r>
      <w:r>
        <w:rPr>
          <w:sz w:val="21"/>
          <w:color w:val="000000"/>
        </w:rPr>
        <w:t>。方案要求设计合理、可行，配重计算详细，安全性能高。</w:t>
      </w:r>
    </w:p>
    <w:p>
      <w:pPr>
        <w:pStyle w:val="null3"/>
        <w:ind w:firstLine="420"/>
        <w:jc w:val="both"/>
      </w:pPr>
      <w:r>
        <w:rPr>
          <w:sz w:val="21"/>
          <w:color w:val="000000"/>
        </w:rPr>
        <w:t>14.2</w:t>
      </w:r>
      <w:r>
        <w:rPr>
          <w:sz w:val="21"/>
          <w:color w:val="000000"/>
        </w:rPr>
        <w:t>投标人提供</w:t>
      </w:r>
      <w:r>
        <w:rPr>
          <w:sz w:val="21"/>
          <w:color w:val="000000"/>
        </w:rPr>
        <w:t>安装调试及施工组织</w:t>
      </w:r>
      <w:r>
        <w:rPr>
          <w:sz w:val="21"/>
          <w:color w:val="000000"/>
        </w:rPr>
        <w:t>方案，</w:t>
      </w:r>
      <w:r>
        <w:rPr>
          <w:sz w:val="21"/>
          <w:color w:val="000000"/>
        </w:rPr>
        <w:t>方案内容</w:t>
      </w:r>
      <w:r>
        <w:rPr>
          <w:sz w:val="21"/>
          <w:color w:val="000000"/>
        </w:rPr>
        <w:t>包括：（</w:t>
      </w:r>
      <w:r>
        <w:rPr>
          <w:sz w:val="21"/>
          <w:color w:val="000000"/>
        </w:rPr>
        <w:t>1</w:t>
      </w:r>
      <w:r>
        <w:rPr>
          <w:sz w:val="21"/>
          <w:color w:val="000000"/>
        </w:rPr>
        <w:t>）安装调试方案（安装调试要符合国家的相关标准）；（</w:t>
      </w:r>
      <w:r>
        <w:rPr>
          <w:sz w:val="21"/>
          <w:color w:val="000000"/>
        </w:rPr>
        <w:t>2</w:t>
      </w:r>
      <w:r>
        <w:rPr>
          <w:sz w:val="21"/>
          <w:color w:val="000000"/>
        </w:rPr>
        <w:t>）系统联动方案（能将不同的系统进行连接和交互，实现自动化和信息的共享</w:t>
      </w:r>
      <w:r>
        <w:rPr>
          <w:sz w:val="21"/>
          <w:color w:val="000000"/>
        </w:rPr>
        <w:t>）</w:t>
      </w:r>
      <w:r>
        <w:rPr>
          <w:sz w:val="21"/>
          <w:color w:val="000000"/>
        </w:rPr>
        <w:t>；（</w:t>
      </w:r>
      <w:r>
        <w:rPr>
          <w:sz w:val="21"/>
          <w:color w:val="000000"/>
        </w:rPr>
        <w:t>3</w:t>
      </w:r>
      <w:r>
        <w:rPr>
          <w:sz w:val="21"/>
          <w:color w:val="000000"/>
        </w:rPr>
        <w:t>）交货进度方案（确保交货各</w:t>
      </w:r>
      <w:r>
        <w:rPr>
          <w:sz w:val="21"/>
          <w:color w:val="000000"/>
        </w:rPr>
        <w:t>阶段</w:t>
      </w:r>
      <w:r>
        <w:rPr>
          <w:sz w:val="21"/>
          <w:color w:val="000000"/>
        </w:rPr>
        <w:t>预计时长及上牌购买保险等预计时长能满足采购人的要求）</w:t>
      </w:r>
      <w:r>
        <w:rPr>
          <w:sz w:val="21"/>
          <w:color w:val="000000"/>
        </w:rPr>
        <w:t>。</w:t>
      </w:r>
      <w:r>
        <w:rPr>
          <w:sz w:val="21"/>
          <w:color w:val="000000"/>
        </w:rPr>
        <w:t>要求安装调试、系统联动及交货进度方案方案科学、完善，保障性及可行性高，交货进度快捷、具体</w:t>
      </w:r>
      <w:r>
        <w:rPr>
          <w:sz w:val="21"/>
          <w:color w:val="000000"/>
        </w:rPr>
        <w:t>。</w:t>
      </w:r>
    </w:p>
    <w:p>
      <w:pPr>
        <w:pStyle w:val="null3"/>
      </w:pPr>
      <w:r>
        <w:rPr/>
        <w:t>采购包1（广东省应急管理厅应急特种专业技术车辆采购项目）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个月内完成第一辆车辆的改装集成任务及交付，4个月内完成该辆车公告上牌；第二辆车辆在采购人完成原车辆报废注销完毕后通知供应商，供应商需在接到采购人通知后，1个月内完成第二辆车辆的改装集成任务及交付，2个月内完成该辆车上牌（不早于第一辆车上牌）。</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1期：支付比例30%,合同签订，采购人收到发票后10个工作日内支付合同总价款的30%。</w:t>
            </w:r>
          </w:p>
          <w:p>
            <w:pPr>
              <w:pStyle w:val="null3"/>
            </w:pPr>
            <w:r>
              <w:rPr/>
              <w:t>2期：支付比例70%,每辆车的余款都在车辆验收合格，采购人收到发票后10个工作日内支付。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1期：验收时间：采购人收到中标人履约验收申请后，7日内组织验收。 验收程序：两台车分两批次分别进行验收。 验收标准：按照国家相关规定执行。 采购人组成验收小组按国家有关规定、规范进行验收，必要时邀请相关的专业人员或机构参与验收。因产品质量问题发生争议时，以国家消防装备质量监督检验中心出具的书面鉴定意见为准。产品符合质量技术标准的，鉴定费由采购人承担，否则鉴定费由中标方承担。 对照投标文件、合同、补充协议和封存样品（如有）开展装配一致性查验，重点核查部件、总成的品牌及型号，包括可拆卸更换的轮（备）胎的正品检查。 对照投标文件及合同对随车器材、工具、零配件、易损件、消耗品的规格、数量和质保期等内容做检查。 对照国家及行业标准、招标文件、投标文件、合同，对车辆逐器材逐项目进行性能测试，中标人提供的产品说明书或检测机构出具的报告等书面文件不作为质量验收依据。 对照投标文件参数及合同，进行系统功能性测试。 投标内容均须提供中文产品说明书，装备/零部件须同时提供原文说明书及中文产品说明书。说明书应包括装备周期性检查及维护保养的详细说明，并提供装备操作使用和检查维护的音视频资料。其中，大型装备/车辆配备不少于4套中文说明书并提供电子版文档，同时提供全寿命周期易损件、消耗品、随车器材、工具等型号规格清单。 中标人所提供的产品须分类做好标记，并配合采购人做好固定资产的登记入库工作。</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通信指挥车</w:t>
            </w:r>
          </w:p>
        </w:tc>
        <w:tc>
          <w:tcPr>
            <w:tcW w:type="dxa" w:w="831"/>
          </w:tcPr>
          <w:p>
            <w:pPr>
              <w:pStyle w:val="null3"/>
              <w:jc w:val="left"/>
            </w:pPr>
            <w:r>
              <w:rPr/>
              <w:t>应急特种专业技术车辆</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600,000.00</w:t>
            </w:r>
          </w:p>
        </w:tc>
        <w:tc>
          <w:tcPr>
            <w:tcW w:type="dxa" w:w="831"/>
          </w:tcPr>
          <w:p>
            <w:pPr>
              <w:pStyle w:val="null3"/>
              <w:jc w:val="right"/>
            </w:pPr>
            <w:r>
              <w:rPr/>
              <w:t>1,200,000.00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应急特种专业技术车辆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投标人须承诺:车辆改装完成后，提供车辆上牌全部相关手续，主要包括:整车出厂合格证、环保信息随车清单、车辆一致性证书等。同时还须提供原车辆底盘的相关手续。如投标人提供的相关手续不符合国家相关规定，导致车辆无法上牌，造成的损失将由投标人全部承担。（投标时提供承诺，格式见第六章格式十）</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供应商必须承诺：改装后的特种专业技术用车必须上工信部公告。（投标时提供承诺，格式见第六章格式十）</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广东省应急管理厅</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从提交投标（响应）文件的截止之日起不少于90日历天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采购机构代理服务收费标准：投标人投标总报价须包含此费用。本项目以中标总金额为基数按差额定率累进法计算服务费，0-100万：1.5%；100-500万，1.1%。</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w:t>
      </w:r>
    </w:p>
    <w:p>
      <w:pPr>
        <w:pStyle w:val="null3"/>
        <w:ind w:firstLine="480"/>
      </w:pPr>
      <w:r>
        <w:rPr/>
        <w:t>地址：</w:t>
      </w:r>
      <w:r>
        <w:rPr/>
        <w:t>广州市越华路112号珠江国际大厦3楼质管科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应急管理厅应急特种专业技术车辆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采购包1（广东省应急管理厅应急特种专业技术车辆采购项目）：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采购包1（广东省应急管理厅应急特种专业技术车辆采购项目）：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投标。前期为本采购项目提供整体设计、规范编制或者项目管理、监理、检测等服务的供应商，不得参加本次采购活动。（可参照投标函相关承诺格式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为面向中小企业采购项目，供应商提供的货物（应急特种专业技术车辆）须由中小企业生产且使用该中小企业商号或注册商标。中小企业须符合本项目采购标的对应行业（工业）的政策划分标准的中小企业。监狱企业、残疾人福利单位视同小型、微型企业。 注1：中小企业应符合本项目采购标的对应的行业（工业）的政策划分标准，以供应商填写的《中小企业声明函（货物）》（见投标文件格式）为判定标准，残疾人福利性单位以供应商填写的《残疾人福利性单位声明函》（见投标文件格式）为判定标准，监狱企业须供应商提供由省级以上监狱管理局、戒毒管理局（含新疆生产建设兵团）出具的属于监狱企业的证明文件，否则不予认定。 注2：本项目须按货物类《中小企业声明函》进行填写，如填成服务或工程类《中小企业声明函》，则不视为中小企业。</w:t>
            </w:r>
          </w:p>
        </w:tc>
      </w:tr>
    </w:tbl>
    <w:p>
      <w:pPr>
        <w:pStyle w:val="null3"/>
        <w:ind w:firstLine="480"/>
      </w:pPr>
      <w:r>
        <w:rPr/>
        <w:t>表二符合性审查表：</w:t>
      </w:r>
    </w:p>
    <w:p>
      <w:pPr>
        <w:pStyle w:val="null3"/>
      </w:pPr>
      <w:r>
        <w:rPr/>
        <w:t>采购包1（广东省应急管理厅应急特种专业技术车辆采购项目）：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投标总金额固定唯一，未超预算</w:t>
            </w:r>
          </w:p>
        </w:tc>
        <w:tc>
          <w:tcPr>
            <w:tcW w:type="dxa" w:w="4238"/>
          </w:tcPr>
          <w:p>
            <w:pPr>
              <w:pStyle w:val="null3"/>
            </w:pPr>
            <w:r>
              <w:rPr/>
              <w:t>投标总金额是固定价且是唯一的，未超过本项目采购预算。如果评标委员会认为投标人的报价明显低于其他通过符合性审查投标人的报价，有可能影响服务质量或者不能诚信履约的，将要求其在评标现场合理的时间内提供书面说明，必要时提交相关证明材料；投标人应能证明其报价合理性。</w:t>
            </w:r>
          </w:p>
        </w:tc>
      </w:tr>
      <w:tr>
        <w:tc>
          <w:tcPr>
            <w:tcW w:type="dxa" w:w="890"/>
          </w:tcPr>
          <w:p>
            <w:pPr>
              <w:pStyle w:val="null3"/>
            </w:pPr>
            <w:r>
              <w:rPr/>
              <w:t>2</w:t>
            </w:r>
          </w:p>
        </w:tc>
        <w:tc>
          <w:tcPr>
            <w:tcW w:type="dxa" w:w="3178"/>
          </w:tcPr>
          <w:p>
            <w:pPr>
              <w:pStyle w:val="null3"/>
            </w:pPr>
            <w:r>
              <w:rPr/>
              <w:t>报价无漏项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提交投标函，投标内容无重大错漏</w:t>
            </w:r>
          </w:p>
        </w:tc>
        <w:tc>
          <w:tcPr>
            <w:tcW w:type="dxa" w:w="4238"/>
          </w:tcPr>
          <w:p>
            <w:pPr>
              <w:pStyle w:val="null3"/>
            </w:pPr>
            <w:r>
              <w:rPr/>
              <w:t>提交投标函。投标内容基本完整，无重大错漏，并按要求签署、盖章。</w:t>
            </w:r>
          </w:p>
        </w:tc>
      </w:tr>
      <w:tr>
        <w:tc>
          <w:tcPr>
            <w:tcW w:type="dxa" w:w="890"/>
          </w:tcPr>
          <w:p>
            <w:pPr>
              <w:pStyle w:val="null3"/>
            </w:pPr>
            <w:r>
              <w:rPr/>
              <w:t>4</w:t>
            </w:r>
          </w:p>
        </w:tc>
        <w:tc>
          <w:tcPr>
            <w:tcW w:type="dxa" w:w="3178"/>
          </w:tcPr>
          <w:p>
            <w:pPr>
              <w:pStyle w:val="null3"/>
            </w:pPr>
            <w:r>
              <w:rPr/>
              <w:t>提交法定代表人/负责人资格证明书及授权委托书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报价如出现修正,投标人按规定书面确认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9</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采购包1(广东省应急管理厅应急特种专业技术车辆采购项目):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整体技术方案 (20.0分)</w:t>
            </w:r>
            <w:r>
              <w:rPr/>
              <w:t>，（等次分值选择：</w:t>
            </w:r>
            <w:r>
              <w:rPr/>
              <w:t>0.0;</w:t>
            </w:r>
            <w:r>
              <w:rPr/>
              <w:t>6.0;</w:t>
            </w:r>
            <w:r>
              <w:rPr/>
              <w:t>12.0;</w:t>
            </w:r>
            <w:r>
              <w:rPr/>
              <w:t>20.0;</w:t>
            </w:r>
            <w:r>
              <w:rPr/>
              <w:t>）</w:t>
            </w:r>
          </w:p>
        </w:tc>
        <w:tc>
          <w:tcPr>
            <w:tcW w:type="dxa" w:w="5076"/>
          </w:tcPr>
          <w:p>
            <w:pPr>
              <w:pStyle w:val="null3"/>
              <w:jc w:val="left"/>
            </w:pPr>
            <w:r>
              <w:rPr/>
              <w:t>根据投标人提供的整体技术方案，方案内容包括：（1）系统集成方案；（2）电子信息分系统设计及详细系统图；（3）综合保障分系统设计及配电方案图；（4）整车配重计算含重心布局图；（5）车辆内、外平面布置图；（6）工艺设计方案；(7）系统六性设计方案等。要求方案设计合理、可行，配重计算详细，安全性能高，评审标准如下： 方案完全满足且优于项目需求，得20分； 方案完全满足项目需求，得12分； 方案不完全满足项目需求，得6分； 无提供方案不得分。</w:t>
            </w:r>
          </w:p>
        </w:tc>
      </w:tr>
      <w:tr>
        <w:tc>
          <w:tcPr>
            <w:tcW w:type="dxa" w:w="922"/>
            <w:gridSpan w:val="2"/>
            <w:vMerge/>
          </w:tcPr>
          <w:p/>
        </w:tc>
        <w:tc>
          <w:tcPr>
            <w:tcW w:type="dxa" w:w="2307"/>
          </w:tcPr>
          <w:p>
            <w:pPr>
              <w:pStyle w:val="null3"/>
              <w:jc w:val="left"/>
            </w:pPr>
            <w:r>
              <w:rPr/>
              <w:t>技术响应情况-1 (11.4分)</w:t>
            </w:r>
          </w:p>
        </w:tc>
        <w:tc>
          <w:tcPr>
            <w:tcW w:type="dxa" w:w="5076"/>
          </w:tcPr>
          <w:p>
            <w:pPr>
              <w:pStyle w:val="null3"/>
              <w:jc w:val="left"/>
            </w:pPr>
            <w:r>
              <w:rPr/>
              <w:t>投标人应根据招标文件的采购需求中“2.3 设备配置清单”的“车辆底盘”的技术参数要求，如实填写《技术和服务要求响应表》，对招标文件中的设备参数进行逐条响应和应答，没有逐条应答或响应的，视为该项参数不满足。 车辆底盘：每有一项非▲、非★的参数满足或优于得0.6分,最高11.4分。 证明文件：如采购需求中需要提供证相应证明文件的，则按照招标文件要求提供，如未按要求提供证明材料，或所提供的证明材料未能体现上述评分内容的，视为参数不满足，对应项不得分；未要求提供证明材料的指标按投标文件 “技术要求响应表”中的投标人填写的“是否偏离”为准，未填写或未响应的视为负偏离。</w:t>
            </w:r>
          </w:p>
        </w:tc>
      </w:tr>
      <w:tr>
        <w:tc>
          <w:tcPr>
            <w:tcW w:type="dxa" w:w="922"/>
            <w:gridSpan w:val="2"/>
            <w:vMerge/>
          </w:tcPr>
          <w:p/>
        </w:tc>
        <w:tc>
          <w:tcPr>
            <w:tcW w:type="dxa" w:w="2307"/>
          </w:tcPr>
          <w:p>
            <w:pPr>
              <w:pStyle w:val="null3"/>
              <w:jc w:val="left"/>
            </w:pPr>
            <w:r>
              <w:rPr/>
              <w:t>技术响应情况-2 (1.5分)</w:t>
            </w:r>
          </w:p>
        </w:tc>
        <w:tc>
          <w:tcPr>
            <w:tcW w:type="dxa" w:w="5076"/>
          </w:tcPr>
          <w:p>
            <w:pPr>
              <w:pStyle w:val="null3"/>
              <w:jc w:val="left"/>
            </w:pPr>
            <w:r>
              <w:rPr/>
              <w:t>投标人应根据招标文件的采购需求中“2.3 设备配置清单”的“车外T型云台摄像机”的技术参数要求，如实填写《技术和服务要求响应表》，对招标文件中的设备参数进行逐条响应和应答，没有逐条应答或响应的，视为该项参数不满足。 车外T型云台摄像机：每有一项非▲、非★的参数满足或优于得0.3分,最高1.5分。 证明文件：如采购需求中需要提供证相应证明文件的，则按照招标文件要求提供，如未按要求提供证明材料，或所提供的证明材料未能体现上述评分内容的，视为参数不满足，对应项不得分；未要求提供证明材料的指标按投标文件 “技术要求响应表”中的投标人填写的“是否偏离”为准，未填写或未响应的视为负偏离。</w:t>
            </w:r>
          </w:p>
        </w:tc>
      </w:tr>
      <w:tr>
        <w:tc>
          <w:tcPr>
            <w:tcW w:type="dxa" w:w="922"/>
            <w:gridSpan w:val="2"/>
            <w:vMerge/>
          </w:tcPr>
          <w:p/>
        </w:tc>
        <w:tc>
          <w:tcPr>
            <w:tcW w:type="dxa" w:w="2307"/>
          </w:tcPr>
          <w:p>
            <w:pPr>
              <w:pStyle w:val="null3"/>
              <w:jc w:val="left"/>
            </w:pPr>
            <w:r>
              <w:rPr/>
              <w:t>技术响应情况-3 (4.5分)</w:t>
            </w:r>
          </w:p>
        </w:tc>
        <w:tc>
          <w:tcPr>
            <w:tcW w:type="dxa" w:w="5076"/>
          </w:tcPr>
          <w:p>
            <w:pPr>
              <w:pStyle w:val="null3"/>
              <w:jc w:val="left"/>
            </w:pPr>
            <w:r>
              <w:rPr/>
              <w:t>投标人应根据招标文件的采购需求中“2.3 设备配置清单”的“5G路由器”的技术参数要求，如实填写《技术和服务要求响应表》，对招标文件中的设备参数进行逐条响应和应答，没有逐条应答或响应的，视为该项参数不满足。 5G路由器：每有一项非▲、非★的参数满足或优于得0.5分,最高4.5分。 证明文件：如采购需求中需要提供证相应证明文件的，则按照招标文件要求提供，如未按要求提供证明材料，或所提供的证明材料未能体现上述评分内容的，视为参数不满足，对应项不得分；未要求提供证明材料的指标按投标文件 “技术要求响应表”中的投标人填写的“是否偏离”为准，未填写或未响应的视为负偏离。</w:t>
            </w:r>
          </w:p>
        </w:tc>
      </w:tr>
      <w:tr>
        <w:tc>
          <w:tcPr>
            <w:tcW w:type="dxa" w:w="922"/>
            <w:gridSpan w:val="2"/>
            <w:vMerge/>
          </w:tcPr>
          <w:p/>
        </w:tc>
        <w:tc>
          <w:tcPr>
            <w:tcW w:type="dxa" w:w="2307"/>
          </w:tcPr>
          <w:p>
            <w:pPr>
              <w:pStyle w:val="null3"/>
              <w:jc w:val="left"/>
            </w:pPr>
            <w:r>
              <w:rPr/>
              <w:t>技术响应情况-4 (3.6分)</w:t>
            </w:r>
          </w:p>
        </w:tc>
        <w:tc>
          <w:tcPr>
            <w:tcW w:type="dxa" w:w="5076"/>
          </w:tcPr>
          <w:p>
            <w:pPr>
              <w:pStyle w:val="null3"/>
              <w:jc w:val="left"/>
            </w:pPr>
            <w:r>
              <w:rPr/>
              <w:t>投标人应根据招标文件的采购需求中“2.3 设备配置清单”的“天通卫星电话”的技术参数要求，如实填写《技术和服务要求响应表》，对招标文件中的设备参数进行逐条响应和应答，没有逐条应答或响应的，视为该项参数不满足。 天通卫星电话：每有一项非▲、非★的参数满足或优于得0.6分,最高3.6分。 证明文件：如采购需求中需要提供证相应证明文件的，则按照招标文件要求提供，如未按要求提供证明材料，或所提供的证明材料未能体现上述评分内容的，视为参数不满足，对应项不得分；未要求提供证明材料的指标按投标文件 “技术要求响应表”中的投标人填写的“是否偏离”为准，未填写或未响应的视为负偏离。</w:t>
            </w:r>
          </w:p>
        </w:tc>
      </w:tr>
      <w:tr>
        <w:tc>
          <w:tcPr>
            <w:tcW w:type="dxa" w:w="922"/>
            <w:gridSpan w:val="2"/>
            <w:vMerge/>
          </w:tcPr>
          <w:p/>
        </w:tc>
        <w:tc>
          <w:tcPr>
            <w:tcW w:type="dxa" w:w="2307"/>
          </w:tcPr>
          <w:p>
            <w:pPr>
              <w:pStyle w:val="null3"/>
              <w:jc w:val="left"/>
            </w:pPr>
            <w:r>
              <w:rPr/>
              <w:t>投标人所投的天通卫星电话获得相关专利 (3.0分)</w:t>
            </w:r>
          </w:p>
        </w:tc>
        <w:tc>
          <w:tcPr>
            <w:tcW w:type="dxa" w:w="5076"/>
          </w:tcPr>
          <w:p>
            <w:pPr>
              <w:pStyle w:val="null3"/>
              <w:jc w:val="left"/>
            </w:pPr>
            <w:r>
              <w:rPr/>
              <w:t>投标人所投的天通卫星电话获得相关专利，每1种，得1.5分,最高3分。注：提供专利证书扫描件。</w:t>
            </w:r>
          </w:p>
        </w:tc>
      </w:tr>
      <w:tr>
        <w:tc>
          <w:tcPr>
            <w:tcW w:type="dxa" w:w="922"/>
            <w:gridSpan w:val="2"/>
            <w:vMerge/>
          </w:tcPr>
          <w:p/>
        </w:tc>
        <w:tc>
          <w:tcPr>
            <w:tcW w:type="dxa" w:w="2307"/>
          </w:tcPr>
          <w:p>
            <w:pPr>
              <w:pStyle w:val="null3"/>
              <w:jc w:val="left"/>
            </w:pPr>
            <w:r>
              <w:rPr/>
              <w:t>安装调试及施工组织方案 (6.0分)</w:t>
            </w:r>
            <w:r>
              <w:rPr/>
              <w:t>，（等次分值选择：</w:t>
            </w:r>
            <w:r>
              <w:rPr/>
              <w:t>0.0;</w:t>
            </w:r>
            <w:r>
              <w:rPr/>
              <w:t>1.0;</w:t>
            </w:r>
            <w:r>
              <w:rPr/>
              <w:t>3.0;</w:t>
            </w:r>
            <w:r>
              <w:rPr/>
              <w:t>6.0;</w:t>
            </w:r>
            <w:r>
              <w:rPr/>
              <w:t>）</w:t>
            </w:r>
          </w:p>
        </w:tc>
        <w:tc>
          <w:tcPr>
            <w:tcW w:type="dxa" w:w="5076"/>
          </w:tcPr>
          <w:p>
            <w:pPr>
              <w:pStyle w:val="null3"/>
              <w:jc w:val="left"/>
            </w:pPr>
            <w:r>
              <w:rPr/>
              <w:t>根据投标人提供的安装调试及施工组织方案，包括：（1）安装调试方案；（2）系统联动方案；（3）交货进度方案（需包含交货各阶段预计时长，上牌购买保险等预计时长），要求安装调试、系统联动及交货进度方案方案科学、完善，保障性及可行性高，交货进度快捷、具体，评审标准如下： 方案完全满足且优于项目需求，得6分； 方案完全满足项目需求，得3分； 方案不完全满足项目需求，得1分； 无提供方案不得分。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投标人业绩 (6.0分)</w:t>
            </w:r>
          </w:p>
        </w:tc>
        <w:tc>
          <w:tcPr>
            <w:tcW w:type="dxa" w:w="5076"/>
          </w:tcPr>
          <w:p>
            <w:pPr>
              <w:pStyle w:val="null3"/>
              <w:jc w:val="left"/>
            </w:pPr>
            <w:r>
              <w:rPr/>
              <w:t>提供2021年1月1日以来特种专业技术车辆改装项目业绩每提供1个得1.5分，最高得6分。 提供相关合同扫描件。</w:t>
            </w:r>
          </w:p>
        </w:tc>
      </w:tr>
      <w:tr>
        <w:tc>
          <w:tcPr>
            <w:tcW w:type="dxa" w:w="922"/>
            <w:gridSpan w:val="2"/>
            <w:vMerge/>
          </w:tcPr>
          <w:p/>
        </w:tc>
        <w:tc>
          <w:tcPr>
            <w:tcW w:type="dxa" w:w="2307"/>
          </w:tcPr>
          <w:p>
            <w:pPr>
              <w:pStyle w:val="null3"/>
              <w:jc w:val="left"/>
            </w:pPr>
            <w:r>
              <w:rPr/>
              <w:t>投标人获得的认证 (4.0分)</w:t>
            </w:r>
          </w:p>
        </w:tc>
        <w:tc>
          <w:tcPr>
            <w:tcW w:type="dxa" w:w="5076"/>
          </w:tcPr>
          <w:p>
            <w:pPr>
              <w:pStyle w:val="null3"/>
              <w:jc w:val="left"/>
            </w:pPr>
            <w:r>
              <w:rPr/>
              <w:t>投标人具有下列有效体系认证证书： 1.具有售后服务能力认证：四星级或以上，得2分；其他情况，不得分。 2.具有质量管理体系认证，得2分； 注：1-2项提供证书复印件，并须同时提供在全国认证认可信息公共服务平台（www.cnca.cn）对证书的信息查询截图作为评审依据，已失效或撤销或暂停的不得分。投标人因成立时间原因不能取得上述证书且提供相关说明的，可相应得分。</w:t>
            </w:r>
          </w:p>
        </w:tc>
      </w:tr>
      <w:tr>
        <w:tc>
          <w:tcPr>
            <w:tcW w:type="dxa" w:w="922"/>
            <w:gridSpan w:val="2"/>
            <w:vMerge/>
          </w:tcPr>
          <w:p/>
        </w:tc>
        <w:tc>
          <w:tcPr>
            <w:tcW w:type="dxa" w:w="2307"/>
          </w:tcPr>
          <w:p>
            <w:pPr>
              <w:pStyle w:val="null3"/>
              <w:jc w:val="left"/>
            </w:pPr>
            <w:r>
              <w:rPr/>
              <w:t>售后服务方案 (10.0分)</w:t>
            </w:r>
            <w:r>
              <w:rPr/>
              <w:t>，（等次分值选择：</w:t>
            </w:r>
            <w:r>
              <w:rPr/>
              <w:t>0.0;</w:t>
            </w:r>
            <w:r>
              <w:rPr/>
              <w:t>3.0;</w:t>
            </w:r>
            <w:r>
              <w:rPr/>
              <w:t>6.0;</w:t>
            </w:r>
            <w:r>
              <w:rPr/>
              <w:t>10.0;</w:t>
            </w:r>
            <w:r>
              <w:rPr/>
              <w:t>）</w:t>
            </w:r>
          </w:p>
        </w:tc>
        <w:tc>
          <w:tcPr>
            <w:tcW w:type="dxa" w:w="5076"/>
          </w:tcPr>
          <w:p>
            <w:pPr>
              <w:pStyle w:val="null3"/>
              <w:jc w:val="left"/>
            </w:pPr>
            <w:r>
              <w:rPr/>
              <w:t>根据采购需求的“7.售后服务”的有关要求，投标人提供售后服务方案，方案科学、完善，保障性及可行性高，评审标准如下： 方案完全满足且优于项目需求，得10分； 方案完全满足项目需求，得6分； 方案不完全满足项目需求，得3分； 无提供方案不得分。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ind w:firstLine="1124"/>
        <w:jc w:val="both"/>
      </w:pPr>
      <w:r>
        <w:rPr>
          <w:sz w:val="28"/>
          <w:b/>
          <w:color w:val="000000"/>
        </w:rPr>
        <w:t>合同编号：</w:t>
      </w:r>
      <w:r>
        <w:rPr>
          <w:sz w:val="21"/>
          <w:u w:val="single"/>
        </w:rPr>
        <w:t xml:space="preserve">                                     </w:t>
      </w:r>
    </w:p>
    <w:p>
      <w:pPr>
        <w:pStyle w:val="null3"/>
        <w:ind w:firstLine="1124"/>
        <w:jc w:val="both"/>
      </w:pPr>
      <w:r>
        <w:rPr>
          <w:sz w:val="28"/>
          <w:b/>
          <w:color w:val="000000"/>
        </w:rPr>
        <w:t>项目名称：</w:t>
      </w:r>
      <w:r>
        <w:rPr>
          <w:sz w:val="21"/>
          <w:u w:val="single"/>
        </w:rPr>
        <w:t xml:space="preserve">                                     </w:t>
      </w:r>
    </w:p>
    <w:p>
      <w:pPr>
        <w:pStyle w:val="null3"/>
        <w:ind w:firstLine="1124"/>
        <w:jc w:val="both"/>
      </w:pPr>
      <w:r>
        <w:rPr>
          <w:sz w:val="28"/>
          <w:b/>
          <w:color w:val="000000"/>
        </w:rPr>
        <w:t>甲方：</w:t>
      </w:r>
      <w:r>
        <w:rPr>
          <w:sz w:val="21"/>
          <w:u w:val="single"/>
        </w:rPr>
        <w:t xml:space="preserve">                                         </w:t>
      </w:r>
    </w:p>
    <w:p>
      <w:pPr>
        <w:pStyle w:val="null3"/>
        <w:ind w:firstLine="1124"/>
        <w:jc w:val="both"/>
      </w:pPr>
      <w:r>
        <w:rPr>
          <w:sz w:val="28"/>
          <w:b/>
          <w:color w:val="000000"/>
        </w:rPr>
        <w:t>乙方：</w:t>
      </w:r>
      <w:r>
        <w:rPr>
          <w:sz w:val="21"/>
          <w:u w:val="single"/>
        </w:rPr>
        <w:t xml:space="preserve">                                         </w:t>
      </w:r>
    </w:p>
    <w:p>
      <w:pPr>
        <w:pStyle w:val="null3"/>
        <w:ind w:firstLine="1124"/>
        <w:jc w:val="both"/>
      </w:pPr>
      <w:r>
        <w:rPr>
          <w:sz w:val="28"/>
          <w:b/>
          <w:color w:val="000000"/>
        </w:rPr>
        <w:t>签订时间：</w:t>
      </w:r>
      <w:r>
        <w:rPr>
          <w:sz w:val="21"/>
          <w:u w:val="single"/>
        </w:rPr>
        <w:t xml:space="preserve">                                     </w:t>
      </w:r>
    </w:p>
    <w:p>
      <w:pPr>
        <w:pStyle w:val="null3"/>
        <w:ind w:firstLine="1124"/>
        <w:jc w:val="both"/>
      </w:pPr>
      <w:r>
        <w:rPr>
          <w:sz w:val="28"/>
          <w:b/>
          <w:color w:val="000000"/>
        </w:rPr>
        <w:t>签订地点：</w:t>
      </w:r>
      <w:r>
        <w:rPr>
          <w:sz w:val="21"/>
          <w:u w:val="single"/>
        </w:rPr>
        <w:t xml:space="preserve">                                      </w:t>
      </w:r>
    </w:p>
    <w:p>
      <w:pPr>
        <w:pStyle w:val="null3"/>
        <w:ind w:firstLine="480"/>
        <w:jc w:val="both"/>
      </w:pPr>
      <w:r>
        <w:rPr/>
        <w:t xml:space="preserve"> </w:t>
      </w:r>
    </w:p>
    <w:p>
      <w:pPr>
        <w:pStyle w:val="null3"/>
        <w:ind w:firstLine="482"/>
        <w:jc w:val="both"/>
      </w:pPr>
      <w:r>
        <w:rPr/>
        <w:t xml:space="preserve"> </w:t>
      </w:r>
    </w:p>
    <w:p>
      <w:pPr>
        <w:pStyle w:val="null3"/>
        <w:ind w:firstLine="482"/>
        <w:jc w:val="both"/>
      </w:pPr>
      <w:r>
        <w:rPr/>
        <w:t xml:space="preserve"> </w:t>
      </w:r>
    </w:p>
    <w:p>
      <w:pPr>
        <w:pStyle w:val="null3"/>
        <w:ind w:firstLine="482"/>
        <w:jc w:val="both"/>
      </w:pPr>
      <w:r>
        <w:rPr/>
        <w:t xml:space="preserve"> </w:t>
      </w:r>
    </w:p>
    <w:p>
      <w:pPr>
        <w:pStyle w:val="null3"/>
        <w:ind w:firstLine="482"/>
        <w:jc w:val="both"/>
      </w:pPr>
      <w:r>
        <w:rPr/>
        <w:t xml:space="preserve"> </w:t>
      </w:r>
    </w:p>
    <w:p>
      <w:pPr>
        <w:pStyle w:val="null3"/>
        <w:ind w:firstLine="482"/>
        <w:jc w:val="both"/>
      </w:pPr>
      <w:r>
        <w:rPr/>
        <w:t xml:space="preserve"> </w:t>
      </w:r>
    </w:p>
    <w:p>
      <w:pPr>
        <w:pStyle w:val="null3"/>
        <w:ind w:firstLine="482"/>
        <w:jc w:val="both"/>
      </w:pPr>
      <w:r>
        <w:rPr/>
        <w:t xml:space="preserve"> </w:t>
      </w:r>
    </w:p>
    <w:p>
      <w:pPr>
        <w:pStyle w:val="null3"/>
        <w:ind w:firstLine="482"/>
        <w:jc w:val="both"/>
      </w:pPr>
      <w:r>
        <w:rPr/>
        <w:t xml:space="preserve"> </w:t>
      </w:r>
    </w:p>
    <w:p>
      <w:pPr>
        <w:pStyle w:val="null3"/>
        <w:ind w:firstLine="482"/>
        <w:jc w:val="both"/>
      </w:pPr>
      <w:r>
        <w:rPr/>
        <w:t xml:space="preserve"> </w:t>
      </w:r>
    </w:p>
    <w:p>
      <w:pPr>
        <w:pStyle w:val="null3"/>
        <w:ind w:firstLine="482"/>
        <w:jc w:val="both"/>
      </w:pPr>
      <w:r>
        <w:rPr/>
        <w:t xml:space="preserve"> </w:t>
      </w:r>
    </w:p>
    <w:p>
      <w:pPr>
        <w:pStyle w:val="null3"/>
        <w:ind w:firstLine="482"/>
        <w:jc w:val="both"/>
      </w:pPr>
      <w:r>
        <w:rPr/>
        <w:t xml:space="preserve"> </w:t>
      </w:r>
    </w:p>
    <w:p>
      <w:pPr>
        <w:pStyle w:val="null3"/>
        <w:ind w:firstLine="482"/>
        <w:jc w:val="both"/>
      </w:pPr>
      <w:r>
        <w:rPr/>
        <w:t xml:space="preserve"> </w:t>
      </w:r>
    </w:p>
    <w:p>
      <w:pPr>
        <w:pStyle w:val="null3"/>
        <w:ind w:firstLine="482"/>
        <w:jc w:val="both"/>
      </w:pPr>
      <w:r>
        <w:rPr/>
        <w:t xml:space="preserve"> </w:t>
      </w:r>
    </w:p>
    <w:p>
      <w:pPr>
        <w:pStyle w:val="null3"/>
        <w:ind w:firstLine="482"/>
        <w:jc w:val="both"/>
      </w:pPr>
      <w:r>
        <w:rPr/>
        <w:t xml:space="preserve"> </w:t>
      </w:r>
    </w:p>
    <w:p>
      <w:pPr>
        <w:pStyle w:val="null3"/>
        <w:ind w:firstLine="482"/>
        <w:jc w:val="both"/>
      </w:pPr>
      <w:r>
        <w:rPr/>
        <w:t xml:space="preserve"> </w:t>
      </w:r>
    </w:p>
    <w:p>
      <w:pPr>
        <w:pStyle w:val="null3"/>
        <w:ind w:firstLine="482"/>
        <w:jc w:val="both"/>
      </w:pPr>
      <w:r>
        <w:rPr/>
        <w:t xml:space="preserve"> </w:t>
      </w:r>
    </w:p>
    <w:p>
      <w:pPr>
        <w:pStyle w:val="null3"/>
        <w:ind w:firstLine="482"/>
        <w:jc w:val="both"/>
      </w:pPr>
      <w:r>
        <w:rPr/>
        <w:t xml:space="preserve"> </w:t>
      </w:r>
    </w:p>
    <w:p>
      <w:pPr>
        <w:pStyle w:val="null3"/>
        <w:ind w:firstLine="482"/>
        <w:jc w:val="both"/>
      </w:pPr>
      <w:r>
        <w:rPr>
          <w:sz w:val="24"/>
          <w:b/>
        </w:rPr>
        <w:t>甲方：</w:t>
      </w:r>
      <w:r>
        <w:rPr>
          <w:sz w:val="24"/>
          <w:u w:val="single"/>
        </w:rPr>
        <w:t xml:space="preserve"> 广东省应急管理厅                                         </w:t>
      </w:r>
    </w:p>
    <w:p>
      <w:pPr>
        <w:pStyle w:val="null3"/>
        <w:ind w:firstLine="480"/>
        <w:jc w:val="both"/>
      </w:pPr>
      <w:r>
        <w:rPr>
          <w:sz w:val="24"/>
        </w:rPr>
        <w:t>联系地址：</w:t>
      </w:r>
      <w:r>
        <w:rPr>
          <w:sz w:val="24"/>
          <w:u w:val="single"/>
        </w:rPr>
        <w:t xml:space="preserve"> 广州市越秀区建设大马路19号                          </w:t>
      </w:r>
    </w:p>
    <w:p>
      <w:pPr>
        <w:pStyle w:val="null3"/>
        <w:ind w:firstLine="480"/>
        <w:jc w:val="both"/>
      </w:pPr>
      <w:r>
        <w:rPr>
          <w:sz w:val="24"/>
        </w:rPr>
        <w:t>联系人：</w:t>
      </w:r>
      <w:r>
        <w:rPr>
          <w:sz w:val="24"/>
          <w:u w:val="single"/>
        </w:rPr>
        <w:t xml:space="preserve">               </w:t>
      </w:r>
      <w:r>
        <w:rPr>
          <w:sz w:val="24"/>
        </w:rPr>
        <w:t xml:space="preserve"> 联系方式：</w:t>
      </w:r>
      <w:r>
        <w:rPr>
          <w:sz w:val="24"/>
          <w:u w:val="single"/>
        </w:rPr>
        <w:t xml:space="preserve">                               </w:t>
      </w:r>
    </w:p>
    <w:p>
      <w:pPr>
        <w:pStyle w:val="null3"/>
        <w:ind w:firstLine="482"/>
        <w:jc w:val="both"/>
      </w:pPr>
      <w:r>
        <w:rPr>
          <w:sz w:val="24"/>
          <w:b/>
        </w:rPr>
        <w:t>乙方：</w:t>
      </w:r>
      <w:r>
        <w:rPr>
          <w:sz w:val="21"/>
          <w:u w:val="single"/>
        </w:rPr>
        <w:t xml:space="preserve">                                                            </w:t>
      </w:r>
    </w:p>
    <w:p>
      <w:pPr>
        <w:pStyle w:val="null3"/>
        <w:ind w:firstLine="480"/>
        <w:jc w:val="both"/>
      </w:pPr>
      <w:r>
        <w:rPr>
          <w:sz w:val="24"/>
        </w:rPr>
        <w:t>联系地址：</w:t>
      </w:r>
      <w:r>
        <w:rPr>
          <w:sz w:val="24"/>
          <w:u w:val="single"/>
        </w:rPr>
        <w:t xml:space="preserve">                                                        </w:t>
      </w:r>
    </w:p>
    <w:p>
      <w:pPr>
        <w:pStyle w:val="null3"/>
        <w:ind w:firstLine="480"/>
        <w:jc w:val="both"/>
      </w:pPr>
      <w:r>
        <w:rPr>
          <w:sz w:val="24"/>
        </w:rPr>
        <w:t>联系人：</w:t>
      </w:r>
      <w:r>
        <w:rPr>
          <w:sz w:val="24"/>
          <w:u w:val="single"/>
        </w:rPr>
        <w:t xml:space="preserve">               </w:t>
      </w:r>
      <w:r>
        <w:rPr>
          <w:sz w:val="24"/>
        </w:rPr>
        <w:t xml:space="preserve"> 联系方式：</w:t>
      </w:r>
      <w:r>
        <w:rPr>
          <w:sz w:val="24"/>
          <w:u w:val="single"/>
        </w:rPr>
        <w:t xml:space="preserve">                               </w:t>
      </w:r>
    </w:p>
    <w:p>
      <w:pPr>
        <w:pStyle w:val="null3"/>
        <w:ind w:firstLine="480"/>
        <w:jc w:val="left"/>
      </w:pPr>
      <w:r>
        <w:rPr>
          <w:sz w:val="24"/>
        </w:rPr>
        <w:t>鉴于：甲乙双方就</w:t>
      </w:r>
      <w:r>
        <w:rPr>
          <w:sz w:val="24"/>
          <w:u w:val="single"/>
        </w:rPr>
        <w:t xml:space="preserve">                               </w:t>
      </w:r>
      <w:r>
        <w:rPr>
          <w:sz w:val="24"/>
        </w:rPr>
        <w:t>事宜，按照《中华人民共和国政府采购法》《中华人民共和国</w:t>
      </w:r>
      <w:r>
        <w:rPr>
          <w:sz w:val="24"/>
        </w:rPr>
        <w:t>民法典</w:t>
      </w:r>
      <w:r>
        <w:rPr>
          <w:sz w:val="24"/>
        </w:rPr>
        <w:t>》等法律法规，经协商一致，达成本合同，共同遵照履行。</w:t>
      </w:r>
    </w:p>
    <w:p>
      <w:pPr>
        <w:pStyle w:val="null3"/>
        <w:ind w:firstLine="482"/>
        <w:jc w:val="left"/>
      </w:pPr>
      <w:r>
        <w:rPr>
          <w:sz w:val="24"/>
          <w:b/>
        </w:rPr>
        <w:t>第一条  合同标的</w:t>
      </w:r>
      <w:r>
        <w:rPr>
          <w:sz w:val="24"/>
        </w:rPr>
        <w:t>（详见附件《</w:t>
      </w:r>
      <w:r>
        <w:rPr>
          <w:sz w:val="24"/>
        </w:rPr>
        <w:t>货物质量规格明细表</w:t>
      </w:r>
      <w:r>
        <w:rPr>
          <w:sz w:val="24"/>
        </w:rPr>
        <w:t>》）</w:t>
      </w:r>
    </w:p>
    <w:p>
      <w:pPr>
        <w:pStyle w:val="null3"/>
        <w:ind w:firstLine="480"/>
        <w:jc w:val="left"/>
      </w:pPr>
      <w:r>
        <w:rPr>
          <w:sz w:val="24"/>
          <w:u w:val="single"/>
        </w:rPr>
        <w:t xml:space="preserve">1.              </w:t>
      </w:r>
      <w:r>
        <w:rPr>
          <w:sz w:val="24"/>
          <w:u w:val="single"/>
        </w:rPr>
        <w:t xml:space="preserve">，数量        </w:t>
      </w:r>
      <w:r>
        <w:rPr>
          <w:sz w:val="21"/>
        </w:rPr>
        <w:t xml:space="preserve">       </w:t>
      </w:r>
    </w:p>
    <w:p>
      <w:pPr>
        <w:pStyle w:val="null3"/>
        <w:ind w:firstLine="480"/>
        <w:jc w:val="left"/>
      </w:pPr>
      <w:r>
        <w:rPr>
          <w:sz w:val="24"/>
          <w:u w:val="single"/>
        </w:rPr>
        <w:t>2.</w:t>
      </w:r>
      <w:r>
        <w:rPr>
          <w:sz w:val="24"/>
          <w:u w:val="single"/>
        </w:rPr>
        <w:t xml:space="preserve">质量（规格）：         </w:t>
      </w:r>
    </w:p>
    <w:p>
      <w:pPr>
        <w:pStyle w:val="null3"/>
        <w:jc w:val="left"/>
      </w:pPr>
      <w:r>
        <w:rPr>
          <w:sz w:val="24"/>
          <w:b/>
        </w:rPr>
        <w:t xml:space="preserve">      第二条  交付</w:t>
      </w:r>
      <w:r>
        <w:rPr>
          <w:sz w:val="24"/>
          <w:b/>
        </w:rPr>
        <w:t>时间</w:t>
      </w:r>
    </w:p>
    <w:p>
      <w:pPr>
        <w:pStyle w:val="null3"/>
        <w:ind w:firstLine="480"/>
        <w:jc w:val="left"/>
      </w:pPr>
      <w:r>
        <w:rPr>
          <w:sz w:val="24"/>
        </w:rPr>
        <w:t>1.</w:t>
      </w:r>
      <w:r>
        <w:rPr>
          <w:sz w:val="24"/>
        </w:rPr>
        <w:t>乙方应在本合同签订之日起</w:t>
      </w:r>
      <w:r>
        <w:rPr>
          <w:sz w:val="24"/>
          <w:u w:val="single"/>
        </w:rPr>
        <w:t xml:space="preserve">      </w:t>
      </w:r>
      <w:r>
        <w:rPr>
          <w:sz w:val="24"/>
        </w:rPr>
        <w:t>日内，将货物送达甲方指定地址，因交货产生的费用由乙方自行承担。</w:t>
      </w:r>
    </w:p>
    <w:p>
      <w:pPr>
        <w:pStyle w:val="null3"/>
        <w:ind w:firstLine="480"/>
        <w:jc w:val="left"/>
      </w:pPr>
      <w:r>
        <w:rPr>
          <w:sz w:val="24"/>
        </w:rPr>
        <w:t>2.</w:t>
      </w:r>
      <w:r>
        <w:rPr>
          <w:sz w:val="24"/>
        </w:rPr>
        <w:t>甲方指定送达地址为：</w:t>
      </w:r>
      <w:r>
        <w:rPr>
          <w:sz w:val="24"/>
          <w:u w:val="single"/>
        </w:rPr>
        <w:t>广州市建设大马路19号</w:t>
      </w:r>
    </w:p>
    <w:p>
      <w:pPr>
        <w:pStyle w:val="null3"/>
        <w:ind w:firstLine="482"/>
        <w:jc w:val="left"/>
      </w:pPr>
      <w:r>
        <w:rPr>
          <w:sz w:val="24"/>
          <w:b/>
        </w:rPr>
        <w:t>第三条  合同价款</w:t>
      </w:r>
    </w:p>
    <w:p>
      <w:pPr>
        <w:pStyle w:val="null3"/>
        <w:ind w:firstLine="480"/>
        <w:jc w:val="left"/>
      </w:pPr>
      <w:r>
        <w:rPr>
          <w:sz w:val="24"/>
        </w:rPr>
        <w:t>合同价款为：人民币（大写）</w:t>
      </w:r>
      <w:r>
        <w:rPr>
          <w:sz w:val="24"/>
          <w:u w:val="single"/>
        </w:rPr>
        <w:t xml:space="preserve">          </w:t>
      </w:r>
      <w:r>
        <w:rPr>
          <w:sz w:val="24"/>
        </w:rPr>
        <w:t>元整（¥</w:t>
      </w:r>
      <w:r>
        <w:rPr>
          <w:sz w:val="24"/>
          <w:u w:val="single"/>
        </w:rPr>
        <w:t xml:space="preserve">        </w:t>
      </w:r>
      <w:r>
        <w:rPr>
          <w:sz w:val="24"/>
        </w:rPr>
        <w:t>元）。该合同价款是含税价，包括但不限于货物价款、包装费、运费、保险费、</w:t>
      </w:r>
      <w:r>
        <w:rPr>
          <w:sz w:val="24"/>
        </w:rPr>
        <w:t>装卸费、</w:t>
      </w:r>
      <w:r>
        <w:rPr>
          <w:sz w:val="24"/>
        </w:rPr>
        <w:t>安装费、质保期费用等所有费用，该合同价款为固定金额，除此之外，甲方不再支付任何费用。</w:t>
      </w:r>
    </w:p>
    <w:p>
      <w:pPr>
        <w:pStyle w:val="null3"/>
        <w:ind w:firstLine="482"/>
        <w:jc w:val="left"/>
      </w:pPr>
      <w:r>
        <w:rPr>
          <w:sz w:val="24"/>
          <w:b/>
        </w:rPr>
        <w:t>第四条  支付方式</w:t>
      </w:r>
    </w:p>
    <w:p>
      <w:pPr>
        <w:pStyle w:val="null3"/>
        <w:ind w:firstLine="480"/>
        <w:jc w:val="left"/>
      </w:pPr>
      <w:r>
        <w:rPr>
          <w:sz w:val="24"/>
        </w:rPr>
        <w:t>1.</w:t>
      </w:r>
      <w:r>
        <w:rPr>
          <w:sz w:val="24"/>
        </w:rPr>
        <w:t>分期付款：</w:t>
      </w:r>
    </w:p>
    <w:p>
      <w:pPr>
        <w:pStyle w:val="null3"/>
        <w:ind w:firstLine="480"/>
        <w:jc w:val="left"/>
      </w:pPr>
      <w:r>
        <w:rPr>
          <w:sz w:val="24"/>
        </w:rPr>
        <w:t>（1）合同签订后，支付合同价款的</w:t>
      </w:r>
      <w:r>
        <w:rPr>
          <w:sz w:val="24"/>
          <w:u w:val="single"/>
        </w:rPr>
        <w:t xml:space="preserve">   </w:t>
      </w:r>
      <w:r>
        <w:rPr>
          <w:sz w:val="24"/>
        </w:rPr>
        <w:t>%，即</w:t>
      </w:r>
      <w:r>
        <w:rPr>
          <w:sz w:val="24"/>
          <w:u w:val="single"/>
        </w:rPr>
        <w:t xml:space="preserve">        元</w:t>
      </w:r>
      <w:r>
        <w:rPr>
          <w:sz w:val="24"/>
        </w:rPr>
        <w:t>；</w:t>
      </w:r>
    </w:p>
    <w:p>
      <w:pPr>
        <w:pStyle w:val="null3"/>
        <w:ind w:firstLine="480"/>
        <w:jc w:val="left"/>
      </w:pPr>
      <w:r>
        <w:rPr>
          <w:sz w:val="24"/>
        </w:rPr>
        <w:t>（2）货物验收合格（或货物安装调试合格）后，支付合同价款的</w:t>
      </w:r>
      <w:r>
        <w:rPr>
          <w:sz w:val="24"/>
          <w:u w:val="single"/>
        </w:rPr>
        <w:t xml:space="preserve">   </w:t>
      </w:r>
      <w:r>
        <w:rPr>
          <w:sz w:val="24"/>
        </w:rPr>
        <w:t>%，即</w:t>
      </w:r>
      <w:r>
        <w:rPr>
          <w:sz w:val="24"/>
          <w:u w:val="single"/>
        </w:rPr>
        <w:t xml:space="preserve">        元</w:t>
      </w:r>
      <w:r>
        <w:rPr>
          <w:sz w:val="24"/>
        </w:rPr>
        <w:t>；</w:t>
      </w:r>
    </w:p>
    <w:p>
      <w:pPr>
        <w:pStyle w:val="null3"/>
        <w:jc w:val="left"/>
      </w:pPr>
      <w:r>
        <w:rPr>
          <w:sz w:val="21"/>
        </w:rPr>
        <w:t xml:space="preserve">        </w:t>
      </w:r>
      <w:r>
        <w:rPr>
          <w:sz w:val="24"/>
        </w:rPr>
        <w:t>（3）质保期</w:t>
      </w:r>
      <w:r>
        <w:rPr>
          <w:sz w:val="24"/>
        </w:rPr>
        <w:t>（如有）</w:t>
      </w:r>
      <w:r>
        <w:rPr>
          <w:sz w:val="24"/>
        </w:rPr>
        <w:t>届满后，支付合同价款的</w:t>
      </w:r>
      <w:r>
        <w:rPr>
          <w:sz w:val="24"/>
          <w:u w:val="single"/>
        </w:rPr>
        <w:t xml:space="preserve">   </w:t>
      </w:r>
      <w:r>
        <w:rPr>
          <w:sz w:val="24"/>
        </w:rPr>
        <w:t>%，即</w:t>
      </w:r>
      <w:r>
        <w:rPr>
          <w:sz w:val="24"/>
          <w:u w:val="single"/>
        </w:rPr>
        <w:t xml:space="preserve">        元</w:t>
      </w:r>
      <w:r>
        <w:rPr>
          <w:sz w:val="24"/>
        </w:rPr>
        <w:t>。</w:t>
      </w:r>
    </w:p>
    <w:p>
      <w:pPr>
        <w:pStyle w:val="null3"/>
        <w:ind w:firstLine="480"/>
        <w:jc w:val="left"/>
      </w:pPr>
      <w:r>
        <w:rPr>
          <w:sz w:val="24"/>
        </w:rPr>
        <w:t>2.</w:t>
      </w:r>
      <w:r>
        <w:rPr>
          <w:sz w:val="24"/>
        </w:rPr>
        <w:t>支付时间：每次甲方支付款项前，应由乙方</w:t>
      </w:r>
      <w:r>
        <w:rPr>
          <w:sz w:val="24"/>
        </w:rPr>
        <w:t>提出付款申请并提供</w:t>
      </w:r>
      <w:r>
        <w:rPr>
          <w:sz w:val="24"/>
        </w:rPr>
        <w:t>等额增值税发票，</w:t>
      </w:r>
      <w:r>
        <w:rPr>
          <w:sz w:val="24"/>
        </w:rPr>
        <w:t>甲方在收到乙方付款申请和发票后</w:t>
      </w:r>
      <w:r>
        <w:rPr>
          <w:sz w:val="21"/>
          <w:u w:val="single"/>
        </w:rPr>
        <w:t xml:space="preserve">    </w:t>
      </w:r>
      <w:r>
        <w:rPr>
          <w:sz w:val="24"/>
        </w:rPr>
        <w:t>个工作日内</w:t>
      </w:r>
      <w:r>
        <w:rPr>
          <w:sz w:val="24"/>
        </w:rPr>
        <w:t>支付价款。</w:t>
      </w:r>
    </w:p>
    <w:p>
      <w:pPr>
        <w:pStyle w:val="null3"/>
        <w:ind w:firstLine="480"/>
        <w:jc w:val="both"/>
      </w:pPr>
      <w:r>
        <w:rPr>
          <w:sz w:val="24"/>
        </w:rPr>
        <w:t>3.</w:t>
      </w:r>
      <w:r>
        <w:rPr>
          <w:sz w:val="24"/>
        </w:rPr>
        <w:t>因甲方使用财政资金，甲方应在前款规定付款时间内向政府财政支付部门提出办理财政支付申请手续（不含政府财政支付部门审核的时间），具体到账时间以政府财政支付部门为准。如因政府财政支付管理流程导致的支付延期，甲方不承担责任，乙方不得以此为由迟延履行或不履行合同义务。</w:t>
      </w:r>
    </w:p>
    <w:p>
      <w:pPr>
        <w:pStyle w:val="null3"/>
        <w:ind w:firstLine="480"/>
        <w:jc w:val="both"/>
      </w:pPr>
      <w:r>
        <w:rPr>
          <w:sz w:val="24"/>
        </w:rPr>
        <w:t>4.</w:t>
      </w:r>
      <w:r>
        <w:rPr>
          <w:sz w:val="24"/>
        </w:rPr>
        <w:t>乙方收款信息如下：</w:t>
      </w:r>
    </w:p>
    <w:p>
      <w:pPr>
        <w:pStyle w:val="null3"/>
        <w:ind w:firstLine="480"/>
        <w:jc w:val="both"/>
      </w:pPr>
      <w:r>
        <w:rPr>
          <w:sz w:val="24"/>
        </w:rPr>
        <w:t>户  名：</w:t>
      </w:r>
      <w:r>
        <w:rPr>
          <w:sz w:val="24"/>
          <w:u w:val="single"/>
        </w:rPr>
        <w:t xml:space="preserve">                        </w:t>
      </w:r>
    </w:p>
    <w:p>
      <w:pPr>
        <w:pStyle w:val="null3"/>
        <w:ind w:firstLine="480"/>
        <w:jc w:val="both"/>
      </w:pPr>
      <w:r>
        <w:rPr>
          <w:sz w:val="24"/>
        </w:rPr>
        <w:t>开户行：</w:t>
      </w:r>
      <w:r>
        <w:rPr>
          <w:sz w:val="24"/>
          <w:u w:val="single"/>
        </w:rPr>
        <w:t xml:space="preserve">                        </w:t>
      </w:r>
    </w:p>
    <w:p>
      <w:pPr>
        <w:pStyle w:val="null3"/>
        <w:ind w:firstLine="480"/>
        <w:jc w:val="both"/>
      </w:pPr>
      <w:r>
        <w:rPr>
          <w:sz w:val="24"/>
        </w:rPr>
        <w:t>账  号：</w:t>
      </w:r>
      <w:r>
        <w:rPr>
          <w:sz w:val="24"/>
          <w:u w:val="single"/>
        </w:rPr>
        <w:t xml:space="preserve">                        </w:t>
      </w:r>
    </w:p>
    <w:p>
      <w:pPr>
        <w:pStyle w:val="null3"/>
        <w:ind w:firstLine="482"/>
        <w:jc w:val="left"/>
      </w:pPr>
      <w:r>
        <w:rPr>
          <w:sz w:val="24"/>
          <w:b/>
        </w:rPr>
        <w:t>第五条  权利及质量保证</w:t>
      </w:r>
    </w:p>
    <w:p>
      <w:pPr>
        <w:pStyle w:val="null3"/>
        <w:ind w:firstLine="480"/>
        <w:jc w:val="left"/>
      </w:pPr>
      <w:r>
        <w:rPr>
          <w:sz w:val="24"/>
        </w:rPr>
        <w:t>1.</w:t>
      </w:r>
      <w:r>
        <w:rPr>
          <w:sz w:val="24"/>
        </w:rPr>
        <w:t>乙方保证甲方在使用本合同项下货物或货物的任何一部分时，不会产生因第三方提出的包括但不限于侵犯其专利权、商标权、工业设计权等知识产权和侵犯其所有权、抵押权等物权及其他权利而引发的纠纷。如有纠纷，甲方有权中止支付相应价款，并有权解除本合同，乙方应承担全部责任。</w:t>
      </w:r>
    </w:p>
    <w:p>
      <w:pPr>
        <w:pStyle w:val="null3"/>
        <w:ind w:firstLine="480"/>
        <w:jc w:val="left"/>
      </w:pPr>
      <w:r>
        <w:rPr>
          <w:sz w:val="24"/>
        </w:rPr>
        <w:t>2.</w:t>
      </w:r>
      <w:r>
        <w:rPr>
          <w:sz w:val="24"/>
        </w:rPr>
        <w:t>乙方所提供的货物的技术规格符合招投标文件及本合同规定的技术规格，货物符合中华人民共和国的设计和制造生产标准或行业标准。乙方应保证货物是全新、未使用过的原装合格正品（包括零部件），并完全符合甲方要求的质量、规格和性能的要求。</w:t>
      </w:r>
      <w:r>
        <w:rPr>
          <w:sz w:val="24"/>
          <w:u w:val="single"/>
        </w:rPr>
        <w:t>如货物安装或配置了软件的，乙方保证相关软件均为正版软件。</w:t>
      </w:r>
    </w:p>
    <w:p>
      <w:pPr>
        <w:pStyle w:val="null3"/>
        <w:ind w:firstLine="480"/>
        <w:jc w:val="left"/>
      </w:pPr>
      <w:r>
        <w:rPr>
          <w:sz w:val="24"/>
        </w:rPr>
        <w:t>3.</w:t>
      </w:r>
      <w:r>
        <w:rPr>
          <w:sz w:val="24"/>
        </w:rPr>
        <w:t>乙方保证交货时一并提供货物的质量合格凭证或相关文件。</w:t>
      </w:r>
      <w:r>
        <w:rPr>
          <w:sz w:val="24"/>
          <w:color w:val="000000"/>
        </w:rPr>
        <w:t>对于进口设备，应具备有效的原产地证明、合法进口渠道证明及商检部门的商检证明。</w:t>
      </w:r>
    </w:p>
    <w:p>
      <w:pPr>
        <w:pStyle w:val="null3"/>
        <w:ind w:firstLine="482"/>
        <w:jc w:val="left"/>
      </w:pPr>
      <w:r>
        <w:rPr>
          <w:sz w:val="24"/>
          <w:b/>
        </w:rPr>
        <w:t>第六条  交货和验收</w:t>
      </w:r>
    </w:p>
    <w:p>
      <w:pPr>
        <w:pStyle w:val="null3"/>
        <w:ind w:firstLine="480"/>
        <w:jc w:val="left"/>
      </w:pPr>
      <w:r>
        <w:rPr>
          <w:sz w:val="24"/>
        </w:rPr>
        <w:t>1.</w:t>
      </w:r>
      <w:r>
        <w:rPr>
          <w:sz w:val="24"/>
        </w:rPr>
        <w:t>乙方应按照本合同或招投标文件规定的时间和方式向甲方交付货物，交货地点由甲方指定。乙方交付的货物应当完全符合本合同或</w:t>
      </w:r>
      <w:r>
        <w:rPr>
          <w:sz w:val="24"/>
          <w:u w:val="single"/>
        </w:rPr>
        <w:t>招投标文件</w:t>
      </w:r>
      <w:r>
        <w:rPr>
          <w:sz w:val="24"/>
        </w:rPr>
        <w:t>所规定的货物、数量、质量和规格要求。乙方提供的货物不符合本合同或</w:t>
      </w:r>
      <w:r>
        <w:rPr>
          <w:sz w:val="24"/>
          <w:u w:val="single"/>
        </w:rPr>
        <w:t>招投标文件</w:t>
      </w:r>
      <w:r>
        <w:rPr>
          <w:sz w:val="24"/>
        </w:rPr>
        <w:t>规定的，甲方有权拒收货物，由此引起的货物损失及相关风险，由乙方承担。</w:t>
      </w:r>
    </w:p>
    <w:p>
      <w:pPr>
        <w:pStyle w:val="null3"/>
        <w:ind w:firstLine="480"/>
        <w:jc w:val="left"/>
      </w:pPr>
      <w:r>
        <w:rPr>
          <w:sz w:val="24"/>
        </w:rPr>
        <w:t>2.</w:t>
      </w:r>
      <w:r>
        <w:rPr>
          <w:sz w:val="24"/>
        </w:rPr>
        <w:t>乙方应将所提供货物的使用说明书、原厂保修卡等附随资料和附随配件、工具等交付给甲方。乙方不能完整交付货物</w:t>
      </w:r>
      <w:r>
        <w:rPr>
          <w:sz w:val="24"/>
        </w:rPr>
        <w:t>或</w:t>
      </w:r>
      <w:r>
        <w:rPr>
          <w:sz w:val="24"/>
        </w:rPr>
        <w:t>本款规定的单证和工具的，视为未按合同约定交货，乙方负责补齐，因此导致逾期交付的，由乙方承担相关的违约责任。</w:t>
      </w:r>
    </w:p>
    <w:p>
      <w:pPr>
        <w:pStyle w:val="null3"/>
        <w:ind w:firstLine="480"/>
        <w:jc w:val="left"/>
      </w:pPr>
      <w:r>
        <w:rPr>
          <w:sz w:val="24"/>
        </w:rPr>
        <w:t>3.</w:t>
      </w:r>
      <w:r>
        <w:rPr>
          <w:sz w:val="24"/>
        </w:rPr>
        <w:t>甲方应当在到货后的</w:t>
      </w:r>
      <w:r>
        <w:rPr>
          <w:sz w:val="24"/>
          <w:u w:val="single"/>
        </w:rPr>
        <w:t xml:space="preserve">       </w:t>
      </w:r>
      <w:r>
        <w:rPr>
          <w:sz w:val="24"/>
        </w:rPr>
        <w:t>个工作日内对货物进行验收；需要乙方对货物或系统进行安装调试的，甲方应在货物安装调试完毕后的</w:t>
      </w:r>
      <w:r>
        <w:rPr>
          <w:sz w:val="24"/>
          <w:u w:val="single"/>
        </w:rPr>
        <w:t xml:space="preserve">       </w:t>
      </w:r>
      <w:r>
        <w:rPr>
          <w:sz w:val="24"/>
        </w:rPr>
        <w:t>个工作日内进行质量验收。</w:t>
      </w:r>
    </w:p>
    <w:p>
      <w:pPr>
        <w:pStyle w:val="null3"/>
        <w:ind w:firstLine="420"/>
        <w:jc w:val="left"/>
      </w:pPr>
      <w:r>
        <w:rPr>
          <w:sz w:val="21"/>
        </w:rPr>
        <w:t>4.</w:t>
      </w:r>
      <w:r>
        <w:rPr>
          <w:sz w:val="21"/>
        </w:rPr>
        <w:t>乙方</w:t>
      </w:r>
      <w:r>
        <w:rPr>
          <w:sz w:val="24"/>
        </w:rPr>
        <w:t>需承担特种车辆上牌的其他相关费用包括：购置税、保险、上牌费、验收费。</w:t>
      </w:r>
    </w:p>
    <w:p>
      <w:pPr>
        <w:pStyle w:val="null3"/>
        <w:ind w:firstLine="482"/>
        <w:jc w:val="left"/>
      </w:pPr>
      <w:r>
        <w:rPr>
          <w:sz w:val="24"/>
          <w:b/>
        </w:rPr>
        <w:t>第七条  售后服务</w:t>
      </w:r>
    </w:p>
    <w:p>
      <w:pPr>
        <w:pStyle w:val="null3"/>
        <w:ind w:firstLine="480"/>
        <w:jc w:val="both"/>
      </w:pPr>
      <w:r>
        <w:rPr>
          <w:sz w:val="24"/>
        </w:rPr>
        <w:t>1.</w:t>
      </w:r>
      <w:r>
        <w:rPr>
          <w:sz w:val="24"/>
        </w:rPr>
        <w:t xml:space="preserve">货物保质期按生产厂家标准，但不得少于 </w:t>
      </w:r>
      <w:r>
        <w:rPr>
          <w:sz w:val="24"/>
          <w:u w:val="single"/>
        </w:rPr>
        <w:t xml:space="preserve">1 </w:t>
      </w:r>
      <w:r>
        <w:rPr>
          <w:sz w:val="24"/>
        </w:rPr>
        <w:t>年（保质期自货物/系统安装验收合格之日起计）。保质期内非甲方的人为原因而出现产品质量及安装问题，由乙方负责包修、包换或包退，并承担因此产生的一切费用。</w:t>
      </w:r>
    </w:p>
    <w:p>
      <w:pPr>
        <w:pStyle w:val="null3"/>
        <w:jc w:val="both"/>
      </w:pPr>
      <w:r>
        <w:rPr>
          <w:sz w:val="24"/>
        </w:rPr>
        <w:t xml:space="preserve">       2.</w:t>
      </w:r>
      <w:r>
        <w:rPr>
          <w:sz w:val="24"/>
        </w:rPr>
        <w:t>故障报修的响应及到场时间：每天</w:t>
      </w:r>
      <w:r>
        <w:rPr>
          <w:sz w:val="24"/>
          <w:u w:val="single"/>
        </w:rPr>
        <w:t>8:30-17:30</w:t>
      </w:r>
      <w:r>
        <w:rPr>
          <w:sz w:val="24"/>
        </w:rPr>
        <w:t>期间（不包括节假日）为</w:t>
      </w:r>
      <w:r>
        <w:rPr>
          <w:sz w:val="21"/>
          <w:u w:val="single"/>
        </w:rPr>
        <w:t xml:space="preserve">    </w:t>
      </w:r>
      <w:r>
        <w:rPr>
          <w:sz w:val="24"/>
        </w:rPr>
        <w:t>个小时，其余期间为</w:t>
      </w:r>
      <w:r>
        <w:rPr>
          <w:sz w:val="24"/>
          <w:u w:val="single"/>
        </w:rPr>
        <w:t xml:space="preserve">    </w:t>
      </w:r>
      <w:r>
        <w:rPr>
          <w:sz w:val="24"/>
        </w:rPr>
        <w:t>个小时，紧急情况下</w:t>
      </w:r>
      <w:r>
        <w:rPr>
          <w:sz w:val="24"/>
          <w:u w:val="single"/>
        </w:rPr>
        <w:t xml:space="preserve">    </w:t>
      </w:r>
      <w:r>
        <w:rPr>
          <w:sz w:val="24"/>
        </w:rPr>
        <w:t>小时到场，并在</w:t>
      </w:r>
      <w:r>
        <w:rPr>
          <w:sz w:val="24"/>
          <w:u w:val="single"/>
        </w:rPr>
        <w:t xml:space="preserve">    </w:t>
      </w:r>
      <w:r>
        <w:rPr>
          <w:sz w:val="24"/>
        </w:rPr>
        <w:t>小时内排除故障。如果故障在检修</w:t>
      </w:r>
      <w:r>
        <w:rPr>
          <w:sz w:val="24"/>
          <w:u w:val="single"/>
        </w:rPr>
        <w:t xml:space="preserve">    </w:t>
      </w:r>
      <w:r>
        <w:rPr>
          <w:sz w:val="24"/>
        </w:rPr>
        <w:t>小时后仍无法排除，乙方应在</w:t>
      </w:r>
      <w:r>
        <w:rPr>
          <w:sz w:val="24"/>
          <w:u w:val="single"/>
        </w:rPr>
        <w:t xml:space="preserve">    </w:t>
      </w:r>
      <w:r>
        <w:rPr>
          <w:sz w:val="24"/>
        </w:rPr>
        <w:t>小时内提供不低于故障设备规格型号档次的备用设备供甲方使用，直至故障设备修复。下列情况不属于免费保修的范围，但是乙方仍负责修理，并酌情收取一定费用：</w:t>
      </w:r>
    </w:p>
    <w:p>
      <w:pPr>
        <w:pStyle w:val="null3"/>
        <w:ind w:firstLine="480"/>
        <w:jc w:val="both"/>
      </w:pPr>
      <w:r>
        <w:rPr>
          <w:sz w:val="24"/>
        </w:rPr>
        <w:t>（1）甲方擅自改装设备；</w:t>
      </w:r>
    </w:p>
    <w:p>
      <w:pPr>
        <w:pStyle w:val="null3"/>
        <w:ind w:firstLine="480"/>
        <w:jc w:val="both"/>
      </w:pPr>
      <w:r>
        <w:rPr>
          <w:sz w:val="24"/>
        </w:rPr>
        <w:t>（2）甲方人为因素或天灾等外来因素造成的损坏；</w:t>
      </w:r>
    </w:p>
    <w:p>
      <w:pPr>
        <w:pStyle w:val="null3"/>
        <w:ind w:firstLine="480"/>
        <w:jc w:val="both"/>
      </w:pPr>
      <w:r>
        <w:rPr>
          <w:sz w:val="24"/>
        </w:rPr>
        <w:t>（3）超出保质期的损坏。</w:t>
      </w:r>
    </w:p>
    <w:p>
      <w:pPr>
        <w:pStyle w:val="null3"/>
        <w:ind w:firstLine="480"/>
        <w:jc w:val="both"/>
      </w:pPr>
      <w:r>
        <w:rPr>
          <w:sz w:val="24"/>
        </w:rPr>
        <w:t>3.</w:t>
      </w:r>
      <w:r>
        <w:rPr>
          <w:sz w:val="24"/>
        </w:rPr>
        <w:t>因货物设备的质量问题而发生的争议，由广东省或广州市质检部门进行质量鉴定。经鉴定，设备符合质量标准的，鉴定费用由甲方承担；设备不符合质量标准的，鉴定费用由乙方承担，并且乙方负责重新提供符合合同要求的设备给甲方，由此造成延期供货的，乙方承担延期供货的违约责任。</w:t>
      </w:r>
    </w:p>
    <w:p>
      <w:pPr>
        <w:pStyle w:val="null3"/>
        <w:ind w:firstLine="480"/>
        <w:jc w:val="both"/>
      </w:pPr>
      <w:r>
        <w:rPr>
          <w:sz w:val="24"/>
        </w:rPr>
        <w:t>4.</w:t>
      </w:r>
      <w:r>
        <w:rPr>
          <w:sz w:val="24"/>
        </w:rPr>
        <w:t>乙方为甲方免费提供操作及维护培训，主要内容为设备的基本结构、性能、主要部件的构造及原理，日常使用操作、保养与管理，常见故障的排除，紧急情况的处理等，培训地点及费用由</w:t>
      </w:r>
      <w:r>
        <w:rPr>
          <w:sz w:val="24"/>
          <w:u w:val="single"/>
        </w:rPr>
        <w:t xml:space="preserve">     </w:t>
      </w:r>
      <w:r>
        <w:rPr>
          <w:sz w:val="24"/>
        </w:rPr>
        <w:t>负责，培训的具体时间及人员由</w:t>
      </w:r>
      <w:r>
        <w:rPr>
          <w:sz w:val="24"/>
          <w:u w:val="single"/>
        </w:rPr>
        <w:t>甲方</w:t>
      </w:r>
      <w:r>
        <w:rPr>
          <w:sz w:val="24"/>
        </w:rPr>
        <w:t>安排。</w:t>
      </w:r>
    </w:p>
    <w:p>
      <w:pPr>
        <w:pStyle w:val="null3"/>
        <w:ind w:firstLine="482"/>
        <w:jc w:val="left"/>
      </w:pPr>
      <w:r>
        <w:rPr>
          <w:sz w:val="24"/>
          <w:b/>
        </w:rPr>
        <w:t>第八条  违约责任</w:t>
      </w:r>
    </w:p>
    <w:p>
      <w:pPr>
        <w:pStyle w:val="null3"/>
        <w:ind w:firstLine="480"/>
        <w:jc w:val="left"/>
      </w:pPr>
      <w:r>
        <w:rPr>
          <w:sz w:val="24"/>
        </w:rPr>
        <w:t>1.</w:t>
      </w:r>
      <w:r>
        <w:rPr>
          <w:sz w:val="24"/>
        </w:rPr>
        <w:t>甲方逾期支付货款或无正当理由拒收货物的，从逾期之日起每逾期1天，甲方向乙方支付欠款总额的</w:t>
      </w:r>
      <w:r>
        <w:rPr>
          <w:sz w:val="24"/>
          <w:u w:val="single"/>
        </w:rPr>
        <w:t xml:space="preserve">    </w:t>
      </w:r>
      <w:r>
        <w:rPr>
          <w:sz w:val="24"/>
        </w:rPr>
        <w:t>％</w:t>
      </w:r>
      <w:r>
        <w:rPr>
          <w:sz w:val="24"/>
        </w:rPr>
        <w:t>违约</w:t>
      </w:r>
      <w:r>
        <w:rPr>
          <w:sz w:val="24"/>
        </w:rPr>
        <w:t>金，但累计</w:t>
      </w:r>
      <w:r>
        <w:rPr>
          <w:sz w:val="24"/>
        </w:rPr>
        <w:t>违约</w:t>
      </w:r>
      <w:r>
        <w:rPr>
          <w:sz w:val="24"/>
        </w:rPr>
        <w:t>金总额不超过欠款总额的</w:t>
      </w:r>
      <w:r>
        <w:rPr>
          <w:sz w:val="24"/>
          <w:u w:val="single"/>
        </w:rPr>
        <w:t xml:space="preserve">    </w:t>
      </w:r>
      <w:r>
        <w:rPr>
          <w:sz w:val="24"/>
        </w:rPr>
        <w:t>％。</w:t>
      </w:r>
    </w:p>
    <w:p>
      <w:pPr>
        <w:pStyle w:val="null3"/>
        <w:ind w:firstLine="480"/>
        <w:jc w:val="left"/>
      </w:pPr>
      <w:r>
        <w:rPr>
          <w:sz w:val="24"/>
        </w:rPr>
        <w:t>2.</w:t>
      </w:r>
      <w:r>
        <w:rPr>
          <w:sz w:val="24"/>
        </w:rPr>
        <w:t>乙方逾期交付货物的，从逾期之日起每逾期1天，乙方向甲方支付货款总额的</w:t>
      </w:r>
      <w:r>
        <w:rPr>
          <w:sz w:val="24"/>
          <w:u w:val="single"/>
        </w:rPr>
        <w:t xml:space="preserve">    </w:t>
      </w:r>
      <w:r>
        <w:rPr>
          <w:sz w:val="24"/>
        </w:rPr>
        <w:t>％的</w:t>
      </w:r>
      <w:r>
        <w:rPr>
          <w:sz w:val="24"/>
        </w:rPr>
        <w:t>违约</w:t>
      </w:r>
      <w:r>
        <w:rPr>
          <w:sz w:val="24"/>
        </w:rPr>
        <w:t>金；如乙方逾期交货达</w:t>
      </w:r>
      <w:r>
        <w:rPr>
          <w:sz w:val="24"/>
          <w:u w:val="single"/>
        </w:rPr>
        <w:t xml:space="preserve">    </w:t>
      </w:r>
      <w:r>
        <w:rPr>
          <w:sz w:val="24"/>
        </w:rPr>
        <w:t>天，甲方有权解除本合同并要求乙方将已收取的款项全额退还，同时乙方应向甲方支付</w:t>
      </w:r>
      <w:r>
        <w:rPr>
          <w:sz w:val="24"/>
        </w:rPr>
        <w:t>货款总额</w:t>
      </w:r>
      <w:r>
        <w:rPr>
          <w:sz w:val="21"/>
          <w:u w:val="single"/>
        </w:rPr>
        <w:t xml:space="preserve">    </w:t>
      </w:r>
      <w:r>
        <w:rPr>
          <w:sz w:val="24"/>
        </w:rPr>
        <w:t>％的违约金。违约金不足以弥补甲方损失的，乙方还应赔偿相应的损失。</w:t>
      </w:r>
    </w:p>
    <w:p>
      <w:pPr>
        <w:pStyle w:val="null3"/>
        <w:ind w:firstLine="480"/>
        <w:jc w:val="left"/>
      </w:pPr>
      <w:r>
        <w:rPr>
          <w:sz w:val="24"/>
        </w:rPr>
        <w:t>3.</w:t>
      </w:r>
      <w:r>
        <w:rPr>
          <w:sz w:val="24"/>
        </w:rPr>
        <w:t>乙方交付的货物不符合约定的，甲方有权拒收货物，乙方应当在甲方指定的期限内采取补救措施。如乙方在甲方指定的期限内仍无法提供符合约定的货物，甲方有权解除本合同，乙方应当退还所收款项并支付合同总金额20%的违约金，违约金不足以弥补甲方损失的，乙方还应赔偿相应的损失。</w:t>
      </w:r>
    </w:p>
    <w:p>
      <w:pPr>
        <w:pStyle w:val="null3"/>
        <w:ind w:firstLine="482"/>
        <w:jc w:val="left"/>
      </w:pPr>
      <w:r>
        <w:rPr>
          <w:sz w:val="24"/>
          <w:b/>
        </w:rPr>
        <w:t>第九条  保密义务</w:t>
      </w:r>
    </w:p>
    <w:p>
      <w:pPr>
        <w:pStyle w:val="null3"/>
        <w:ind w:firstLine="480"/>
        <w:jc w:val="left"/>
      </w:pPr>
      <w:r>
        <w:rPr>
          <w:sz w:val="24"/>
        </w:rPr>
        <w:t>1.</w:t>
      </w:r>
      <w:r>
        <w:rPr>
          <w:sz w:val="24"/>
        </w:rPr>
        <w:t>甲乙双方应遵守所签署的附件《保密协议》。</w:t>
      </w:r>
    </w:p>
    <w:p>
      <w:pPr>
        <w:pStyle w:val="null3"/>
        <w:ind w:firstLine="480"/>
        <w:jc w:val="left"/>
      </w:pPr>
      <w:r>
        <w:rPr>
          <w:sz w:val="24"/>
        </w:rPr>
        <w:t>2.</w:t>
      </w:r>
      <w:r>
        <w:rPr>
          <w:sz w:val="24"/>
        </w:rPr>
        <w:t>附件《保密协议》不因本合同无效或解除或终止而无效或终止，保密期限至任一方对外正式公开有关保密信息时为止。</w:t>
      </w:r>
    </w:p>
    <w:p>
      <w:pPr>
        <w:pStyle w:val="null3"/>
        <w:ind w:firstLine="480"/>
        <w:jc w:val="left"/>
      </w:pPr>
      <w:r>
        <w:rPr>
          <w:sz w:val="24"/>
        </w:rPr>
        <w:t>3.</w:t>
      </w:r>
      <w:r>
        <w:rPr>
          <w:sz w:val="24"/>
        </w:rPr>
        <w:t>乙方违反本合同保密条款的，应承担违约责任。如果给甲方造成经济损失，乙方应赔偿甲方的经济损失及承担甲方因此而支出的一切费用（包括但不限于律师费、案件受理费、保全费、财产保全保费、差旅费等）；如果因乙方恶意泄露信息资料，给甲方造成严重后果的，除应赔偿甲方的经济损失及承担甲方因此而支出的一切费用外，乙方还须承担相应的行政责任或刑事责任。</w:t>
      </w:r>
    </w:p>
    <w:p>
      <w:pPr>
        <w:pStyle w:val="null3"/>
        <w:ind w:firstLine="482"/>
        <w:jc w:val="left"/>
      </w:pPr>
      <w:r>
        <w:rPr>
          <w:sz w:val="24"/>
          <w:b/>
        </w:rPr>
        <w:t>第十条  不可抗力</w:t>
      </w:r>
    </w:p>
    <w:p>
      <w:pPr>
        <w:pStyle w:val="null3"/>
        <w:ind w:firstLine="480"/>
        <w:jc w:val="left"/>
      </w:pPr>
      <w:r>
        <w:rPr>
          <w:sz w:val="24"/>
        </w:rPr>
        <w:t>1.如果由于不可抗力事件而使对方不能履行全部或部分合同义务的，则该方应免除相应的</w:t>
      </w:r>
      <w:r>
        <w:rPr>
          <w:sz w:val="24"/>
        </w:rPr>
        <w:t>违约责任</w:t>
      </w:r>
      <w:r>
        <w:rPr>
          <w:sz w:val="24"/>
        </w:rPr>
        <w:t>。但是，该方应当立即将该不可抗力事件通知对方，并采取有效措施减少损失或损害的发生。不可抗力因素消除后，双方协商继续履行本合同或解除本合同。</w:t>
      </w:r>
    </w:p>
    <w:p>
      <w:pPr>
        <w:pStyle w:val="null3"/>
        <w:ind w:firstLine="480"/>
        <w:jc w:val="left"/>
      </w:pPr>
      <w:r>
        <w:rPr>
          <w:sz w:val="24"/>
        </w:rPr>
        <w:t>2.如果一方迟延履行义务后发生不可抗力事件的，不能免除责任。</w:t>
      </w:r>
    </w:p>
    <w:p>
      <w:pPr>
        <w:pStyle w:val="null3"/>
        <w:ind w:firstLine="482"/>
        <w:jc w:val="left"/>
      </w:pPr>
      <w:r>
        <w:rPr>
          <w:sz w:val="24"/>
          <w:b/>
        </w:rPr>
        <w:t>第十一条  争议的解决</w:t>
      </w:r>
    </w:p>
    <w:p>
      <w:pPr>
        <w:pStyle w:val="null3"/>
        <w:ind w:firstLine="480"/>
        <w:jc w:val="left"/>
      </w:pPr>
      <w:r>
        <w:rPr>
          <w:sz w:val="24"/>
        </w:rPr>
        <w:t>因履行本合同引起的或与本合同有关的争议，甲、乙双方应首先通过友好协商解决，如果协商不能解决争议，任何一方可向甲方住所地人民法院起诉。</w:t>
      </w:r>
    </w:p>
    <w:p>
      <w:pPr>
        <w:pStyle w:val="null3"/>
        <w:ind w:firstLine="482"/>
        <w:jc w:val="left"/>
      </w:pPr>
      <w:r>
        <w:rPr>
          <w:sz w:val="24"/>
          <w:b/>
        </w:rPr>
        <w:t>第十二条  通知</w:t>
      </w:r>
    </w:p>
    <w:p>
      <w:pPr>
        <w:pStyle w:val="null3"/>
        <w:ind w:firstLine="480"/>
        <w:jc w:val="left"/>
      </w:pPr>
      <w:r>
        <w:rPr>
          <w:sz w:val="24"/>
        </w:rPr>
        <w:t>1.</w:t>
      </w:r>
      <w:r>
        <w:rPr>
          <w:sz w:val="24"/>
        </w:rPr>
        <w:t>在本合同有效期内，甲乙双方确定的项目联系人为本项目的负责人，全程跟进项目、协调项目进展、组织双方沟通交流和协调双方关系。</w:t>
      </w:r>
    </w:p>
    <w:p>
      <w:pPr>
        <w:pStyle w:val="null3"/>
        <w:ind w:firstLine="480"/>
        <w:jc w:val="left"/>
      </w:pPr>
      <w:r>
        <w:rPr>
          <w:sz w:val="24"/>
        </w:rPr>
        <w:t>2.</w:t>
      </w:r>
      <w:r>
        <w:rPr>
          <w:sz w:val="24"/>
        </w:rPr>
        <w:t>本合同约定的项目联系人、联系地址、联系方式为甲乙双方唯一联系人、联系地址、联系方式。甲、乙双方因履行本合同而需发给对方的任何通知应以书面方式发出。该通知可以专人送达、传真、电子邮件、特快专递或挂号方式送达的方式发出。所有的通知应送达本合同项下对方当事人的地址或该方事先通知的其他地址或传真号码。该联系人、联系地址或联系方式有变动的，应至少提前三日书面通知对方。双方发生争议后，甚至进入诉讼程序，该联系人、联系地址、联系方式仍为有效。</w:t>
      </w:r>
    </w:p>
    <w:p>
      <w:pPr>
        <w:pStyle w:val="null3"/>
        <w:ind w:firstLine="480"/>
        <w:jc w:val="left"/>
      </w:pPr>
      <w:r>
        <w:rPr>
          <w:sz w:val="24"/>
        </w:rPr>
        <w:t>3.</w:t>
      </w:r>
      <w:r>
        <w:rPr>
          <w:sz w:val="24"/>
        </w:rPr>
        <w:t>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pPr>
        <w:pStyle w:val="null3"/>
        <w:ind w:firstLine="482"/>
        <w:jc w:val="left"/>
      </w:pPr>
      <w:r>
        <w:rPr>
          <w:sz w:val="24"/>
          <w:b/>
        </w:rPr>
        <w:t>第十三条  其他约定</w:t>
      </w:r>
    </w:p>
    <w:p>
      <w:pPr>
        <w:pStyle w:val="null3"/>
        <w:ind w:firstLine="480"/>
        <w:jc w:val="left"/>
      </w:pPr>
      <w:r>
        <w:rPr>
          <w:sz w:val="24"/>
        </w:rPr>
        <w:t>1.</w:t>
      </w:r>
      <w:r>
        <w:rPr>
          <w:sz w:val="24"/>
        </w:rPr>
        <w:t>本合同所有附件、</w:t>
      </w:r>
      <w:r>
        <w:rPr>
          <w:sz w:val="24"/>
          <w:u w:val="single"/>
        </w:rPr>
        <w:t>采购文件/招标文件、响应文件/投标文件、中标通知书</w:t>
      </w:r>
      <w:r>
        <w:rPr>
          <w:sz w:val="24"/>
        </w:rPr>
        <w:t>均为合同的有效组成部分，与本合同具有同等法律效力。</w:t>
      </w:r>
    </w:p>
    <w:p>
      <w:pPr>
        <w:pStyle w:val="null3"/>
        <w:ind w:firstLine="480"/>
        <w:jc w:val="left"/>
      </w:pPr>
      <w:r>
        <w:rPr>
          <w:sz w:val="24"/>
        </w:rPr>
        <w:t>2.</w:t>
      </w:r>
      <w:r>
        <w:rPr>
          <w:sz w:val="24"/>
        </w:rPr>
        <w:t>在执行本合同的过程中，所有经双方签署确认的文件（包括会议纪要、补充协议、往来信函）即成为本合同的有效组成部分。</w:t>
      </w:r>
    </w:p>
    <w:p>
      <w:pPr>
        <w:pStyle w:val="null3"/>
        <w:ind w:firstLine="480"/>
        <w:jc w:val="left"/>
      </w:pPr>
      <w:r>
        <w:rPr>
          <w:sz w:val="24"/>
        </w:rPr>
        <w:t>3.</w:t>
      </w:r>
      <w:r>
        <w:rPr>
          <w:sz w:val="24"/>
        </w:rPr>
        <w:t>本合同经甲乙双方</w:t>
      </w:r>
      <w:r>
        <w:rPr>
          <w:sz w:val="24"/>
          <w:u w:val="single"/>
        </w:rPr>
        <w:t>签字并</w:t>
      </w:r>
      <w:r>
        <w:rPr>
          <w:sz w:val="24"/>
        </w:rPr>
        <w:t>盖章后生效。合同执行期内，甲乙双方均不得随意变更或解除。</w:t>
      </w:r>
    </w:p>
    <w:p>
      <w:pPr>
        <w:pStyle w:val="null3"/>
        <w:ind w:firstLine="480"/>
        <w:jc w:val="left"/>
      </w:pPr>
      <w:r>
        <w:rPr>
          <w:sz w:val="24"/>
        </w:rPr>
        <w:t>4.</w:t>
      </w:r>
      <w:r>
        <w:rPr>
          <w:sz w:val="24"/>
        </w:rPr>
        <w:t>本合同一式</w:t>
      </w:r>
      <w:r>
        <w:rPr>
          <w:sz w:val="24"/>
          <w:u w:val="single"/>
        </w:rPr>
        <w:t xml:space="preserve">     </w:t>
      </w:r>
      <w:r>
        <w:rPr>
          <w:sz w:val="24"/>
        </w:rPr>
        <w:t>份，甲、乙方双方各执</w:t>
      </w:r>
      <w:r>
        <w:rPr>
          <w:sz w:val="24"/>
          <w:u w:val="single"/>
        </w:rPr>
        <w:t xml:space="preserve">     </w:t>
      </w:r>
      <w:r>
        <w:rPr>
          <w:sz w:val="24"/>
        </w:rPr>
        <w:t>份，具有同等法律效力。</w:t>
      </w:r>
    </w:p>
    <w:p>
      <w:pPr>
        <w:pStyle w:val="null3"/>
        <w:ind w:firstLine="480"/>
        <w:jc w:val="left"/>
      </w:pPr>
      <w:r>
        <w:rPr>
          <w:sz w:val="24"/>
          <w:u w:val="single"/>
        </w:rPr>
        <w:t>（以下无正文，为双方签署页。）</w:t>
      </w:r>
    </w:p>
    <w:p>
      <w:pPr>
        <w:pStyle w:val="null3"/>
        <w:ind w:firstLine="480"/>
        <w:jc w:val="left"/>
      </w:pPr>
      <w:r>
        <w:rPr>
          <w:sz w:val="24"/>
        </w:rPr>
        <w:t>甲方（盖章）：广东省应急管理厅</w:t>
      </w:r>
    </w:p>
    <w:p>
      <w:pPr>
        <w:pStyle w:val="null3"/>
        <w:ind w:firstLine="480"/>
        <w:jc w:val="left"/>
      </w:pPr>
      <w:r>
        <w:rPr>
          <w:sz w:val="24"/>
        </w:rPr>
        <w:t>授权代表：</w:t>
      </w:r>
      <w:r>
        <w:rPr>
          <w:sz w:val="24"/>
          <w:u w:val="single"/>
        </w:rPr>
        <w:t xml:space="preserve">                                  </w:t>
      </w:r>
    </w:p>
    <w:p>
      <w:pPr>
        <w:pStyle w:val="null3"/>
        <w:ind w:firstLine="480"/>
        <w:jc w:val="left"/>
      </w:pPr>
      <w:r>
        <w:rPr>
          <w:sz w:val="24"/>
        </w:rPr>
        <w:t>项目</w:t>
      </w:r>
      <w:r>
        <w:rPr>
          <w:sz w:val="24"/>
        </w:rPr>
        <w:t>联系人：</w:t>
      </w:r>
      <w:r>
        <w:rPr>
          <w:sz w:val="24"/>
          <w:u w:val="single"/>
        </w:rPr>
        <w:t xml:space="preserve">                                </w:t>
      </w:r>
    </w:p>
    <w:p>
      <w:pPr>
        <w:pStyle w:val="null3"/>
        <w:ind w:firstLine="480"/>
        <w:jc w:val="left"/>
      </w:pPr>
      <w:r>
        <w:rPr>
          <w:sz w:val="24"/>
        </w:rPr>
        <w:t>联系方式：</w:t>
      </w:r>
      <w:r>
        <w:rPr>
          <w:sz w:val="24"/>
          <w:u w:val="single"/>
        </w:rPr>
        <w:t xml:space="preserve">                                  </w:t>
      </w:r>
    </w:p>
    <w:p>
      <w:pPr>
        <w:pStyle w:val="null3"/>
        <w:ind w:firstLine="480"/>
        <w:jc w:val="left"/>
      </w:pPr>
      <w:r>
        <w:rPr>
          <w:sz w:val="24"/>
        </w:rPr>
        <w:t>送达地址：</w:t>
      </w:r>
      <w:r>
        <w:rPr>
          <w:sz w:val="24"/>
          <w:u w:val="single"/>
        </w:rPr>
        <w:t xml:space="preserve">                                  </w:t>
      </w:r>
    </w:p>
    <w:p>
      <w:pPr>
        <w:pStyle w:val="null3"/>
        <w:ind w:firstLine="480"/>
        <w:jc w:val="both"/>
      </w:pPr>
      <w:r>
        <w:rPr>
          <w:sz w:val="24"/>
        </w:rPr>
        <w:t>乙方（盖章）：</w:t>
      </w:r>
    </w:p>
    <w:p>
      <w:pPr>
        <w:pStyle w:val="null3"/>
        <w:ind w:firstLine="480"/>
        <w:jc w:val="both"/>
      </w:pPr>
      <w:r>
        <w:rPr>
          <w:sz w:val="24"/>
        </w:rPr>
        <w:t>授权代表：</w:t>
      </w:r>
      <w:r>
        <w:rPr>
          <w:sz w:val="24"/>
          <w:u w:val="single"/>
        </w:rPr>
        <w:t xml:space="preserve">                                  </w:t>
      </w:r>
    </w:p>
    <w:p>
      <w:pPr>
        <w:pStyle w:val="null3"/>
        <w:ind w:firstLine="480"/>
        <w:jc w:val="left"/>
      </w:pPr>
      <w:r>
        <w:rPr>
          <w:sz w:val="24"/>
        </w:rPr>
        <w:t>项目</w:t>
      </w:r>
      <w:r>
        <w:rPr>
          <w:sz w:val="24"/>
        </w:rPr>
        <w:t>联系人：</w:t>
      </w:r>
      <w:r>
        <w:rPr>
          <w:sz w:val="24"/>
          <w:u w:val="single"/>
        </w:rPr>
        <w:t xml:space="preserve">                                 </w:t>
      </w:r>
    </w:p>
    <w:p>
      <w:pPr>
        <w:pStyle w:val="null3"/>
        <w:ind w:firstLine="480"/>
        <w:jc w:val="left"/>
      </w:pPr>
      <w:r>
        <w:rPr>
          <w:sz w:val="24"/>
        </w:rPr>
        <w:t>联系方式：</w:t>
      </w:r>
      <w:r>
        <w:rPr>
          <w:sz w:val="24"/>
          <w:u w:val="single"/>
        </w:rPr>
        <w:t xml:space="preserve">                                  </w:t>
      </w:r>
    </w:p>
    <w:p>
      <w:pPr>
        <w:pStyle w:val="null3"/>
        <w:spacing w:before="90"/>
        <w:ind w:right="1230" w:firstLine="480"/>
        <w:jc w:val="left"/>
      </w:pPr>
      <w:r>
        <w:rPr>
          <w:sz w:val="24"/>
        </w:rPr>
        <w:t>送达地址：</w:t>
      </w:r>
      <w:r>
        <w:rPr>
          <w:sz w:val="24"/>
          <w:u w:val="single"/>
        </w:rPr>
        <w:t xml:space="preserve">                                  </w:t>
      </w:r>
    </w:p>
    <w:p>
      <w:pPr>
        <w:pStyle w:val="null3"/>
      </w:pPr>
      <w:r>
        <w:rPr/>
        <w:t xml:space="preserve"> </w:t>
      </w:r>
    </w:p>
    <w:p>
      <w:pPr>
        <w:pStyle w:val="null3"/>
        <w:ind w:firstLine="422"/>
        <w:jc w:val="both"/>
      </w:pPr>
      <w:r>
        <w:rPr/>
        <w:t xml:space="preserve"> </w:t>
      </w:r>
    </w:p>
    <w:p>
      <w:pPr>
        <w:pStyle w:val="null3"/>
        <w:ind w:firstLine="422"/>
        <w:jc w:val="both"/>
      </w:pPr>
      <w:r>
        <w:rPr/>
        <w:t xml:space="preserve"> </w:t>
      </w:r>
    </w:p>
    <w:p>
      <w:pPr>
        <w:pStyle w:val="null3"/>
        <w:ind w:firstLine="422"/>
        <w:jc w:val="both"/>
      </w:pPr>
      <w:r>
        <w:rPr/>
        <w:t xml:space="preserve"> </w:t>
      </w:r>
    </w:p>
    <w:p>
      <w:pPr>
        <w:pStyle w:val="null3"/>
        <w:ind w:firstLine="422"/>
        <w:jc w:val="both"/>
      </w:pPr>
      <w:r>
        <w:rPr/>
        <w:t xml:space="preserve"> </w:t>
      </w:r>
    </w:p>
    <w:p>
      <w:pPr>
        <w:pStyle w:val="null3"/>
        <w:ind w:firstLine="422"/>
        <w:jc w:val="both"/>
      </w:pPr>
      <w:r>
        <w:rPr>
          <w:sz w:val="21"/>
          <w:b/>
        </w:rPr>
        <w:t>附件</w:t>
      </w:r>
      <w:r>
        <w:rPr>
          <w:sz w:val="21"/>
          <w:b/>
        </w:rPr>
        <w:t>1</w:t>
      </w:r>
      <w:r>
        <w:rPr>
          <w:sz w:val="21"/>
          <w:b/>
        </w:rPr>
        <w:t>：</w:t>
      </w:r>
    </w:p>
    <w:p>
      <w:pPr>
        <w:pStyle w:val="null3"/>
        <w:ind w:firstLine="562"/>
        <w:jc w:val="center"/>
      </w:pPr>
      <w:r>
        <w:rPr>
          <w:sz w:val="28"/>
          <w:b/>
        </w:rPr>
        <w:t>保密协议</w:t>
      </w:r>
    </w:p>
    <w:p>
      <w:pPr>
        <w:pStyle w:val="null3"/>
        <w:ind w:firstLine="480"/>
        <w:jc w:val="left"/>
      </w:pPr>
      <w:r>
        <w:rPr>
          <w:sz w:val="24"/>
        </w:rPr>
        <w:t>甲方：广东省应急管理厅</w:t>
      </w:r>
    </w:p>
    <w:p>
      <w:pPr>
        <w:pStyle w:val="null3"/>
        <w:ind w:firstLine="480"/>
        <w:jc w:val="left"/>
      </w:pPr>
      <w:r>
        <w:rPr>
          <w:sz w:val="24"/>
        </w:rPr>
        <w:t>联系地址：广州市越秀区建设大马路19号</w:t>
      </w:r>
    </w:p>
    <w:p>
      <w:pPr>
        <w:pStyle w:val="null3"/>
        <w:ind w:firstLine="480"/>
        <w:jc w:val="left"/>
      </w:pPr>
      <w:r>
        <w:rPr>
          <w:sz w:val="24"/>
        </w:rPr>
        <w:t>联系人：联系方式：</w:t>
      </w:r>
    </w:p>
    <w:p>
      <w:pPr>
        <w:pStyle w:val="null3"/>
        <w:ind w:firstLine="480"/>
        <w:jc w:val="left"/>
      </w:pPr>
      <w:r>
        <w:rPr>
          <w:sz w:val="24"/>
        </w:rPr>
        <w:t>乙方：</w:t>
      </w:r>
    </w:p>
    <w:p>
      <w:pPr>
        <w:pStyle w:val="null3"/>
        <w:ind w:firstLine="480"/>
        <w:jc w:val="left"/>
      </w:pPr>
      <w:r>
        <w:rPr>
          <w:sz w:val="24"/>
        </w:rPr>
        <w:t>联系地址：</w:t>
      </w:r>
    </w:p>
    <w:p>
      <w:pPr>
        <w:pStyle w:val="null3"/>
        <w:ind w:firstLine="480"/>
        <w:jc w:val="left"/>
      </w:pPr>
      <w:r>
        <w:rPr>
          <w:sz w:val="24"/>
        </w:rPr>
        <w:t xml:space="preserve">联系人：    </w:t>
      </w:r>
    </w:p>
    <w:p>
      <w:pPr>
        <w:pStyle w:val="null3"/>
        <w:ind w:firstLine="480"/>
        <w:jc w:val="left"/>
      </w:pPr>
      <w:r>
        <w:rPr>
          <w:sz w:val="24"/>
        </w:rPr>
        <w:t>联系方式：</w:t>
      </w:r>
    </w:p>
    <w:p>
      <w:pPr>
        <w:pStyle w:val="null3"/>
        <w:ind w:firstLine="480"/>
        <w:jc w:val="left"/>
      </w:pPr>
      <w:r>
        <w:rPr>
          <w:sz w:val="24"/>
        </w:rPr>
        <w:t>根据《中华人民共和国民法典》《中华人民共和国保守国家秘密法》《中华人民共和国反不正当竞争法》等法律法规规定，为保护甲乙双方的合法利益，保证合同项目顺利开展，避免因一方信息泄露而给国家、社会以及个人造成不良后果，给另一方造成损失，甲乙双方以及参与本项目的所有人员承诺遵守本保密协议内容。</w:t>
      </w:r>
    </w:p>
    <w:p>
      <w:pPr>
        <w:pStyle w:val="null3"/>
        <w:ind w:firstLine="480"/>
        <w:jc w:val="left"/>
      </w:pPr>
      <w:r>
        <w:rPr>
          <w:sz w:val="24"/>
        </w:rPr>
        <w:t>一、保密信息定义</w:t>
      </w:r>
    </w:p>
    <w:p>
      <w:pPr>
        <w:pStyle w:val="null3"/>
        <w:ind w:firstLine="480"/>
        <w:jc w:val="left"/>
      </w:pPr>
      <w:r>
        <w:rPr>
          <w:sz w:val="24"/>
        </w:rPr>
        <w:t>本协议所称的“保密信息”是指在讨论、签订、执行合同过程中所获悉的国家秘密、商业秘密、个人隐私以及所有无法自公开渠道获得的技术信息、政府信息、公司计划、运营信息、财务信息、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pPr>
        <w:pStyle w:val="null3"/>
        <w:ind w:firstLine="480"/>
        <w:jc w:val="left"/>
      </w:pPr>
      <w:r>
        <w:rPr>
          <w:sz w:val="24"/>
        </w:rPr>
        <w:t>1.</w:t>
      </w:r>
      <w:r>
        <w:rPr>
          <w:sz w:val="24"/>
        </w:rPr>
        <w:t>甲方在项目实施中为乙方及乙方工作人员提供必要的数据、程序、用户名、口令和资料等；</w:t>
      </w:r>
    </w:p>
    <w:p>
      <w:pPr>
        <w:pStyle w:val="null3"/>
        <w:ind w:firstLine="480"/>
        <w:jc w:val="left"/>
      </w:pPr>
      <w:r>
        <w:rPr>
          <w:sz w:val="24"/>
        </w:rPr>
        <w:t>2.</w:t>
      </w:r>
      <w:r>
        <w:rPr>
          <w:sz w:val="24"/>
        </w:rPr>
        <w:t>乙方在对甲方提供服务工作中涉及的业务及技术文档，包括政策、方案设计细节、程序文件、数据结构，以及相关业务系统的硬软件、文档、测试和测试产生的数据等；</w:t>
      </w:r>
    </w:p>
    <w:p>
      <w:pPr>
        <w:pStyle w:val="null3"/>
        <w:ind w:firstLine="480"/>
        <w:jc w:val="left"/>
      </w:pPr>
      <w:r>
        <w:rPr>
          <w:sz w:val="24"/>
        </w:rPr>
        <w:t>3.</w:t>
      </w:r>
      <w:r>
        <w:rPr>
          <w:sz w:val="24"/>
        </w:rPr>
        <w:t>乙方服务过程中产生的所有成果为保密的内容；</w:t>
      </w:r>
    </w:p>
    <w:p>
      <w:pPr>
        <w:pStyle w:val="null3"/>
        <w:ind w:firstLine="480"/>
        <w:jc w:val="left"/>
      </w:pPr>
      <w:r>
        <w:rPr>
          <w:sz w:val="24"/>
        </w:rPr>
        <w:t>4.</w:t>
      </w:r>
      <w:r>
        <w:rPr>
          <w:sz w:val="24"/>
        </w:rPr>
        <w:t>其他甲乙一方合理认为并申明属于保密信息的内容。</w:t>
      </w:r>
    </w:p>
    <w:p>
      <w:pPr>
        <w:pStyle w:val="null3"/>
        <w:ind w:firstLine="480"/>
        <w:jc w:val="left"/>
      </w:pPr>
      <w:r>
        <w:rPr>
          <w:sz w:val="24"/>
        </w:rPr>
        <w:t>二、保密要求</w:t>
      </w:r>
    </w:p>
    <w:p>
      <w:pPr>
        <w:pStyle w:val="null3"/>
        <w:ind w:firstLine="480"/>
        <w:jc w:val="left"/>
      </w:pPr>
      <w:r>
        <w:rPr>
          <w:sz w:val="24"/>
        </w:rPr>
        <w:t>在国家相关法律法规、规章政策所规定的前提下，甲乙双方全力限制“保密信息”的使用范围以利保密防范，并仅用于为甲方提供服务。在未经保密信息的原提供方书面形式授权下，另一方不得直接或间接使用保密资料的利益或目的性的任何专有信息，亦不得把任何专有信息披露给他人。甲乙双方所有经手人员均有义务受本协议的约束，并负有保密的义务。</w:t>
      </w:r>
    </w:p>
    <w:p>
      <w:pPr>
        <w:pStyle w:val="null3"/>
        <w:ind w:firstLine="480"/>
        <w:jc w:val="left"/>
      </w:pPr>
      <w:r>
        <w:rPr>
          <w:sz w:val="24"/>
        </w:rPr>
        <w:t>1.</w:t>
      </w:r>
      <w:r>
        <w:rPr>
          <w:sz w:val="24"/>
        </w:rPr>
        <w:t>双方始终对保密资料保密，不在项目之外使用提供方的保密信息及因履行本项目而掌握的保密信息。</w:t>
      </w:r>
    </w:p>
    <w:p>
      <w:pPr>
        <w:pStyle w:val="null3"/>
        <w:ind w:firstLine="480"/>
        <w:jc w:val="left"/>
      </w:pPr>
      <w:r>
        <w:rPr>
          <w:sz w:val="24"/>
        </w:rPr>
        <w:t>2.</w:t>
      </w:r>
      <w:r>
        <w:rPr>
          <w:sz w:val="24"/>
        </w:rPr>
        <w:t>未经一方书面同意，另一方不向任何第三方提供保密信息全部或部分内容以及可以接触上述保密信息的手段，包括在公开场合展览，公开对外宣传，作为文章、讯息、参考数据发表等。但法律、法规另有规定或双方另有约定的除外。</w:t>
      </w:r>
    </w:p>
    <w:p>
      <w:pPr>
        <w:pStyle w:val="null3"/>
        <w:ind w:firstLine="480"/>
        <w:jc w:val="left"/>
      </w:pPr>
      <w:r>
        <w:rPr>
          <w:sz w:val="24"/>
        </w:rPr>
        <w:t>3.</w:t>
      </w:r>
      <w:r>
        <w:rPr>
          <w:sz w:val="24"/>
        </w:rPr>
        <w:t>甲乙双方只向项目相关人员（包括各自的领导、项目参与人和雇员等）为商讨合作项目而有需要知悉保密信息的人士披露保密信息；并保证上述各相关人员的行为将会符合本协议的规定。</w:t>
      </w:r>
    </w:p>
    <w:p>
      <w:pPr>
        <w:pStyle w:val="null3"/>
        <w:ind w:firstLine="480"/>
        <w:jc w:val="left"/>
      </w:pPr>
      <w:r>
        <w:rPr>
          <w:sz w:val="24"/>
        </w:rPr>
        <w:t>4.</w:t>
      </w:r>
      <w:r>
        <w:rPr>
          <w:sz w:val="24"/>
        </w:rPr>
        <w:t>在商讨合作项目的过程中，若需向第三方披露对方的保密信息，应事先取得对方书面许可，并要求该第三方遵守本协议的规定，不得向任何其它人士泄露保密信息。</w:t>
      </w:r>
    </w:p>
    <w:p>
      <w:pPr>
        <w:pStyle w:val="null3"/>
        <w:ind w:firstLine="480"/>
        <w:jc w:val="left"/>
      </w:pPr>
      <w:r>
        <w:rPr>
          <w:sz w:val="24"/>
        </w:rPr>
        <w:t>5.</w:t>
      </w:r>
      <w:r>
        <w:rPr>
          <w:sz w:val="24"/>
        </w:rPr>
        <w:t>有关保密的内容和义务，未经任一方对外正式公开有关保密信息则长期有效。</w:t>
      </w:r>
    </w:p>
    <w:p>
      <w:pPr>
        <w:pStyle w:val="null3"/>
        <w:ind w:firstLine="480"/>
        <w:jc w:val="left"/>
      </w:pPr>
      <w:r>
        <w:rPr>
          <w:sz w:val="24"/>
        </w:rPr>
        <w:t>6</w:t>
      </w:r>
      <w:r>
        <w:rPr>
          <w:sz w:val="24"/>
        </w:rPr>
        <w:t>．保密期限自保密信息接收方接收保密信息起始，至全部保密信息的秘密性全部丧失时终止。</w:t>
      </w:r>
    </w:p>
    <w:p>
      <w:pPr>
        <w:pStyle w:val="null3"/>
        <w:ind w:firstLine="480"/>
        <w:jc w:val="left"/>
      </w:pPr>
      <w:r>
        <w:rPr>
          <w:sz w:val="24"/>
        </w:rPr>
        <w:t>三、本协议经合同双方签署后生效。本协议是合同的重要附件，但本协议效力具有独立性，不受本合同终止或解除的影响。</w:t>
      </w:r>
    </w:p>
    <w:p>
      <w:pPr>
        <w:pStyle w:val="null3"/>
        <w:ind w:firstLine="480"/>
        <w:jc w:val="left"/>
      </w:pPr>
      <w:r>
        <w:rPr>
          <w:sz w:val="24"/>
        </w:rPr>
        <w:t>甲方（盖章）：                        乙方（盖章）：</w:t>
      </w:r>
    </w:p>
    <w:p>
      <w:pPr>
        <w:pStyle w:val="null3"/>
        <w:ind w:firstLine="480"/>
        <w:jc w:val="left"/>
      </w:pPr>
      <w:r>
        <w:rPr>
          <w:sz w:val="24"/>
        </w:rPr>
        <w:t>甲方代表：                           乙方代表：</w:t>
      </w:r>
    </w:p>
    <w:p>
      <w:pPr>
        <w:pStyle w:val="null3"/>
        <w:ind w:firstLine="480"/>
        <w:jc w:val="left"/>
      </w:pPr>
      <w:r>
        <w:rPr>
          <w:sz w:val="24"/>
        </w:rPr>
        <w:t>日期：   年  月  日                   日期：   年  月  日</w:t>
      </w:r>
    </w:p>
    <w:p>
      <w:pPr>
        <w:pStyle w:val="null3"/>
        <w:ind w:firstLine="422"/>
        <w:jc w:val="both"/>
      </w:pPr>
      <w:r>
        <w:rPr/>
        <w:t xml:space="preserve"> </w:t>
      </w:r>
    </w:p>
    <w:p>
      <w:pPr>
        <w:pStyle w:val="null3"/>
        <w:ind w:firstLine="422"/>
        <w:jc w:val="both"/>
      </w:pPr>
      <w:r>
        <w:rPr/>
        <w:t xml:space="preserve"> </w:t>
      </w:r>
    </w:p>
    <w:p>
      <w:pPr>
        <w:pStyle w:val="null3"/>
        <w:ind w:firstLine="422"/>
        <w:jc w:val="both"/>
      </w:pPr>
      <w:r>
        <w:rPr/>
        <w:t xml:space="preserve"> </w:t>
      </w:r>
    </w:p>
    <w:p>
      <w:pPr>
        <w:pStyle w:val="null3"/>
        <w:ind w:firstLine="422"/>
        <w:jc w:val="both"/>
      </w:pPr>
      <w:r>
        <w:rPr/>
        <w:t xml:space="preserve"> </w:t>
      </w:r>
    </w:p>
    <w:p>
      <w:pPr>
        <w:pStyle w:val="null3"/>
        <w:ind w:firstLine="422"/>
        <w:jc w:val="both"/>
      </w:pPr>
      <w:r>
        <w:rPr>
          <w:sz w:val="21"/>
          <w:b/>
        </w:rPr>
        <w:t>附件</w:t>
      </w:r>
      <w:r>
        <w:rPr>
          <w:sz w:val="21"/>
          <w:b/>
        </w:rPr>
        <w:t>2</w:t>
      </w:r>
      <w:r>
        <w:rPr>
          <w:sz w:val="21"/>
          <w:b/>
        </w:rPr>
        <w:t>：</w:t>
      </w:r>
    </w:p>
    <w:p>
      <w:pPr>
        <w:pStyle w:val="null3"/>
        <w:ind w:firstLine="480"/>
        <w:jc w:val="left"/>
      </w:pPr>
      <w:r>
        <w:rPr>
          <w:sz w:val="28"/>
          <w:b/>
        </w:rPr>
        <w:t>公平竞争和政府采购廉政协议</w:t>
      </w:r>
    </w:p>
    <w:p>
      <w:pPr>
        <w:pStyle w:val="null3"/>
        <w:ind w:firstLine="480"/>
        <w:jc w:val="left"/>
      </w:pPr>
      <w:r>
        <w:rPr>
          <w:sz w:val="24"/>
        </w:rPr>
        <w:t>甲方：广东省应急管理厅     乙方：</w:t>
      </w:r>
    </w:p>
    <w:p>
      <w:pPr>
        <w:pStyle w:val="null3"/>
        <w:ind w:firstLine="480"/>
        <w:jc w:val="left"/>
      </w:pPr>
      <w:r>
        <w:rPr>
          <w:sz w:val="24"/>
        </w:rPr>
        <w:t>联系人：                   联系人：</w:t>
      </w:r>
    </w:p>
    <w:p>
      <w:pPr>
        <w:pStyle w:val="null3"/>
        <w:ind w:firstLine="480"/>
        <w:jc w:val="left"/>
      </w:pPr>
      <w:r>
        <w:rPr>
          <w:sz w:val="24"/>
        </w:rPr>
        <w:t>联系地址：                 联系地址：</w:t>
      </w:r>
    </w:p>
    <w:p>
      <w:pPr>
        <w:pStyle w:val="null3"/>
        <w:ind w:firstLine="480"/>
        <w:jc w:val="left"/>
      </w:pPr>
      <w:r>
        <w:rPr>
          <w:sz w:val="24"/>
        </w:rPr>
        <w:t>联系方式：                 联系方式：</w:t>
      </w:r>
    </w:p>
    <w:p>
      <w:pPr>
        <w:pStyle w:val="null3"/>
        <w:ind w:firstLine="480"/>
        <w:jc w:val="left"/>
      </w:pPr>
      <w:r>
        <w:rPr>
          <w:sz w:val="24"/>
        </w:rPr>
        <w:t>为加强甲方政府采购过程的廉政管理，提高监督、制约水平，确保政府采购公平、公正、公开和透明，防止腐败现象的发生，甲乙双方经友好协商，现就双方在甲方政府采购项目实施过程的廉政管理签定如下公约：</w:t>
      </w:r>
    </w:p>
    <w:p>
      <w:pPr>
        <w:pStyle w:val="null3"/>
        <w:ind w:firstLine="480"/>
        <w:jc w:val="left"/>
      </w:pPr>
      <w:r>
        <w:rPr>
          <w:sz w:val="24"/>
        </w:rPr>
        <w:t>一、双方在该项目的政府采购过程中将严格遵守《中华人民共和国招标投标法》和《中华人民共和国政府采购法》以及政府采购（含建设工程招投标）的有关法律、行政法规等规定。</w:t>
      </w:r>
    </w:p>
    <w:p>
      <w:pPr>
        <w:pStyle w:val="null3"/>
        <w:ind w:firstLine="480"/>
        <w:jc w:val="left"/>
      </w:pPr>
      <w:r>
        <w:rPr>
          <w:sz w:val="24"/>
        </w:rPr>
        <w:t>二、任何单位和部门不得排除和限制公平竞争，不得进行地方保护和行业垄断，禁止限制和排斥本地区、本系统外符合资质条件的单位参加甲方的政府采购竞投活动。</w:t>
      </w:r>
    </w:p>
    <w:p>
      <w:pPr>
        <w:pStyle w:val="null3"/>
        <w:ind w:firstLine="480"/>
        <w:jc w:val="left"/>
      </w:pPr>
      <w:r>
        <w:rPr>
          <w:sz w:val="24"/>
        </w:rPr>
        <w:t>三、甲方应当遵从政府采购的有关管理规定制定发给投标方的采购项目的有关文件，严格按照规定完成发标、答疑、开标、评标和发出中标通知等工作；与乙方密切协作，遵从政府采购的有关规定、采购项目的招投标文件和中标通知，签定采购项目合同。</w:t>
      </w:r>
    </w:p>
    <w:p>
      <w:pPr>
        <w:pStyle w:val="null3"/>
        <w:ind w:firstLine="480"/>
        <w:jc w:val="left"/>
      </w:pPr>
      <w:r>
        <w:rPr>
          <w:sz w:val="24"/>
        </w:rPr>
        <w:t>四、甲方采购项目的政府采购活动应接受纪检监察部门的监督。按规定需向投标人公布的事项必须完全公布，不能向投标人透露的事项必须完全保密。</w:t>
      </w:r>
    </w:p>
    <w:p>
      <w:pPr>
        <w:pStyle w:val="null3"/>
        <w:ind w:firstLine="480"/>
        <w:jc w:val="left"/>
      </w:pPr>
      <w:r>
        <w:rPr>
          <w:sz w:val="24"/>
        </w:rPr>
        <w:t>五、甲方人员不得接受乙方的吃请馈赠，不得向乙方索要钱物。</w:t>
      </w:r>
    </w:p>
    <w:p>
      <w:pPr>
        <w:pStyle w:val="null3"/>
        <w:ind w:firstLine="480"/>
        <w:jc w:val="left"/>
      </w:pPr>
      <w:r>
        <w:rPr>
          <w:sz w:val="24"/>
        </w:rPr>
        <w:t>六、乙方应当遵从政府采购的有关管理规定并按照甲方招标文件要求完成投标的有关文件。</w:t>
      </w:r>
    </w:p>
    <w:p>
      <w:pPr>
        <w:pStyle w:val="null3"/>
        <w:ind w:firstLine="480"/>
        <w:jc w:val="left"/>
      </w:pPr>
      <w:r>
        <w:rPr>
          <w:sz w:val="24"/>
        </w:rPr>
        <w:t>七、乙方不得向甲方人员和评标委员会的组成人员以及竞争性谈判、单一来源谈判、询价采购小组的组成人员行贿或者采取其他不正当手段谋取中标或者成交。</w:t>
      </w:r>
    </w:p>
    <w:p>
      <w:pPr>
        <w:pStyle w:val="null3"/>
        <w:ind w:firstLine="480"/>
        <w:jc w:val="left"/>
      </w:pPr>
      <w:r>
        <w:rPr>
          <w:sz w:val="24"/>
        </w:rPr>
        <w:t>八、乙方不得与参加投标的其他供应商串通进行投标且不得弄虚作假骗取中标。</w:t>
      </w:r>
    </w:p>
    <w:p>
      <w:pPr>
        <w:pStyle w:val="null3"/>
        <w:ind w:firstLine="480"/>
        <w:jc w:val="left"/>
      </w:pPr>
      <w:r>
        <w:rPr>
          <w:sz w:val="24"/>
        </w:rPr>
        <w:t>九、甲乙任一方在本采购项目的实施过程中违反政府采购有关法律和行政法规的，按有关规定予以处罚；因此造成对方损失的，应承担赔偿责任。</w:t>
      </w:r>
    </w:p>
    <w:p>
      <w:pPr>
        <w:pStyle w:val="null3"/>
        <w:ind w:firstLine="480"/>
        <w:jc w:val="left"/>
      </w:pPr>
      <w:r>
        <w:rPr>
          <w:sz w:val="24"/>
        </w:rPr>
        <w:t>十、本公约一式两份，甲乙双方各执一份。自双方签字盖章之日生效。</w:t>
      </w:r>
    </w:p>
    <w:p>
      <w:pPr>
        <w:pStyle w:val="null3"/>
        <w:ind w:firstLine="480"/>
        <w:jc w:val="left"/>
      </w:pPr>
      <w:r>
        <w:rPr>
          <w:sz w:val="21"/>
        </w:rPr>
        <w:t xml:space="preserve"> </w:t>
      </w:r>
    </w:p>
    <w:p>
      <w:pPr>
        <w:pStyle w:val="null3"/>
        <w:ind w:firstLine="480"/>
        <w:jc w:val="left"/>
      </w:pPr>
      <w:r>
        <w:rPr>
          <w:sz w:val="24"/>
        </w:rPr>
        <w:t>甲方（盖章）：                    乙方（盖章）：</w:t>
      </w:r>
    </w:p>
    <w:p>
      <w:pPr>
        <w:pStyle w:val="null3"/>
        <w:ind w:firstLine="480"/>
        <w:jc w:val="left"/>
      </w:pPr>
      <w:r>
        <w:rPr>
          <w:sz w:val="24"/>
        </w:rPr>
        <w:t>甲方代表：                       乙方代表：</w:t>
      </w:r>
    </w:p>
    <w:p>
      <w:pPr>
        <w:pStyle w:val="null3"/>
        <w:ind w:firstLine="480"/>
        <w:jc w:val="left"/>
      </w:pPr>
      <w:r>
        <w:rPr>
          <w:sz w:val="24"/>
        </w:rPr>
        <w:t>日期：   年  月 日                日期：    年  月  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440001-2024-37797</w:t>
      </w:r>
    </w:p>
    <w:p>
      <w:pPr>
        <w:pStyle w:val="null3"/>
        <w:jc w:val="center"/>
        <w:outlineLvl w:val="3"/>
      </w:pPr>
      <w:r>
        <w:rPr>
          <w:sz w:val="24"/>
          <w:b/>
        </w:rPr>
        <w:t>采购项目编号：</w:t>
      </w:r>
      <w:r>
        <w:rPr>
          <w:sz w:val="24"/>
          <w:b/>
        </w:rPr>
        <w:t>GPCGD244314HG047F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广东省应急管理厅应急特种专业技术车辆采购项目</w:t>
      </w:r>
      <w:r>
        <w:rPr>
          <w:u w:val="single"/>
        </w:rPr>
        <w:t>”</w:t>
      </w:r>
      <w:r>
        <w:rPr/>
        <w:t>项目的招标[采购项目编号为：</w:t>
      </w:r>
      <w:r>
        <w:rPr>
          <w:u w:val="single"/>
        </w:rPr>
        <w:t>GPCGD244314HG047F</w:t>
      </w:r>
      <w:r>
        <w:rPr/>
        <w:t>]，我方愿参与投标。</w:t>
      </w:r>
    </w:p>
    <w:p>
      <w:pPr>
        <w:pStyle w:val="null3"/>
        <w:ind w:firstLine="480"/>
      </w:pPr>
      <w:r>
        <w:rPr/>
        <w:t>我方确认收到贵方提供的</w:t>
      </w:r>
      <w:r>
        <w:rPr>
          <w:u w:val="single"/>
        </w:rPr>
        <w:t>“</w:t>
      </w:r>
      <w:r>
        <w:rPr>
          <w:u w:val="single"/>
        </w:rPr>
        <w:t>广东省应急管理厅应急特种专业技术车辆采购项目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从提交投标（响应）文件的截止之日起不少于90日历天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广东省应急管理厅应急特种专业技术车辆采购项目</w:t>
      </w:r>
      <w:r>
        <w:rPr/>
        <w:t>”项目采购[采购项目编号为</w:t>
      </w:r>
      <w:r>
        <w:rPr/>
        <w:t>GPCGD244314HG047F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广东省应急管理厅</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广东省应急管理厅应急特种专业技术车辆采购项目</w:t>
      </w:r>
      <w:r>
        <w:rPr/>
        <w:t>招标中获中标（采购项目编号：</w:t>
      </w:r>
      <w:r>
        <w:rPr/>
        <w:t>GPCGD244314HG047F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广东省应急管理厅应急特种专业技术车辆采购项目</w:t>
      </w:r>
      <w:r>
        <w:rPr/>
        <w:t>”项目（采购项目编号：</w:t>
      </w:r>
      <w:r>
        <w:rPr/>
        <w:t>GPCGD244314HG047F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