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440001-2024-31590</w:t>
      </w:r>
    </w:p>
    <w:p>
      <w:pPr>
        <w:pStyle w:val="null3"/>
        <w:jc w:val="center"/>
        <w:outlineLvl w:val="3"/>
      </w:pPr>
      <w:r>
        <w:rPr>
          <w:sz w:val="24"/>
          <w:b/>
        </w:rPr>
        <w:t>采购项目编号：</w:t>
      </w:r>
      <w:r>
        <w:rPr>
          <w:sz w:val="24"/>
          <w:b/>
        </w:rPr>
        <w:t>GPCGD241104FG051F</w:t>
      </w:r>
    </w:p>
    <w:p>
      <w:pPr>
        <w:pStyle w:val="null3"/>
        <w:jc w:val="center"/>
        <w:outlineLvl w:val="3"/>
      </w:pPr>
      <w:r>
        <w:rPr>
          <w:sz w:val="24"/>
          <w:b/>
        </w:rPr>
        <w:t>项目名称：</w:t>
      </w:r>
      <w:r>
        <w:rPr>
          <w:sz w:val="24"/>
          <w:b/>
        </w:rPr>
        <w:t>省发展改革委重大项目前期工作服务系统开发和运营（2024年）项目</w:t>
      </w:r>
    </w:p>
    <w:p>
      <w:pPr>
        <w:pStyle w:val="null3"/>
        <w:jc w:val="center"/>
        <w:outlineLvl w:val="3"/>
      </w:pPr>
      <w:r>
        <w:rPr>
          <w:sz w:val="24"/>
          <w:b/>
        </w:rPr>
        <w:t>采购人：</w:t>
      </w:r>
      <w:r>
        <w:rPr>
          <w:sz w:val="24"/>
          <w:b/>
        </w:rPr>
        <w:t>广东省投资和信用中心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广东省投资和信用中心</w:t>
      </w:r>
      <w:r>
        <w:rPr/>
        <w:t>的委托，采用</w:t>
      </w:r>
      <w:r>
        <w:rPr/>
        <w:t>公开招标</w:t>
      </w:r>
      <w:r>
        <w:rPr/>
        <w:t>方式组织采购</w:t>
      </w:r>
      <w:r>
        <w:rPr/>
        <w:t>省发展改革委重大项目前期工作服务系统开发和运营（2024年）项目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省发展改革委重大项目前期工作服务系统开发和运营（2024年）项目</w:t>
      </w:r>
    </w:p>
    <w:p>
      <w:pPr>
        <w:pStyle w:val="null3"/>
        <w:ind w:firstLine="480"/>
      </w:pPr>
      <w:r>
        <w:rPr/>
        <w:t>采购计划编号：</w:t>
      </w:r>
      <w:r>
        <w:rPr/>
        <w:t>440001-2024-31590</w:t>
      </w:r>
    </w:p>
    <w:p>
      <w:pPr>
        <w:pStyle w:val="null3"/>
        <w:ind w:firstLine="480"/>
      </w:pPr>
      <w:r>
        <w:rPr/>
        <w:t>采购项目编号：</w:t>
      </w:r>
      <w:r>
        <w:rPr/>
        <w:t>GPCGD241104FG051F</w:t>
      </w:r>
    </w:p>
    <w:p>
      <w:pPr>
        <w:pStyle w:val="null3"/>
        <w:ind w:firstLine="480"/>
      </w:pPr>
      <w:r>
        <w:rPr/>
        <w:t>采购方式：</w:t>
      </w:r>
      <w:r>
        <w:rPr/>
        <w:t>公开招标</w:t>
      </w:r>
    </w:p>
    <w:p>
      <w:pPr>
        <w:pStyle w:val="null3"/>
        <w:ind w:firstLine="480"/>
      </w:pPr>
      <w:r>
        <w:rPr/>
        <w:t>预算金额：</w:t>
      </w:r>
      <w:r>
        <w:rPr/>
        <w:t>5,546,200.00</w:t>
      </w:r>
      <w:r>
        <w:rPr/>
        <w:t>元</w:t>
      </w:r>
    </w:p>
    <w:p>
      <w:pPr>
        <w:pStyle w:val="null3"/>
        <w:outlineLvl w:val="3"/>
      </w:pPr>
      <w:r>
        <w:rPr>
          <w:sz w:val="24"/>
          <w:b/>
        </w:rPr>
        <w:t>2.项目内容及需求情况（采购项目技术规格、参数及要求）</w:t>
      </w:r>
    </w:p>
    <w:p>
      <w:pPr>
        <w:pStyle w:val="null3"/>
      </w:pPr>
      <w:r>
        <w:rPr/>
        <w:t>采购包1(省发展改革委重大项目前期工作服务系统开发和运营（2024年）项目软件开发服务与系统业务运营服务):</w:t>
      </w:r>
    </w:p>
    <w:p>
      <w:pPr>
        <w:pStyle w:val="null3"/>
      </w:pPr>
      <w:r>
        <w:rPr/>
        <w:t>采购包预算金额：5,546,200.00元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行业应用软件开发服务</w:t>
            </w:r>
          </w:p>
        </w:tc>
        <w:tc>
          <w:tcPr>
            <w:tcW w:type="dxa" w:w="2052"/>
          </w:tcPr>
          <w:p>
            <w:pPr>
              <w:pStyle w:val="null3"/>
            </w:pPr>
            <w:r>
              <w:rPr/>
              <w:t>软件开发服务、系统业务运营服务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5,546,200.00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合同履行期限：以合同签订之日为服务起始时间，服务期为24个月。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3种证明材料之一：①提供相关承诺；②2022或2023年度经会计师事务所审计的财务状况报告；③基本开户行出具的资信证明和《基本存款账号信息》）。</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采购包1（省发展改革委重大项目前期工作服务系统开发和运营（2024年）项目软件开发服务与系统业务运营服务）：</w:t>
      </w:r>
      <w:r>
        <w:rPr/>
        <w:t>本项目整体专门面向中小企业采购。供应商须是符合本项目采购标的对应行业（本项目行业为：软件和信息技术服务业）的政策划分标准的中小企业。监狱企业、残疾人福利单位视同小型、微型企业。（注：中小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采购包1（省发展改革委重大项目前期工作服务系统开发和运营（2024年）项目软件开发服务与系统业务运营服务）：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广东省投资和信用中心</w:t>
      </w:r>
    </w:p>
    <w:p>
      <w:pPr>
        <w:pStyle w:val="null3"/>
        <w:ind w:firstLine="480"/>
      </w:pPr>
      <w:r>
        <w:rPr/>
        <w:t xml:space="preserve"> 地址：</w:t>
      </w:r>
      <w:r>
        <w:rPr/>
        <w:t>广州市东风中路350号瑞兴大厦七楼709</w:t>
      </w:r>
    </w:p>
    <w:p>
      <w:pPr>
        <w:pStyle w:val="null3"/>
        <w:ind w:firstLine="480"/>
      </w:pPr>
      <w:r>
        <w:rPr/>
        <w:t xml:space="preserve"> 联系方式：</w:t>
      </w:r>
      <w:r>
        <w:rPr/>
        <w:t>020-83484985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基本要求</w:t>
      </w:r>
    </w:p>
    <w:p>
      <w:pPr>
        <w:pStyle w:val="null3"/>
        <w:ind w:firstLine="420"/>
        <w:jc w:val="both"/>
      </w:pPr>
      <w:r>
        <w:rPr>
          <w:sz w:val="21"/>
        </w:rPr>
        <w:t>招标文件中带“★”的条款为本次采购的重要要求，投标人须全部满足或响应，只要不满足带“★”的条款所列各项要求之一的，将被认定为无效投标。带“▲”条款是重要技术或商务条款，负偏离将影响技术或商务评价。</w:t>
      </w:r>
    </w:p>
    <w:p>
      <w:pPr>
        <w:pStyle w:val="null3"/>
        <w:ind w:firstLine="420"/>
        <w:jc w:val="both"/>
      </w:pPr>
      <w:r>
        <w:rPr>
          <w:sz w:val="21"/>
        </w:rPr>
        <w:t>★投标人须承诺本项目使用到的所有软件，均拥有合法使用权，如发生任何软件产权、使用纠纷等问题，由投标人一方独立承担相关责任。（提交承诺函，格式见后附）</w:t>
      </w:r>
    </w:p>
    <w:p>
      <w:pPr>
        <w:pStyle w:val="null3"/>
        <w:ind w:firstLine="420"/>
        <w:jc w:val="both"/>
        <w:outlineLvl w:val="0"/>
      </w:pPr>
      <w:r>
        <w:rPr>
          <w:sz w:val="21"/>
          <w:b/>
        </w:rPr>
        <w:t>一、项目名称</w:t>
      </w:r>
    </w:p>
    <w:p>
      <w:pPr>
        <w:pStyle w:val="null3"/>
        <w:ind w:firstLine="420"/>
        <w:jc w:val="both"/>
      </w:pPr>
      <w:r>
        <w:rPr>
          <w:sz w:val="21"/>
        </w:rPr>
        <w:t>省发展改革委重大项目前期工作服务系统开发和运营</w:t>
      </w:r>
      <w:r>
        <w:rPr>
          <w:sz w:val="21"/>
        </w:rPr>
        <w:t>（2024年）</w:t>
      </w:r>
      <w:r>
        <w:rPr>
          <w:sz w:val="21"/>
        </w:rPr>
        <w:t>项目</w:t>
      </w:r>
    </w:p>
    <w:p>
      <w:pPr>
        <w:pStyle w:val="null3"/>
        <w:ind w:firstLine="420"/>
        <w:jc w:val="both"/>
        <w:outlineLvl w:val="0"/>
      </w:pPr>
      <w:r>
        <w:rPr>
          <w:sz w:val="21"/>
          <w:b/>
        </w:rPr>
        <w:t>二、项目背景和目标</w:t>
      </w:r>
    </w:p>
    <w:p>
      <w:pPr>
        <w:pStyle w:val="null3"/>
        <w:jc w:val="both"/>
        <w:outlineLvl w:val="1"/>
      </w:pPr>
      <w:r>
        <w:rPr>
          <w:sz w:val="21"/>
          <w:b/>
        </w:rPr>
        <w:t>（一）项目背景</w:t>
      </w:r>
    </w:p>
    <w:p>
      <w:pPr>
        <w:pStyle w:val="null3"/>
        <w:ind w:firstLine="420"/>
        <w:jc w:val="both"/>
      </w:pPr>
      <w:r>
        <w:rPr>
          <w:sz w:val="21"/>
        </w:rPr>
        <w:t>项目是投资的载体和加快发展的关键，而项目前期工作的开展是否扎实有效，直接关系到项目建设的进度与投资效益，如果项目前期工作不力，必将影响项目的落地和推进，项目建设、经济发展将举步维艰甚至寸步难行。国家发展改革委召开扎实推进项目前期工作、加快推进重大项目建设电视电话会议，会议强调加快推进重大项目建设，是扩大国内需求、稳住经济大盘的重要支撑，是优化供给结构、推动高质量发展的关键举措；扎实做好项目前期工作，是把握工程建设窗口、加快推进重大项目建设的先决条件。</w:t>
      </w:r>
      <w:r>
        <w:rPr>
          <w:sz w:val="21"/>
        </w:rPr>
        <w:t>本项目旨在响应国家发展改革委“扎实做好项目前期工作、加快推进重大项目建设”的号召，根据《广东省“数字发改”建设“十四五”规划》关于推进投资项目管理工作的要求，按照数字政府规范，建设省发展改革委重大项目前期工作服务系统。该系统通过开展重大项目前期工作各环节计划编制、事项报备、调度进展、问题协调，质量评估、督导监管，以挂图作战、协同督办的方式，强化发展改革部门统筹协调能力，提高广东省重大项目前期工作质量，实现重大项目前期工作与开工实施的顺利衔接。</w:t>
      </w:r>
    </w:p>
    <w:p>
      <w:pPr>
        <w:pStyle w:val="null3"/>
        <w:ind w:firstLine="420"/>
        <w:jc w:val="both"/>
        <w:outlineLvl w:val="1"/>
      </w:pPr>
      <w:r>
        <w:rPr>
          <w:sz w:val="21"/>
          <w:b/>
        </w:rPr>
        <w:t>（二）项目目标</w:t>
      </w:r>
    </w:p>
    <w:p>
      <w:pPr>
        <w:pStyle w:val="null3"/>
        <w:ind w:firstLine="420"/>
        <w:jc w:val="both"/>
      </w:pPr>
      <w:r>
        <w:rPr>
          <w:sz w:val="21"/>
        </w:rPr>
        <w:t>提升重大项目前期工作标准化、规范化水平，促进重大项目前期工作</w:t>
      </w:r>
      <w:r>
        <w:rPr>
          <w:sz w:val="21"/>
        </w:rPr>
        <w:t>通则</w:t>
      </w:r>
      <w:r>
        <w:rPr>
          <w:sz w:val="21"/>
        </w:rPr>
        <w:t>梳理工作成果落地，发挥指引指导作用。以省重大项目前期工作流程和要件梳理工作为基础，针对项目前期工作策划生成阶段、立项用地规划许可阶段、工程建设许可阶段和施工许可阶段的储备信息、审批信息、推进情况和风险问题等实现统一采集、录入和监管，提高数据汇聚和智能分析能力。</w:t>
      </w:r>
    </w:p>
    <w:p>
      <w:pPr>
        <w:pStyle w:val="null3"/>
        <w:ind w:firstLine="420"/>
        <w:jc w:val="both"/>
      </w:pPr>
      <w:r>
        <w:rPr>
          <w:sz w:val="21"/>
        </w:rPr>
        <w:t>提高项目前期工作难点、堵点发现预警能力。依托</w:t>
      </w:r>
      <w:r>
        <w:rPr>
          <w:sz w:val="21"/>
        </w:rPr>
        <w:t>“</w:t>
      </w:r>
      <w:r>
        <w:rPr>
          <w:sz w:val="21"/>
        </w:rPr>
        <w:t>项目前期工作关键要件表</w:t>
      </w:r>
      <w:r>
        <w:rPr>
          <w:sz w:val="21"/>
        </w:rPr>
        <w:t>”</w:t>
      </w:r>
      <w:r>
        <w:rPr>
          <w:sz w:val="21"/>
        </w:rPr>
        <w:t>对各类项目在技术审查、行政审批方面常见风险点的梳理，在项目推进缓慢时精准发现症结所在，根据预案及时处理。</w:t>
      </w:r>
    </w:p>
    <w:p>
      <w:pPr>
        <w:pStyle w:val="null3"/>
        <w:ind w:firstLine="420"/>
        <w:jc w:val="both"/>
      </w:pPr>
      <w:r>
        <w:rPr>
          <w:sz w:val="21"/>
        </w:rPr>
        <w:t>优化项目前期工作资源配置和公益服务能力。依托重大项目前期工作全流程要素的提取和可视化分析，实现对固定资产投资情况形势分析、制定年度投资计划、立项情况分析、投资完成度分析等宏观决策辅助。通过对第三方服务单位的服务进度管理和服务质量监督，综合评价第三方服务单位实力水平，为项目单位提供选择参考，在助力重大项目前期工作顺利推进的同时，促进省内咨询行业高质量发展。</w:t>
      </w:r>
    </w:p>
    <w:p>
      <w:pPr>
        <w:pStyle w:val="null3"/>
        <w:ind w:firstLine="420"/>
        <w:jc w:val="both"/>
        <w:outlineLvl w:val="0"/>
      </w:pPr>
      <w:r>
        <w:rPr>
          <w:sz w:val="21"/>
          <w:b/>
        </w:rPr>
        <w:t>三、项目建设内容</w:t>
      </w:r>
    </w:p>
    <w:p>
      <w:pPr>
        <w:pStyle w:val="null3"/>
        <w:jc w:val="both"/>
        <w:outlineLvl w:val="1"/>
      </w:pPr>
      <w:r>
        <w:rPr>
          <w:sz w:val="21"/>
          <w:b/>
        </w:rPr>
        <w:t>（一）省发展改革委重大项目前期工作服务系统</w:t>
      </w:r>
      <w:r>
        <w:rPr>
          <w:sz w:val="21"/>
          <w:b/>
        </w:rPr>
        <w:t>软件开发服务</w:t>
      </w:r>
    </w:p>
    <w:p>
      <w:pPr>
        <w:pStyle w:val="null3"/>
        <w:outlineLvl w:val="2"/>
      </w:pPr>
      <w:r>
        <w:rPr>
          <w:sz w:val="21"/>
          <w:b/>
        </w:rPr>
        <w:t>1.</w:t>
      </w:r>
      <w:r>
        <w:rPr>
          <w:sz w:val="21"/>
          <w:b/>
        </w:rPr>
        <w:t>重大项目分析模块</w:t>
      </w:r>
    </w:p>
    <w:p>
      <w:pPr>
        <w:pStyle w:val="null3"/>
        <w:jc w:val="both"/>
        <w:outlineLvl w:val="3"/>
      </w:pPr>
      <w:r>
        <w:rPr>
          <w:sz w:val="21"/>
          <w:b/>
        </w:rPr>
        <w:t>1.1重大项目总体分析</w:t>
      </w:r>
    </w:p>
    <w:p>
      <w:pPr>
        <w:pStyle w:val="null3"/>
        <w:ind w:firstLine="420"/>
        <w:jc w:val="both"/>
      </w:pPr>
      <w:r>
        <w:rPr>
          <w:sz w:val="21"/>
        </w:rPr>
        <w:t>从数量、投资等维度对重大项目进行总体分析和展示，包括重大项目总体数量信息、重大项目总投资信息、重大项目行业分布信息等数据信息。</w:t>
      </w:r>
    </w:p>
    <w:p>
      <w:pPr>
        <w:pStyle w:val="null3"/>
        <w:jc w:val="both"/>
        <w:outlineLvl w:val="3"/>
      </w:pPr>
      <w:r>
        <w:rPr>
          <w:sz w:val="21"/>
          <w:b/>
        </w:rPr>
        <w:t>1.2重大项目进展情况分析</w:t>
      </w:r>
    </w:p>
    <w:p>
      <w:pPr>
        <w:pStyle w:val="null3"/>
        <w:ind w:firstLine="420"/>
        <w:jc w:val="both"/>
      </w:pPr>
      <w:r>
        <w:rPr>
          <w:sz w:val="21"/>
        </w:rPr>
        <w:t>从开工、投资、预警等维度对全省重大项目的推进情况指标进行分析展示，包括重大项目已开工数量信息、重大项目未开工数量信息等数据信息。</w:t>
      </w:r>
    </w:p>
    <w:p>
      <w:pPr>
        <w:pStyle w:val="null3"/>
        <w:jc w:val="both"/>
        <w:outlineLvl w:val="3"/>
      </w:pPr>
      <w:r>
        <w:rPr>
          <w:sz w:val="21"/>
          <w:b/>
        </w:rPr>
        <w:t>1.3重大项目协调调度分析</w:t>
      </w:r>
    </w:p>
    <w:p>
      <w:pPr>
        <w:pStyle w:val="null3"/>
        <w:ind w:firstLine="420"/>
        <w:jc w:val="both"/>
      </w:pPr>
      <w:r>
        <w:rPr>
          <w:sz w:val="21"/>
        </w:rPr>
        <w:t>对重大项目调度情况、主要问题分布情况、问题处置落实情况进行分析和展示，包括重大项目进度跟踪信息、重大项目进展问题信息、重大项目调度数量信息、重大项目已调度问题信息、重大项目未调度问题信息、重大项目问题反馈信息、重大项目问题落实信息等数据信息。</w:t>
      </w:r>
    </w:p>
    <w:p>
      <w:pPr>
        <w:pStyle w:val="null3"/>
        <w:outlineLvl w:val="2"/>
      </w:pPr>
      <w:r>
        <w:rPr>
          <w:sz w:val="21"/>
          <w:b/>
        </w:rPr>
        <w:t>2.</w:t>
      </w:r>
      <w:r>
        <w:rPr>
          <w:sz w:val="21"/>
          <w:b/>
        </w:rPr>
        <w:t>待办任务模块</w:t>
      </w:r>
    </w:p>
    <w:p>
      <w:pPr>
        <w:pStyle w:val="null3"/>
        <w:jc w:val="both"/>
        <w:outlineLvl w:val="3"/>
      </w:pPr>
      <w:r>
        <w:rPr>
          <w:sz w:val="21"/>
          <w:b/>
        </w:rPr>
        <w:t>2.1流程工期编制任务</w:t>
      </w:r>
    </w:p>
    <w:p>
      <w:pPr>
        <w:pStyle w:val="null3"/>
        <w:ind w:firstLine="420"/>
        <w:jc w:val="both"/>
      </w:pPr>
      <w:r>
        <w:rPr>
          <w:sz w:val="21"/>
        </w:rPr>
        <w:t>根据流程工期编制计划，为项目单位提供流程工期编制任务通知和提醒功能，提醒其在规定时间内完成流程工期表的编制。</w:t>
      </w:r>
    </w:p>
    <w:p>
      <w:pPr>
        <w:pStyle w:val="null3"/>
        <w:jc w:val="both"/>
        <w:outlineLvl w:val="3"/>
      </w:pPr>
      <w:r>
        <w:rPr>
          <w:sz w:val="21"/>
          <w:b/>
        </w:rPr>
        <w:t>2.2流程工期审核任务</w:t>
      </w:r>
    </w:p>
    <w:p>
      <w:pPr>
        <w:pStyle w:val="null3"/>
        <w:ind w:firstLine="420"/>
        <w:jc w:val="both"/>
      </w:pPr>
      <w:r>
        <w:rPr>
          <w:sz w:val="21"/>
        </w:rPr>
        <w:t>根据流程工期审核计划，相关参与评审单位将收到流程工期评审待办通知，提醒其在评审时间准时参加评审会议。</w:t>
      </w:r>
    </w:p>
    <w:p>
      <w:pPr>
        <w:pStyle w:val="null3"/>
        <w:jc w:val="both"/>
        <w:outlineLvl w:val="3"/>
      </w:pPr>
      <w:r>
        <w:rPr>
          <w:sz w:val="21"/>
          <w:b/>
        </w:rPr>
        <w:t>2.3项目调度任务</w:t>
      </w:r>
    </w:p>
    <w:p>
      <w:pPr>
        <w:pStyle w:val="null3"/>
        <w:ind w:firstLine="420"/>
        <w:jc w:val="both"/>
      </w:pPr>
      <w:r>
        <w:rPr>
          <w:sz w:val="21"/>
        </w:rPr>
        <w:t>根据项目调度进度，为相关用户提供任务通知和提醒功能，提醒其针对相关调度任务进行反馈、确认、协调、落实。</w:t>
      </w:r>
    </w:p>
    <w:p>
      <w:pPr>
        <w:pStyle w:val="null3"/>
        <w:jc w:val="both"/>
        <w:outlineLvl w:val="3"/>
      </w:pPr>
      <w:r>
        <w:rPr>
          <w:sz w:val="21"/>
          <w:b/>
        </w:rPr>
        <w:t>2.4项目预警任务</w:t>
      </w:r>
    </w:p>
    <w:p>
      <w:pPr>
        <w:pStyle w:val="null3"/>
        <w:ind w:firstLine="420"/>
        <w:jc w:val="both"/>
      </w:pPr>
      <w:r>
        <w:rPr>
          <w:sz w:val="21"/>
        </w:rPr>
        <w:t>当项目临近工期、工期超期后，系统将向相关用户发出预警通知，提醒其及时关注项目申报进度；同时向管理部门发出预警，便于发起调度。</w:t>
      </w:r>
    </w:p>
    <w:p>
      <w:pPr>
        <w:pStyle w:val="null3"/>
        <w:jc w:val="both"/>
        <w:outlineLvl w:val="3"/>
      </w:pPr>
      <w:r>
        <w:rPr>
          <w:sz w:val="21"/>
          <w:b/>
        </w:rPr>
        <w:t>2.5问题反馈任务</w:t>
      </w:r>
    </w:p>
    <w:p>
      <w:pPr>
        <w:pStyle w:val="null3"/>
        <w:ind w:firstLine="420"/>
        <w:jc w:val="both"/>
      </w:pPr>
      <w:r>
        <w:rPr>
          <w:sz w:val="21"/>
        </w:rPr>
        <w:t>根据重大项目推进过程中项目单位反馈的问题，为相关用户提供任务通知和提醒功能，提醒其及时进行问题确认、协调、落实。</w:t>
      </w:r>
    </w:p>
    <w:p>
      <w:pPr>
        <w:pStyle w:val="null3"/>
        <w:jc w:val="both"/>
        <w:outlineLvl w:val="3"/>
      </w:pPr>
      <w:r>
        <w:rPr>
          <w:sz w:val="21"/>
          <w:b/>
        </w:rPr>
        <w:t>2.6入驻申请任务</w:t>
      </w:r>
    </w:p>
    <w:p>
      <w:pPr>
        <w:pStyle w:val="null3"/>
        <w:ind w:firstLine="420"/>
        <w:jc w:val="both"/>
      </w:pPr>
      <w:r>
        <w:rPr>
          <w:sz w:val="21"/>
        </w:rPr>
        <w:t>第三方机构通过系统申请入库后，审核部门将收到入驻申请的待审核通知，提醒相关用户及时进行第三方机构入驻申请的审核。</w:t>
      </w:r>
    </w:p>
    <w:p>
      <w:pPr>
        <w:pStyle w:val="null3"/>
        <w:outlineLvl w:val="2"/>
      </w:pPr>
      <w:r>
        <w:rPr>
          <w:sz w:val="21"/>
          <w:b/>
        </w:rPr>
        <w:t>3.</w:t>
      </w:r>
      <w:r>
        <w:rPr>
          <w:sz w:val="21"/>
          <w:b/>
        </w:rPr>
        <w:t>项目配置管理模块</w:t>
      </w:r>
    </w:p>
    <w:p>
      <w:pPr>
        <w:pStyle w:val="null3"/>
        <w:jc w:val="both"/>
        <w:outlineLvl w:val="3"/>
      </w:pPr>
      <w:r>
        <w:rPr>
          <w:sz w:val="21"/>
          <w:b/>
        </w:rPr>
        <w:t>3.1项目台账管理</w:t>
      </w:r>
    </w:p>
    <w:p>
      <w:pPr>
        <w:pStyle w:val="null3"/>
        <w:ind w:firstLine="420"/>
        <w:jc w:val="both"/>
      </w:pPr>
      <w:r>
        <w:rPr>
          <w:sz w:val="21"/>
        </w:rPr>
        <w:t>重大项目台账管理是系统的基础需求，系统需与省投资项目在线审批监管平台审批数据信息、省投资项目在线审批监管平台基础库管理子系统数据对接，获取重大项目数量信息、重大项目基本信息、重大项目事项审批信息、重大项目投资进度信息、重大项目形象进度信息，支持在重大项目调入、调出审核通过后实现重大项目调入、调出重大项目库，在重大项目基础信息变更时满足重大项目信息维护的需求。</w:t>
      </w:r>
    </w:p>
    <w:p>
      <w:pPr>
        <w:pStyle w:val="null3"/>
        <w:jc w:val="both"/>
        <w:outlineLvl w:val="3"/>
      </w:pPr>
      <w:r>
        <w:rPr>
          <w:sz w:val="21"/>
          <w:b/>
        </w:rPr>
        <w:t>3.2分配第三方机构</w:t>
      </w:r>
    </w:p>
    <w:p>
      <w:pPr>
        <w:pStyle w:val="null3"/>
        <w:ind w:firstLine="420"/>
        <w:jc w:val="both"/>
      </w:pPr>
      <w:r>
        <w:rPr>
          <w:sz w:val="21"/>
        </w:rPr>
        <w:t>为进一步做深做细做实重大项目前期工作，支持为项目单位分配第三方咨询机构，为相应的重大项目前期工作提供业务咨询、监督指导和质量把关，推动前期工作提质增效。用户可依托系统为项目单位分配第三方机构，并且可以将参与前期工作咨询服务的第三方机构统一纳入系统，实现日常管理。</w:t>
      </w:r>
    </w:p>
    <w:p>
      <w:pPr>
        <w:pStyle w:val="null3"/>
        <w:jc w:val="both"/>
        <w:outlineLvl w:val="3"/>
      </w:pPr>
      <w:r>
        <w:rPr>
          <w:sz w:val="21"/>
          <w:b/>
        </w:rPr>
        <w:t>3.3制定编制计划</w:t>
      </w:r>
    </w:p>
    <w:p>
      <w:pPr>
        <w:pStyle w:val="null3"/>
        <w:ind w:firstLine="420"/>
        <w:jc w:val="both"/>
      </w:pPr>
      <w:r>
        <w:rPr>
          <w:sz w:val="21"/>
        </w:rPr>
        <w:t>用户将依托本系统强化重大项目前期咨询辅导服务职能，当重大项目调入或新增后，用户可登录系统制定编制计划，督促项目单位、第三方机构在规定时限内进行流程工期编制，合理安排项目年度工作，便于各方掌握和推进项目进展情况。</w:t>
      </w:r>
    </w:p>
    <w:p>
      <w:pPr>
        <w:pStyle w:val="null3"/>
        <w:jc w:val="both"/>
        <w:outlineLvl w:val="3"/>
      </w:pPr>
      <w:r>
        <w:rPr>
          <w:sz w:val="21"/>
          <w:b/>
        </w:rPr>
        <w:t>3.4流程工期编制</w:t>
      </w:r>
    </w:p>
    <w:p>
      <w:pPr>
        <w:pStyle w:val="null3"/>
        <w:ind w:firstLine="420"/>
        <w:jc w:val="both"/>
      </w:pPr>
      <w:r>
        <w:rPr>
          <w:sz w:val="21"/>
        </w:rPr>
        <w:t>系统内置模板，指导项目单位开展项目流程工期表编制。流程工期编制主要内容包括项目阶段、主要环节、主要工作内容、计划启动时间、计划完成时间等，引导项目单位按“一图”导引开展事项信息管理，指导项目单位按通则流程申报一级、二级事项及支持并联办理的事项；满足关键要件量化管理需求，建立关键要件清单、内容、编制依据的管理；在关键环节为项目单位提供风险点提醒，建立风险概率管理、风险影响程度管理、风险等级管理、风险应对措施管理体系。</w:t>
      </w:r>
    </w:p>
    <w:p>
      <w:pPr>
        <w:pStyle w:val="null3"/>
        <w:jc w:val="both"/>
        <w:outlineLvl w:val="3"/>
      </w:pPr>
      <w:r>
        <w:rPr>
          <w:sz w:val="21"/>
          <w:b/>
        </w:rPr>
        <w:t>3.5发起评审会议</w:t>
      </w:r>
    </w:p>
    <w:p>
      <w:pPr>
        <w:pStyle w:val="null3"/>
        <w:ind w:firstLine="420"/>
        <w:jc w:val="both"/>
      </w:pPr>
      <w:r>
        <w:rPr>
          <w:sz w:val="21"/>
        </w:rPr>
        <w:t>第三方机构完成流程工期编制后，用户根据实际情况，制定评审计划，包括拟定会议类型、会议类型、会议时间、会议要求、会议内容、参会单位选择等内容，系统需提供流程工期表审核的任务创建、会议组织各项功能。</w:t>
      </w:r>
    </w:p>
    <w:p>
      <w:pPr>
        <w:pStyle w:val="null3"/>
        <w:jc w:val="both"/>
        <w:outlineLvl w:val="3"/>
      </w:pPr>
      <w:r>
        <w:rPr>
          <w:sz w:val="21"/>
          <w:b/>
        </w:rPr>
        <w:t>3.6流程工期审核</w:t>
      </w:r>
    </w:p>
    <w:p>
      <w:pPr>
        <w:pStyle w:val="null3"/>
        <w:ind w:firstLine="420"/>
        <w:jc w:val="both"/>
      </w:pPr>
      <w:r>
        <w:rPr>
          <w:sz w:val="21"/>
        </w:rPr>
        <w:t>相关单位接收到审核计划后，组织开展流程工期表审核，可通过线上会议或线下会议进行。若流程工期符合要求，则可对流程工期进行审核通过，将作为项目单位工作进展实施和项目监管的重要依据。若流程工期表不符合条件或需要进一步完善，系统支持现场修改或退回修改，退回时需写明原因，修改完成后可再次提交进行审核。</w:t>
      </w:r>
    </w:p>
    <w:p>
      <w:pPr>
        <w:pStyle w:val="null3"/>
        <w:jc w:val="both"/>
        <w:outlineLvl w:val="3"/>
      </w:pPr>
      <w:r>
        <w:rPr>
          <w:sz w:val="21"/>
          <w:b/>
        </w:rPr>
        <w:t>3.7流程工期展示</w:t>
      </w:r>
    </w:p>
    <w:p>
      <w:pPr>
        <w:pStyle w:val="null3"/>
        <w:ind w:firstLine="420"/>
        <w:jc w:val="both"/>
      </w:pPr>
      <w:r>
        <w:rPr>
          <w:sz w:val="21"/>
        </w:rPr>
        <w:t>系统可按行业进行流程工期展示，为第三方机构编制项目流程工期表提供参考依据。</w:t>
      </w:r>
    </w:p>
    <w:p>
      <w:pPr>
        <w:pStyle w:val="null3"/>
        <w:jc w:val="both"/>
        <w:outlineLvl w:val="3"/>
      </w:pPr>
      <w:r>
        <w:rPr>
          <w:sz w:val="21"/>
          <w:b/>
        </w:rPr>
        <w:t>3.8流程工期查询</w:t>
      </w:r>
    </w:p>
    <w:p>
      <w:pPr>
        <w:pStyle w:val="null3"/>
        <w:ind w:firstLine="420"/>
        <w:jc w:val="both"/>
      </w:pPr>
      <w:r>
        <w:rPr>
          <w:sz w:val="21"/>
        </w:rPr>
        <w:t>在编制完成流程工期之后，系统支持按行业分类查询七大行业重大项目前期工作流程图信息、关键要件表信息、风险点信息。</w:t>
      </w:r>
    </w:p>
    <w:p>
      <w:pPr>
        <w:pStyle w:val="null3"/>
        <w:jc w:val="both"/>
        <w:outlineLvl w:val="3"/>
      </w:pPr>
      <w:r>
        <w:rPr>
          <w:sz w:val="21"/>
          <w:b/>
        </w:rPr>
        <w:t>3.9流程工期变更</w:t>
      </w:r>
    </w:p>
    <w:p>
      <w:pPr>
        <w:pStyle w:val="null3"/>
        <w:ind w:firstLine="420"/>
        <w:jc w:val="both"/>
      </w:pPr>
      <w:r>
        <w:rPr>
          <w:sz w:val="21"/>
        </w:rPr>
        <w:t>当项目单位由于相关原因需要对预先倒排的流程工期进行变更时，系统支持针对流程工期具体信息进行变更修改，生成新的流程工期。</w:t>
      </w:r>
    </w:p>
    <w:p>
      <w:pPr>
        <w:pStyle w:val="null3"/>
        <w:ind w:firstLine="422"/>
        <w:jc w:val="both"/>
      </w:pPr>
      <w:r>
        <w:rPr>
          <w:sz w:val="21"/>
          <w:b/>
        </w:rPr>
        <w:t>3.10</w:t>
      </w:r>
      <w:r>
        <w:rPr>
          <w:sz w:val="21"/>
          <w:b/>
        </w:rPr>
        <w:t>重大项目附属材料信息</w:t>
      </w:r>
    </w:p>
    <w:p>
      <w:pPr>
        <w:pStyle w:val="null3"/>
        <w:ind w:firstLine="420"/>
        <w:jc w:val="both"/>
      </w:pPr>
      <w:r>
        <w:rPr>
          <w:sz w:val="21"/>
        </w:rPr>
        <w:t>针对重大项目前期工作推进过程中需要上传的附件材料，包括项目调度、申报材料、落实反馈材料、问题附件材料、处置反馈材料、第三方机构资质奖项等材料，系统需提供重大项目附属材料模块，用户在系统内上传相关附件、填写描述说明后，按照统一的命名约定和文件格式，系统形成重大项目附属材料信息，并存储入信息库中进行备份和维护。支持用户对材料信息进行新增、修改、删除、查看、维护等操作。</w:t>
      </w:r>
    </w:p>
    <w:p>
      <w:pPr>
        <w:pStyle w:val="null3"/>
        <w:outlineLvl w:val="2"/>
      </w:pPr>
      <w:r>
        <w:rPr>
          <w:sz w:val="21"/>
          <w:b/>
        </w:rPr>
        <w:t>4.</w:t>
      </w:r>
      <w:r>
        <w:rPr>
          <w:sz w:val="21"/>
          <w:b/>
        </w:rPr>
        <w:t>进度跟踪模块</w:t>
      </w:r>
    </w:p>
    <w:p>
      <w:pPr>
        <w:pStyle w:val="null3"/>
        <w:jc w:val="both"/>
        <w:outlineLvl w:val="3"/>
      </w:pPr>
      <w:r>
        <w:rPr>
          <w:sz w:val="21"/>
          <w:b/>
        </w:rPr>
        <w:t>4.1项目进度反馈</w:t>
      </w:r>
    </w:p>
    <w:p>
      <w:pPr>
        <w:pStyle w:val="null3"/>
        <w:ind w:firstLine="420"/>
        <w:jc w:val="both"/>
      </w:pPr>
      <w:r>
        <w:rPr>
          <w:sz w:val="21"/>
        </w:rPr>
        <w:t>流程工期表审核通过后，系统将根据填写的各事项计划时间，在临近期限之前发送任务通知提醒项目单位，在各手续环节的办理时限内编制各类要件材料。项目单位在系统内反馈事项进展申报信息、上传附件材料信息，项目单位按照流程工期来高效推进重大项目前期各项工作。</w:t>
      </w:r>
    </w:p>
    <w:p>
      <w:pPr>
        <w:pStyle w:val="null3"/>
        <w:jc w:val="both"/>
        <w:outlineLvl w:val="3"/>
      </w:pPr>
      <w:r>
        <w:rPr>
          <w:sz w:val="21"/>
          <w:b/>
        </w:rPr>
        <w:t>4.2第三方机构完善指导管理</w:t>
      </w:r>
    </w:p>
    <w:p>
      <w:pPr>
        <w:pStyle w:val="null3"/>
        <w:ind w:firstLine="420"/>
        <w:jc w:val="both"/>
      </w:pPr>
      <w:r>
        <w:rPr>
          <w:sz w:val="21"/>
        </w:rPr>
        <w:t>第三方机构可对项目单位提交的要件材料进行质量把关，对项目单位提交的项目材料进行在线批注指导。</w:t>
      </w:r>
    </w:p>
    <w:p>
      <w:pPr>
        <w:pStyle w:val="null3"/>
        <w:outlineLvl w:val="2"/>
      </w:pPr>
      <w:r>
        <w:rPr>
          <w:sz w:val="21"/>
          <w:b/>
        </w:rPr>
        <w:t>5.</w:t>
      </w:r>
      <w:r>
        <w:rPr>
          <w:sz w:val="21"/>
          <w:b/>
        </w:rPr>
        <w:t>诊断监测模块</w:t>
      </w:r>
    </w:p>
    <w:p>
      <w:pPr>
        <w:pStyle w:val="null3"/>
        <w:ind w:firstLine="420"/>
        <w:jc w:val="both"/>
      </w:pPr>
      <w:r>
        <w:rPr>
          <w:sz w:val="21"/>
        </w:rPr>
        <w:t>针对重大项目前期工作推进情况缺乏常态化监测反馈机制等痛点、堵点问题，系统需提供诊断监测功能，满足各级领导实时反馈前期工作进展的业务需求。诊断监测主要包括项目工期监测、重大项目诊断报告管理、问题台账管理。</w:t>
      </w:r>
    </w:p>
    <w:p>
      <w:pPr>
        <w:pStyle w:val="null3"/>
        <w:jc w:val="both"/>
        <w:outlineLvl w:val="3"/>
      </w:pPr>
      <w:r>
        <w:rPr>
          <w:sz w:val="21"/>
          <w:b/>
        </w:rPr>
        <w:t>5.1项目监测</w:t>
      </w:r>
    </w:p>
    <w:p>
      <w:pPr>
        <w:pStyle w:val="null3"/>
        <w:ind w:firstLine="420"/>
        <w:jc w:val="both"/>
      </w:pPr>
      <w:r>
        <w:rPr>
          <w:sz w:val="21"/>
        </w:rPr>
        <w:t>项目工期监测主要需实现项目预警的综合查询，项目推进临期、逾期的预警及催办管理，实现预警、处置、催办、落实的闭环管理机制。</w:t>
      </w:r>
    </w:p>
    <w:p>
      <w:pPr>
        <w:pStyle w:val="null3"/>
        <w:jc w:val="both"/>
        <w:outlineLvl w:val="3"/>
      </w:pPr>
      <w:r>
        <w:rPr>
          <w:sz w:val="21"/>
          <w:b/>
        </w:rPr>
        <w:t>5.2诊断报告管理</w:t>
      </w:r>
    </w:p>
    <w:p>
      <w:pPr>
        <w:pStyle w:val="null3"/>
        <w:ind w:firstLine="420"/>
        <w:jc w:val="both"/>
      </w:pPr>
      <w:r>
        <w:rPr>
          <w:sz w:val="21"/>
        </w:rPr>
        <w:t>支持重大项目问题诊断报告在线生成、查看、导出功能，辅助项目问题复盘及提升问题处置成效。</w:t>
      </w:r>
    </w:p>
    <w:p>
      <w:pPr>
        <w:pStyle w:val="null3"/>
        <w:jc w:val="both"/>
        <w:outlineLvl w:val="3"/>
      </w:pPr>
      <w:r>
        <w:rPr>
          <w:sz w:val="21"/>
          <w:b/>
        </w:rPr>
        <w:t>5.3问题台账管理</w:t>
      </w:r>
    </w:p>
    <w:p>
      <w:pPr>
        <w:pStyle w:val="null3"/>
        <w:ind w:firstLine="420"/>
        <w:jc w:val="both"/>
      </w:pPr>
      <w:r>
        <w:rPr>
          <w:sz w:val="21"/>
        </w:rPr>
        <w:t>在第三方机构反馈“堵点”、“卡点”问题，以及项目单位反馈问题后，系统需对所有产生的问题进行台账管理，统计每个项目的问题总数以及问题调度情况。</w:t>
      </w:r>
    </w:p>
    <w:p>
      <w:pPr>
        <w:pStyle w:val="null3"/>
        <w:outlineLvl w:val="2"/>
      </w:pPr>
      <w:r>
        <w:rPr>
          <w:sz w:val="21"/>
          <w:b/>
        </w:rPr>
        <w:t>6.</w:t>
      </w:r>
      <w:r>
        <w:rPr>
          <w:sz w:val="21"/>
          <w:b/>
        </w:rPr>
        <w:t>项目调度模块</w:t>
      </w:r>
    </w:p>
    <w:p>
      <w:pPr>
        <w:pStyle w:val="null3"/>
        <w:jc w:val="both"/>
        <w:outlineLvl w:val="3"/>
      </w:pPr>
      <w:r>
        <w:rPr>
          <w:sz w:val="21"/>
          <w:b/>
        </w:rPr>
        <w:t>6.1调度台账管理</w:t>
      </w:r>
    </w:p>
    <w:p>
      <w:pPr>
        <w:pStyle w:val="null3"/>
        <w:ind w:firstLine="420"/>
        <w:jc w:val="both"/>
      </w:pPr>
      <w:r>
        <w:rPr>
          <w:sz w:val="21"/>
        </w:rPr>
        <w:t>对重大项目进行的协调调度进行统一的汇总管理，形成台账，支持对调度信息进行查询、查看等。</w:t>
      </w:r>
    </w:p>
    <w:p>
      <w:pPr>
        <w:pStyle w:val="null3"/>
        <w:jc w:val="both"/>
        <w:outlineLvl w:val="3"/>
      </w:pPr>
      <w:r>
        <w:rPr>
          <w:sz w:val="21"/>
          <w:b/>
        </w:rPr>
        <w:t>6.2项目调度管理</w:t>
      </w:r>
    </w:p>
    <w:p>
      <w:pPr>
        <w:pStyle w:val="null3"/>
        <w:ind w:firstLine="420"/>
        <w:jc w:val="both"/>
      </w:pPr>
      <w:r>
        <w:rPr>
          <w:sz w:val="21"/>
        </w:rPr>
        <w:t>在重大项目前期工作推进中出现预警信息，项目单位发起问题反馈，相关单位主动发起调度的情况下，系统需满足调度管理的业务需求，支持在线调度任务的创建、确认、协调、落实、反馈。</w:t>
      </w:r>
    </w:p>
    <w:p>
      <w:pPr>
        <w:pStyle w:val="null3"/>
        <w:outlineLvl w:val="2"/>
      </w:pPr>
      <w:r>
        <w:rPr>
          <w:sz w:val="21"/>
          <w:b/>
        </w:rPr>
        <w:t>7.</w:t>
      </w:r>
      <w:r>
        <w:rPr>
          <w:sz w:val="21"/>
          <w:b/>
        </w:rPr>
        <w:t>问题直通车模块</w:t>
      </w:r>
    </w:p>
    <w:p>
      <w:pPr>
        <w:pStyle w:val="null3"/>
        <w:jc w:val="both"/>
        <w:outlineLvl w:val="3"/>
      </w:pPr>
      <w:r>
        <w:rPr>
          <w:sz w:val="21"/>
          <w:b/>
        </w:rPr>
        <w:t>7.1问题报送管理</w:t>
      </w:r>
    </w:p>
    <w:p>
      <w:pPr>
        <w:pStyle w:val="null3"/>
        <w:ind w:firstLine="420"/>
        <w:jc w:val="both"/>
      </w:pPr>
      <w:r>
        <w:rPr>
          <w:sz w:val="21"/>
        </w:rPr>
        <w:t>项目推进过程中，由于在各个实施阶段可能会遇到问题情况，系统需支持项目单位主动反馈项目前期工作中推进的问题，每个项目可以有多个不同类型的问题。</w:t>
      </w:r>
    </w:p>
    <w:p>
      <w:pPr>
        <w:pStyle w:val="null3"/>
        <w:jc w:val="both"/>
        <w:outlineLvl w:val="3"/>
      </w:pPr>
      <w:r>
        <w:rPr>
          <w:sz w:val="21"/>
          <w:b/>
        </w:rPr>
        <w:t>7.2问题处置管理</w:t>
      </w:r>
    </w:p>
    <w:p>
      <w:pPr>
        <w:pStyle w:val="null3"/>
        <w:ind w:firstLine="420"/>
        <w:jc w:val="both"/>
      </w:pPr>
      <w:r>
        <w:rPr>
          <w:sz w:val="21"/>
        </w:rPr>
        <w:t>针对项目单位提交的项目问题，经过确认后转由相关落实单位进行落实，落实单位需要及时反馈问题落实情况以及问题是否解决。</w:t>
      </w:r>
    </w:p>
    <w:p>
      <w:pPr>
        <w:pStyle w:val="null3"/>
        <w:outlineLvl w:val="2"/>
      </w:pPr>
      <w:r>
        <w:rPr>
          <w:sz w:val="21"/>
          <w:b/>
        </w:rPr>
        <w:t>8.</w:t>
      </w:r>
      <w:r>
        <w:rPr>
          <w:sz w:val="21"/>
          <w:b/>
        </w:rPr>
        <w:t>第三方机构管理模块</w:t>
      </w:r>
    </w:p>
    <w:p>
      <w:pPr>
        <w:pStyle w:val="null3"/>
        <w:jc w:val="both"/>
        <w:outlineLvl w:val="3"/>
      </w:pPr>
      <w:r>
        <w:rPr>
          <w:sz w:val="21"/>
          <w:b/>
        </w:rPr>
        <w:t>8.1第三方机构管理</w:t>
      </w:r>
    </w:p>
    <w:p>
      <w:pPr>
        <w:pStyle w:val="null3"/>
        <w:ind w:firstLine="420"/>
        <w:jc w:val="both"/>
      </w:pPr>
      <w:r>
        <w:rPr>
          <w:sz w:val="21"/>
        </w:rPr>
        <w:t>系统支持第三方机构管理，包括机构申请入驻、入驻审核、资质附件上传、机构随机抽取等功能。</w:t>
      </w:r>
    </w:p>
    <w:p>
      <w:pPr>
        <w:pStyle w:val="null3"/>
        <w:jc w:val="both"/>
        <w:outlineLvl w:val="3"/>
      </w:pPr>
      <w:r>
        <w:rPr>
          <w:sz w:val="21"/>
          <w:b/>
        </w:rPr>
        <w:t>8.2第三方机构专家管理</w:t>
      </w:r>
    </w:p>
    <w:p>
      <w:pPr>
        <w:pStyle w:val="null3"/>
        <w:ind w:firstLine="420"/>
        <w:jc w:val="both"/>
      </w:pPr>
      <w:r>
        <w:rPr>
          <w:sz w:val="21"/>
        </w:rPr>
        <w:t>系统支持第三方机构专家管理，支持对专家信息进行维护更新。</w:t>
      </w:r>
    </w:p>
    <w:p>
      <w:pPr>
        <w:pStyle w:val="null3"/>
        <w:outlineLvl w:val="2"/>
      </w:pPr>
      <w:r>
        <w:rPr>
          <w:sz w:val="21"/>
          <w:b/>
        </w:rPr>
        <w:t>9.</w:t>
      </w:r>
      <w:r>
        <w:rPr>
          <w:sz w:val="21"/>
          <w:b/>
        </w:rPr>
        <w:t>知识库管理模块</w:t>
      </w:r>
    </w:p>
    <w:p>
      <w:pPr>
        <w:pStyle w:val="null3"/>
        <w:jc w:val="both"/>
        <w:outlineLvl w:val="3"/>
      </w:pPr>
      <w:r>
        <w:rPr>
          <w:sz w:val="21"/>
          <w:b/>
        </w:rPr>
        <w:t>9.1常见问题解答信息</w:t>
      </w:r>
    </w:p>
    <w:p>
      <w:pPr>
        <w:pStyle w:val="null3"/>
        <w:ind w:firstLine="420"/>
        <w:jc w:val="both"/>
      </w:pPr>
      <w:r>
        <w:rPr>
          <w:sz w:val="21"/>
        </w:rPr>
        <w:t>根据问题类型对系统形成的各类项目问题进行梳理汇总和分类展示，形成常见的问题解答案例，支持对常见问题解答进行配置、修改、推送。</w:t>
      </w:r>
    </w:p>
    <w:p>
      <w:pPr>
        <w:pStyle w:val="null3"/>
        <w:jc w:val="both"/>
        <w:outlineLvl w:val="3"/>
      </w:pPr>
      <w:r>
        <w:rPr>
          <w:sz w:val="21"/>
          <w:b/>
        </w:rPr>
        <w:t>9.2政策解读信息</w:t>
      </w:r>
    </w:p>
    <w:p>
      <w:pPr>
        <w:pStyle w:val="null3"/>
        <w:ind w:firstLine="420"/>
        <w:jc w:val="both"/>
      </w:pPr>
      <w:r>
        <w:rPr>
          <w:sz w:val="21"/>
        </w:rPr>
        <w:t>对当前热点政策解读进行收集、汇总和分类展示，支持对热点政策进行配置、查询、收藏、推送等。</w:t>
      </w:r>
    </w:p>
    <w:p>
      <w:pPr>
        <w:pStyle w:val="null3"/>
        <w:jc w:val="both"/>
        <w:outlineLvl w:val="3"/>
      </w:pPr>
      <w:r>
        <w:rPr>
          <w:sz w:val="21"/>
          <w:b/>
        </w:rPr>
        <w:t>9.3他山之石信息</w:t>
      </w:r>
    </w:p>
    <w:p>
      <w:pPr>
        <w:pStyle w:val="null3"/>
        <w:ind w:firstLine="420"/>
        <w:jc w:val="both"/>
      </w:pPr>
      <w:r>
        <w:rPr>
          <w:sz w:val="21"/>
        </w:rPr>
        <w:t>对其他省市优秀的前期工作服务案例信息进行收集、汇总和分类展示，支持对省外案例信息进行配置、查询、收藏、推送等。</w:t>
      </w:r>
    </w:p>
    <w:p>
      <w:pPr>
        <w:pStyle w:val="null3"/>
        <w:jc w:val="both"/>
        <w:outlineLvl w:val="3"/>
      </w:pPr>
      <w:r>
        <w:rPr>
          <w:sz w:val="21"/>
          <w:b/>
        </w:rPr>
        <w:t>9.4优秀案例信息</w:t>
      </w:r>
    </w:p>
    <w:p>
      <w:pPr>
        <w:pStyle w:val="null3"/>
        <w:ind w:firstLine="420"/>
        <w:jc w:val="both"/>
      </w:pPr>
      <w:r>
        <w:rPr>
          <w:sz w:val="21"/>
        </w:rPr>
        <w:t>将省内前期工作服务管理做得比较好的案例纳入优秀案例库，支持对优秀案例的配置、查询、收藏、推送等。</w:t>
      </w:r>
    </w:p>
    <w:p>
      <w:pPr>
        <w:pStyle w:val="null3"/>
        <w:jc w:val="both"/>
        <w:outlineLvl w:val="3"/>
      </w:pPr>
      <w:r>
        <w:rPr>
          <w:sz w:val="21"/>
          <w:b/>
        </w:rPr>
        <w:t>9.5热点信息</w:t>
      </w:r>
    </w:p>
    <w:p>
      <w:pPr>
        <w:pStyle w:val="null3"/>
        <w:ind w:firstLine="420"/>
        <w:jc w:val="both"/>
      </w:pPr>
      <w:r>
        <w:rPr>
          <w:sz w:val="21"/>
        </w:rPr>
        <w:t>热点信息管理支持用户订阅、检索和收藏感兴趣的热点信息，如热度最高的问题、风险点较高的事项等。</w:t>
      </w:r>
    </w:p>
    <w:p>
      <w:pPr>
        <w:pStyle w:val="null3"/>
        <w:jc w:val="both"/>
        <w:outlineLvl w:val="3"/>
      </w:pPr>
      <w:r>
        <w:rPr>
          <w:sz w:val="21"/>
          <w:b/>
        </w:rPr>
        <w:t>9.6我的收藏</w:t>
      </w:r>
    </w:p>
    <w:p>
      <w:pPr>
        <w:pStyle w:val="null3"/>
        <w:ind w:firstLine="420"/>
        <w:jc w:val="both"/>
      </w:pPr>
      <w:r>
        <w:rPr>
          <w:sz w:val="21"/>
        </w:rPr>
        <w:t>支持用户将感兴趣的事项办理过程收藏为自身知识库，以便服务于后续类似项目。</w:t>
      </w:r>
    </w:p>
    <w:p>
      <w:pPr>
        <w:pStyle w:val="null3"/>
        <w:jc w:val="both"/>
        <w:outlineLvl w:val="3"/>
      </w:pPr>
      <w:r>
        <w:rPr>
          <w:sz w:val="21"/>
          <w:b/>
        </w:rPr>
        <w:t>9.7知识推送</w:t>
      </w:r>
    </w:p>
    <w:p>
      <w:pPr>
        <w:pStyle w:val="null3"/>
        <w:ind w:firstLine="420"/>
        <w:jc w:val="both"/>
      </w:pPr>
      <w:r>
        <w:rPr>
          <w:sz w:val="21"/>
        </w:rPr>
        <w:t>根据行业分类进行知识推送，支持对推送类型、推送时间、推送频率进行设置。</w:t>
      </w:r>
    </w:p>
    <w:p>
      <w:pPr>
        <w:pStyle w:val="null3"/>
        <w:jc w:val="both"/>
        <w:outlineLvl w:val="3"/>
      </w:pPr>
      <w:r>
        <w:rPr>
          <w:sz w:val="21"/>
          <w:b/>
        </w:rPr>
        <w:t>9.8知识库汇总分析</w:t>
      </w:r>
    </w:p>
    <w:p>
      <w:pPr>
        <w:pStyle w:val="null3"/>
        <w:ind w:firstLine="420"/>
        <w:jc w:val="both"/>
      </w:pPr>
      <w:r>
        <w:rPr>
          <w:sz w:val="21"/>
        </w:rPr>
        <w:t>从行业、热度、类型等维度对知识库进行汇总、分析，支持根据热度进行排序，便于用户在重大项目前期工作中及时便捷地查询相关知识点。</w:t>
      </w:r>
    </w:p>
    <w:p>
      <w:pPr>
        <w:pStyle w:val="null3"/>
        <w:outlineLvl w:val="2"/>
      </w:pPr>
      <w:r>
        <w:rPr>
          <w:sz w:val="21"/>
          <w:b/>
        </w:rPr>
        <w:t>10.</w:t>
      </w:r>
      <w:r>
        <w:rPr>
          <w:sz w:val="21"/>
          <w:b/>
        </w:rPr>
        <w:t>视频会议模块</w:t>
      </w:r>
    </w:p>
    <w:p>
      <w:pPr>
        <w:pStyle w:val="null3"/>
        <w:jc w:val="both"/>
        <w:outlineLvl w:val="3"/>
      </w:pPr>
      <w:r>
        <w:rPr>
          <w:sz w:val="21"/>
          <w:b/>
        </w:rPr>
        <w:t>10.1会议</w:t>
      </w:r>
      <w:r>
        <w:rPr>
          <w:sz w:val="21"/>
          <w:b/>
        </w:rPr>
        <w:t>预订信息</w:t>
      </w:r>
    </w:p>
    <w:p>
      <w:pPr>
        <w:pStyle w:val="null3"/>
        <w:ind w:firstLine="420"/>
        <w:jc w:val="both"/>
      </w:pPr>
      <w:r>
        <w:rPr>
          <w:sz w:val="21"/>
        </w:rPr>
        <w:t>视频会议可以实现跨距离、跨区域的远程视频会议，解决各单位不在同一地点办公的情况。省投资和信用中心发起流程工期评审或项目调度时，可选择线下调度或线上视频调度，当选择视频会议时，需填写相应的视频预订信息进行会议预订。</w:t>
      </w:r>
    </w:p>
    <w:p>
      <w:pPr>
        <w:pStyle w:val="null3"/>
        <w:jc w:val="both"/>
        <w:outlineLvl w:val="3"/>
      </w:pPr>
      <w:r>
        <w:rPr>
          <w:sz w:val="21"/>
          <w:b/>
        </w:rPr>
        <w:t>10.2会议通知信息</w:t>
      </w:r>
    </w:p>
    <w:p>
      <w:pPr>
        <w:pStyle w:val="null3"/>
        <w:ind w:firstLine="420"/>
        <w:jc w:val="both"/>
      </w:pPr>
      <w:r>
        <w:rPr>
          <w:sz w:val="21"/>
        </w:rPr>
        <w:t>预定会议后，支持通过系统通知各参会单位，参会单位按照提供的视频参会地址在指定时间内参加视频会议。</w:t>
      </w:r>
    </w:p>
    <w:p>
      <w:pPr>
        <w:pStyle w:val="null3"/>
        <w:jc w:val="both"/>
        <w:outlineLvl w:val="3"/>
      </w:pPr>
      <w:r>
        <w:rPr>
          <w:sz w:val="21"/>
          <w:b/>
        </w:rPr>
        <w:t>10.3会议参会单位参会人员基本信息</w:t>
      </w:r>
    </w:p>
    <w:p>
      <w:pPr>
        <w:pStyle w:val="null3"/>
        <w:ind w:firstLine="420"/>
        <w:jc w:val="both"/>
      </w:pPr>
      <w:r>
        <w:rPr>
          <w:sz w:val="21"/>
        </w:rPr>
        <w:t>发起会议时填写参会人员基本信息，支持对参会人员基本信息进行修改、维护。</w:t>
      </w:r>
    </w:p>
    <w:p>
      <w:pPr>
        <w:pStyle w:val="null3"/>
        <w:jc w:val="both"/>
        <w:outlineLvl w:val="3"/>
      </w:pPr>
      <w:r>
        <w:rPr>
          <w:sz w:val="21"/>
          <w:b/>
        </w:rPr>
        <w:t>10.4会议纪要</w:t>
      </w:r>
    </w:p>
    <w:p>
      <w:pPr>
        <w:pStyle w:val="null3"/>
        <w:ind w:firstLine="420"/>
        <w:jc w:val="both"/>
      </w:pPr>
      <w:r>
        <w:rPr>
          <w:sz w:val="21"/>
        </w:rPr>
        <w:t>根据会议内容，支持会后上传会议纪要进行跟踪落实。</w:t>
      </w:r>
    </w:p>
    <w:p>
      <w:pPr>
        <w:pStyle w:val="null3"/>
        <w:jc w:val="both"/>
        <w:outlineLvl w:val="3"/>
      </w:pPr>
      <w:r>
        <w:rPr>
          <w:sz w:val="21"/>
          <w:b/>
        </w:rPr>
        <w:t>10.5</w:t>
      </w:r>
      <w:r>
        <w:rPr>
          <w:sz w:val="21"/>
          <w:b/>
        </w:rPr>
        <w:t>措施单信息</w:t>
      </w:r>
    </w:p>
    <w:p>
      <w:pPr>
        <w:pStyle w:val="null3"/>
        <w:ind w:firstLine="420"/>
        <w:jc w:val="both"/>
      </w:pPr>
      <w:r>
        <w:rPr>
          <w:sz w:val="21"/>
        </w:rPr>
        <w:t>提供会议措施单信息填写上报，对本次视频会议的情况进行跟进，其中包括问题分析、解决措施、预计解决时间、反馈人、联系方式、反馈材料等模块。反馈单位可对反馈单信息进行维护操作。</w:t>
      </w:r>
    </w:p>
    <w:p>
      <w:pPr>
        <w:pStyle w:val="null3"/>
        <w:jc w:val="both"/>
        <w:outlineLvl w:val="3"/>
      </w:pPr>
      <w:r>
        <w:rPr>
          <w:sz w:val="21"/>
          <w:b/>
        </w:rPr>
        <w:t>10.6</w:t>
      </w:r>
      <w:r>
        <w:rPr>
          <w:sz w:val="21"/>
          <w:b/>
        </w:rPr>
        <w:t>落实单信息</w:t>
      </w:r>
    </w:p>
    <w:p>
      <w:pPr>
        <w:pStyle w:val="null3"/>
        <w:ind w:firstLine="420"/>
        <w:jc w:val="both"/>
      </w:pPr>
      <w:r>
        <w:rPr>
          <w:sz w:val="21"/>
        </w:rPr>
        <w:t>提供项目单位会议落实单信息填写上报，包括落实情况、反馈人、联系方式、备注等。项目单位可对反馈单信息进行维护操作。</w:t>
      </w:r>
    </w:p>
    <w:p>
      <w:pPr>
        <w:pStyle w:val="null3"/>
        <w:jc w:val="both"/>
        <w:outlineLvl w:val="3"/>
      </w:pPr>
      <w:r>
        <w:rPr>
          <w:sz w:val="21"/>
          <w:b/>
        </w:rPr>
        <w:t>10.</w:t>
      </w:r>
      <w:r>
        <w:rPr>
          <w:sz w:val="21"/>
          <w:b/>
        </w:rPr>
        <w:t>7</w:t>
      </w:r>
      <w:r>
        <w:rPr>
          <w:sz w:val="21"/>
          <w:b/>
        </w:rPr>
        <w:t>会议查询</w:t>
      </w:r>
    </w:p>
    <w:p>
      <w:pPr>
        <w:pStyle w:val="null3"/>
        <w:ind w:firstLine="420"/>
        <w:jc w:val="both"/>
      </w:pPr>
      <w:r>
        <w:rPr>
          <w:sz w:val="21"/>
        </w:rPr>
        <w:t>支持根据会议时间、主题等条件查询会议信息。</w:t>
      </w:r>
    </w:p>
    <w:p>
      <w:pPr>
        <w:pStyle w:val="null3"/>
        <w:outlineLvl w:val="2"/>
      </w:pPr>
      <w:r>
        <w:rPr>
          <w:sz w:val="21"/>
          <w:b/>
        </w:rPr>
        <w:t>11.</w:t>
      </w:r>
      <w:r>
        <w:rPr>
          <w:sz w:val="21"/>
          <w:b/>
        </w:rPr>
        <w:t>消息管理模块</w:t>
      </w:r>
    </w:p>
    <w:p>
      <w:pPr>
        <w:pStyle w:val="null3"/>
        <w:ind w:firstLine="420"/>
        <w:jc w:val="both"/>
      </w:pPr>
      <w:r>
        <w:rPr>
          <w:sz w:val="21"/>
        </w:rPr>
        <w:t>在重大项目前期工作推进过程中，需要向相关用户发送工作通知。系统需要提供消息管理功能，支持短信模板配置、短期日志等，便于相关部门开展日常管理工作，掌握通知发布情况。</w:t>
      </w:r>
    </w:p>
    <w:p>
      <w:pPr>
        <w:pStyle w:val="null3"/>
        <w:outlineLvl w:val="2"/>
      </w:pPr>
      <w:r>
        <w:rPr>
          <w:sz w:val="21"/>
          <w:b/>
        </w:rPr>
        <w:t>12.</w:t>
      </w:r>
      <w:r>
        <w:rPr>
          <w:sz w:val="21"/>
          <w:b/>
        </w:rPr>
        <w:t>移动端应用</w:t>
      </w:r>
    </w:p>
    <w:p>
      <w:pPr>
        <w:pStyle w:val="null3"/>
        <w:jc w:val="both"/>
        <w:outlineLvl w:val="3"/>
      </w:pPr>
      <w:r>
        <w:rPr>
          <w:sz w:val="21"/>
          <w:b/>
        </w:rPr>
        <w:t>12.1粤政易移动端</w:t>
      </w:r>
    </w:p>
    <w:p>
      <w:pPr>
        <w:pStyle w:val="null3"/>
        <w:ind w:firstLine="420"/>
        <w:jc w:val="both"/>
      </w:pPr>
      <w:r>
        <w:rPr>
          <w:sz w:val="21"/>
        </w:rPr>
        <w:t>移动端应用是为了不在办公室电脑前时通过手机或pad等移动设备了解查看重大项目前期工作的推进情况，让政府侧相关用户随时随地掌握重大项目的基本情况、流程工期情况、申报进度、项目调度情况、项目问题情况等信息，方便随时开展相关工作。移动端业务的主要内容包括个性化首页、通知消息、项目基本信息、流程工期信息、申报进度、调度情况、问题情况等。</w:t>
      </w:r>
    </w:p>
    <w:p>
      <w:pPr>
        <w:pStyle w:val="null3"/>
        <w:jc w:val="both"/>
        <w:outlineLvl w:val="3"/>
      </w:pPr>
      <w:r>
        <w:rPr>
          <w:sz w:val="21"/>
          <w:b/>
        </w:rPr>
        <w:t>12.2省投资项目在线审批监管平台小程序</w:t>
      </w:r>
    </w:p>
    <w:p>
      <w:pPr>
        <w:pStyle w:val="null3"/>
        <w:ind w:firstLine="420"/>
        <w:jc w:val="both"/>
      </w:pPr>
      <w:r>
        <w:rPr>
          <w:sz w:val="21"/>
        </w:rPr>
        <w:t>根据企业侧服务要求，设计将通知消息、待办任务、流程工期查询、进度反馈查询、调度任务查询、问题查询等功能模块集成到省投资项目在线审批监管平台小程序，面向项目单位用户来实现小程序的应用访问。</w:t>
      </w:r>
    </w:p>
    <w:p>
      <w:pPr>
        <w:pStyle w:val="null3"/>
        <w:outlineLvl w:val="2"/>
      </w:pPr>
      <w:r>
        <w:rPr>
          <w:sz w:val="21"/>
          <w:b/>
        </w:rPr>
        <w:t>13.</w:t>
      </w:r>
      <w:r>
        <w:rPr>
          <w:sz w:val="21"/>
          <w:b/>
        </w:rPr>
        <w:t>系统运行管理</w:t>
      </w:r>
    </w:p>
    <w:p>
      <w:pPr>
        <w:pStyle w:val="null3"/>
        <w:ind w:firstLine="420"/>
        <w:jc w:val="both"/>
      </w:pPr>
      <w:r>
        <w:rPr>
          <w:sz w:val="21"/>
        </w:rPr>
        <w:t>省发展改革委重大项目前期工作服务系统安全、稳定、高效地运行是保证省重大项目加快落地工作正常开展的基础，系统运行管理水平直接影响着重大项目前期工作的服务水平与落地成效。系统运行管理包括组织管理信息、制度文档管理信息、流程管理信息、标签管理信息。</w:t>
      </w:r>
    </w:p>
    <w:p>
      <w:pPr>
        <w:pStyle w:val="null3"/>
        <w:jc w:val="both"/>
        <w:outlineLvl w:val="3"/>
      </w:pPr>
      <w:r>
        <w:rPr>
          <w:sz w:val="21"/>
          <w:b/>
        </w:rPr>
        <w:t>13.1组织管理</w:t>
      </w:r>
    </w:p>
    <w:p>
      <w:pPr>
        <w:pStyle w:val="null3"/>
        <w:ind w:firstLine="420"/>
        <w:jc w:val="both"/>
      </w:pPr>
      <w:r>
        <w:rPr>
          <w:sz w:val="21"/>
        </w:rPr>
        <w:t>组织管理信息主要包括用户管理、群组管理、机构管理、部门管理、菜单管理、权限管理等。</w:t>
      </w:r>
    </w:p>
    <w:p>
      <w:pPr>
        <w:pStyle w:val="null3"/>
        <w:jc w:val="both"/>
        <w:outlineLvl w:val="3"/>
      </w:pPr>
      <w:r>
        <w:rPr>
          <w:sz w:val="21"/>
          <w:b/>
        </w:rPr>
        <w:t>13.2制度文档管理</w:t>
      </w:r>
    </w:p>
    <w:p>
      <w:pPr>
        <w:pStyle w:val="null3"/>
        <w:ind w:firstLine="420"/>
        <w:jc w:val="both"/>
      </w:pPr>
      <w:r>
        <w:rPr>
          <w:sz w:val="21"/>
        </w:rPr>
        <w:t>制度文档管理主要包括文档目录管理、文档库管理、文档用户管理等资源监测。</w:t>
      </w:r>
    </w:p>
    <w:p>
      <w:pPr>
        <w:pStyle w:val="null3"/>
        <w:jc w:val="both"/>
        <w:outlineLvl w:val="3"/>
      </w:pPr>
      <w:r>
        <w:rPr>
          <w:sz w:val="21"/>
          <w:b/>
        </w:rPr>
        <w:t>13.3流程管理</w:t>
      </w:r>
    </w:p>
    <w:p>
      <w:pPr>
        <w:pStyle w:val="null3"/>
        <w:ind w:firstLine="420"/>
        <w:jc w:val="both"/>
      </w:pPr>
      <w:r>
        <w:rPr>
          <w:sz w:val="21"/>
        </w:rPr>
        <w:t>流程管理实现对项目实际审批流程的自定义配置。</w:t>
      </w:r>
    </w:p>
    <w:p>
      <w:pPr>
        <w:pStyle w:val="null3"/>
        <w:jc w:val="both"/>
        <w:outlineLvl w:val="3"/>
      </w:pPr>
      <w:r>
        <w:rPr>
          <w:sz w:val="21"/>
          <w:b/>
        </w:rPr>
        <w:t>13.4标签管理</w:t>
      </w:r>
    </w:p>
    <w:p>
      <w:pPr>
        <w:pStyle w:val="null3"/>
        <w:ind w:firstLine="420"/>
        <w:jc w:val="both"/>
      </w:pPr>
      <w:r>
        <w:rPr>
          <w:sz w:val="21"/>
        </w:rPr>
        <w:t>标签管理实现用户自定义个性化标签，包括标签定义管理、标签权限管理以及标签服务管理。</w:t>
      </w:r>
    </w:p>
    <w:p>
      <w:pPr>
        <w:pStyle w:val="null3"/>
        <w:outlineLvl w:val="2"/>
      </w:pPr>
      <w:r>
        <w:rPr>
          <w:sz w:val="21"/>
          <w:b/>
        </w:rPr>
        <w:t>14.</w:t>
      </w:r>
      <w:r>
        <w:rPr>
          <w:sz w:val="21"/>
          <w:b/>
        </w:rPr>
        <w:t>系统对接</w:t>
      </w:r>
    </w:p>
    <w:p>
      <w:pPr>
        <w:pStyle w:val="null3"/>
        <w:ind w:firstLine="420"/>
        <w:jc w:val="both"/>
      </w:pPr>
      <w:r>
        <w:rPr>
          <w:sz w:val="21"/>
        </w:rPr>
        <w:t>省发展改革委重大项目前期工作服务系统需要提供系统数据对接功能。为实现对重大项目前期工作的全流程管理：</w:t>
      </w:r>
    </w:p>
    <w:p>
      <w:pPr>
        <w:pStyle w:val="null3"/>
        <w:ind w:firstLine="420"/>
        <w:jc w:val="both"/>
      </w:pPr>
      <w:r>
        <w:rPr>
          <w:sz w:val="21"/>
        </w:rPr>
        <w:t>（1）需要与粤政图对接，将地图服务嵌入到平台中，将重大项目的地理位置标记在地图上，实现投资项目地理位置的可视化管理功能。通过接口实现项目查询、项目定位、地图切换等功能。</w:t>
      </w:r>
    </w:p>
    <w:p>
      <w:pPr>
        <w:pStyle w:val="null3"/>
        <w:ind w:firstLine="420"/>
        <w:jc w:val="both"/>
      </w:pPr>
      <w:r>
        <w:rPr>
          <w:sz w:val="21"/>
        </w:rPr>
        <w:t>（2）需要与统一身份认证对接，实现政府用户、企业用户的统一登录认证，认证后获取登录用户账户的基本信息。</w:t>
      </w:r>
    </w:p>
    <w:p>
      <w:pPr>
        <w:pStyle w:val="null3"/>
        <w:ind w:firstLine="420"/>
        <w:jc w:val="both"/>
      </w:pPr>
      <w:r>
        <w:rPr>
          <w:sz w:val="21"/>
        </w:rPr>
        <w:t>（3）需要与省投资项目在线审批监管平台及其基础库管理子系统对接，实现重大项目审批信息的共享，获取重大项目数量信息、重大项目基本信息、重大项目事项审批信息、重大项目投资进度信息、重大项目形象进度信息等相关信息；</w:t>
      </w:r>
    </w:p>
    <w:p>
      <w:pPr>
        <w:pStyle w:val="null3"/>
        <w:ind w:firstLine="420"/>
        <w:jc w:val="both"/>
      </w:pPr>
      <w:r>
        <w:rPr>
          <w:sz w:val="21"/>
        </w:rPr>
        <w:t>（4）需要与短信平台对接，获取发送短信能力，向平台用户发送短信通知；</w:t>
      </w:r>
    </w:p>
    <w:p>
      <w:pPr>
        <w:pStyle w:val="null3"/>
        <w:ind w:firstLine="420"/>
        <w:jc w:val="both"/>
      </w:pPr>
      <w:r>
        <w:rPr>
          <w:sz w:val="21"/>
        </w:rPr>
        <w:t>（5）需要与粤政易、广东省投资项目在线审批监管平台小程序对接，实现移动端的应用。</w:t>
      </w:r>
    </w:p>
    <w:p>
      <w:pPr>
        <w:pStyle w:val="null3"/>
        <w:outlineLvl w:val="2"/>
      </w:pPr>
      <w:r>
        <w:rPr>
          <w:sz w:val="21"/>
          <w:b/>
        </w:rPr>
        <w:t>15.</w:t>
      </w:r>
      <w:r>
        <w:rPr>
          <w:sz w:val="21"/>
          <w:b/>
        </w:rPr>
        <w:t>“粤投资”（粤政易app端）“专班项目”专区</w:t>
      </w:r>
    </w:p>
    <w:p>
      <w:pPr>
        <w:pStyle w:val="null3"/>
        <w:jc w:val="both"/>
        <w:outlineLvl w:val="3"/>
      </w:pPr>
      <w:r>
        <w:rPr>
          <w:sz w:val="21"/>
          <w:b/>
        </w:rPr>
        <w:t>15.1“专班项目”数据展示功能</w:t>
      </w:r>
    </w:p>
    <w:p>
      <w:pPr>
        <w:pStyle w:val="null3"/>
        <w:ind w:firstLine="420"/>
        <w:jc w:val="both"/>
      </w:pPr>
      <w:r>
        <w:rPr>
          <w:sz w:val="21"/>
        </w:rPr>
        <w:t>专班项目数据展示功能需求是展示专班项目，包括项目列表查询、项目详细内容展示、项目关键数据统计、项目收藏、项目全局搜索。</w:t>
      </w:r>
    </w:p>
    <w:p>
      <w:pPr>
        <w:pStyle w:val="null3"/>
        <w:ind w:firstLine="420"/>
        <w:jc w:val="both"/>
      </w:pPr>
      <w:r>
        <w:rPr>
          <w:sz w:val="21"/>
        </w:rPr>
        <w:t>项目列表查询包括按专项指挥部（公路港航/科技教育/能源/水利/铁路机场/制造业/其他）搜索、按重点关注项目（是/否）搜索、按项目状态（已正式开工/未正式开工）搜索。</w:t>
      </w:r>
    </w:p>
    <w:p>
      <w:pPr>
        <w:pStyle w:val="null3"/>
        <w:ind w:firstLine="420"/>
        <w:jc w:val="both"/>
      </w:pPr>
      <w:r>
        <w:rPr>
          <w:sz w:val="21"/>
        </w:rPr>
        <w:t>项目详细内容展示包括项目名称、项目实施主体、专项指挥部、总投资额（亿元）、正式开工计划、备注、存在问题、上报国家部委审批事项情况、省并联审批情况、地市并联审批情况。</w:t>
      </w:r>
    </w:p>
    <w:p>
      <w:pPr>
        <w:pStyle w:val="null3"/>
        <w:ind w:firstLine="420"/>
        <w:jc w:val="both"/>
      </w:pPr>
      <w:r>
        <w:rPr>
          <w:sz w:val="21"/>
        </w:rPr>
        <w:t>项目关键数据统计包括项目数、项目总投资、正式开工项目数、正式开工项目总投资、年度计划投资、6-12月预计可完成投资。</w:t>
      </w:r>
    </w:p>
    <w:p>
      <w:pPr>
        <w:pStyle w:val="null3"/>
        <w:ind w:firstLine="420"/>
        <w:jc w:val="both"/>
      </w:pPr>
      <w:r>
        <w:rPr>
          <w:sz w:val="21"/>
        </w:rPr>
        <w:t>项目收藏是在项目详细内容展示页面中，点击项目名称左边的收藏按钮，收藏后在专班项目栏目首页点击“我的收藏”，即可切换到已收藏项目，再次点击收藏按钮即可取消收藏。</w:t>
      </w:r>
    </w:p>
    <w:p>
      <w:pPr>
        <w:pStyle w:val="null3"/>
        <w:ind w:firstLine="420"/>
        <w:jc w:val="both"/>
      </w:pPr>
      <w:r>
        <w:rPr>
          <w:sz w:val="21"/>
        </w:rPr>
        <w:t>项目全局搜索是在专班项目栏目首页顶部，直接输入关键字即可查询。</w:t>
      </w:r>
    </w:p>
    <w:p>
      <w:pPr>
        <w:pStyle w:val="null3"/>
        <w:jc w:val="both"/>
        <w:outlineLvl w:val="3"/>
      </w:pPr>
      <w:r>
        <w:rPr>
          <w:sz w:val="21"/>
          <w:b/>
        </w:rPr>
        <w:t>15.2“专班项目”数据处理功能</w:t>
      </w:r>
    </w:p>
    <w:p>
      <w:pPr>
        <w:pStyle w:val="null3"/>
        <w:ind w:firstLine="420"/>
        <w:jc w:val="both"/>
      </w:pPr>
      <w:r>
        <w:rPr>
          <w:sz w:val="21"/>
        </w:rPr>
        <w:t>专班项目数据处理功能需求是对专班项目清单数据的处理功能，包括数据导入、数据导出、数据修改等，涉及的字段有序号、统计时间、重点关注、项目名称、项目实施主体、专项指挥部、所在地市、总投资（亿元）、年度计划投资（亿元）、6-12月预计可完成投资（亿元）、存在问题、上报国家部委审批事项情况、省并联审批情况、地市并联审批情况、正式开工计划、正式开工情况、备注。</w:t>
      </w:r>
    </w:p>
    <w:p>
      <w:pPr>
        <w:pStyle w:val="null3"/>
        <w:ind w:firstLine="420"/>
        <w:jc w:val="both"/>
        <w:outlineLvl w:val="1"/>
      </w:pPr>
      <w:r>
        <w:rPr>
          <w:sz w:val="21"/>
          <w:b/>
        </w:rPr>
        <w:t>（二）省发展改革委重大项目前期工作服务系统业务运营服务</w:t>
      </w:r>
    </w:p>
    <w:p>
      <w:pPr>
        <w:pStyle w:val="null3"/>
        <w:outlineLvl w:val="2"/>
      </w:pPr>
      <w:r>
        <w:rPr>
          <w:sz w:val="21"/>
          <w:b/>
        </w:rPr>
        <w:t>1.</w:t>
      </w:r>
      <w:r>
        <w:rPr>
          <w:sz w:val="21"/>
          <w:b/>
        </w:rPr>
        <w:t>业务管理运营服务</w:t>
      </w:r>
    </w:p>
    <w:p>
      <w:pPr>
        <w:pStyle w:val="null3"/>
        <w:jc w:val="both"/>
        <w:outlineLvl w:val="3"/>
      </w:pPr>
      <w:r>
        <w:rPr>
          <w:sz w:val="21"/>
          <w:b/>
        </w:rPr>
        <w:t>1.1业务处理运营服务</w:t>
      </w:r>
    </w:p>
    <w:p>
      <w:pPr>
        <w:pStyle w:val="null3"/>
        <w:jc w:val="left"/>
        <w:outlineLvl w:val="4"/>
      </w:pPr>
      <w:r>
        <w:rPr>
          <w:sz w:val="21"/>
          <w:b/>
        </w:rPr>
        <w:t>1.1.1</w:t>
      </w:r>
      <w:r>
        <w:rPr>
          <w:sz w:val="21"/>
          <w:b/>
        </w:rPr>
        <w:t>项目配置运营服务</w:t>
      </w:r>
    </w:p>
    <w:p>
      <w:pPr>
        <w:pStyle w:val="null3"/>
        <w:ind w:firstLine="420"/>
        <w:jc w:val="both"/>
      </w:pPr>
      <w:r>
        <w:rPr>
          <w:sz w:val="21"/>
        </w:rPr>
        <w:t>[1].</w:t>
      </w:r>
      <w:r>
        <w:rPr>
          <w:sz w:val="21"/>
        </w:rPr>
        <w:t>服务内容</w:t>
      </w:r>
    </w:p>
    <w:p>
      <w:pPr>
        <w:pStyle w:val="null3"/>
        <w:ind w:firstLine="420"/>
        <w:jc w:val="both"/>
      </w:pPr>
      <w:r>
        <w:rPr>
          <w:sz w:val="21"/>
        </w:rPr>
        <w:t>完成业务信息配置、更新和维护，提高系统易用性和可拓展性，保障全省及各地市用户顺利完成系统运行并投入使用，协助提高重大前期工作推进效率，包括重大项目基本信息、前期工作流程图、前期工作关键要件表、前期工作风险表、前期工作流程设计运营服务。</w:t>
      </w:r>
    </w:p>
    <w:p>
      <w:pPr>
        <w:pStyle w:val="null3"/>
        <w:ind w:firstLine="420"/>
        <w:jc w:val="both"/>
      </w:pPr>
      <w:r>
        <w:rPr>
          <w:sz w:val="21"/>
        </w:rPr>
        <w:t>（1）重大项目基本信息运营服务</w:t>
      </w:r>
    </w:p>
    <w:p>
      <w:pPr>
        <w:pStyle w:val="null3"/>
        <w:ind w:firstLine="420"/>
        <w:jc w:val="both"/>
      </w:pPr>
      <w:r>
        <w:rPr>
          <w:sz w:val="21"/>
        </w:rPr>
        <w:t>对纳入系统的重大项目进行基本信息的梳理、配置、更新和维护服务，并形成模板，为后续形成个性化工期表提供支撑。</w:t>
      </w:r>
    </w:p>
    <w:p>
      <w:pPr>
        <w:pStyle w:val="null3"/>
        <w:ind w:firstLine="420"/>
        <w:jc w:val="both"/>
      </w:pPr>
      <w:r>
        <w:rPr>
          <w:sz w:val="21"/>
        </w:rPr>
        <w:t>（2）重大项目前期工作流程图运营服务</w:t>
      </w:r>
    </w:p>
    <w:p>
      <w:pPr>
        <w:pStyle w:val="null3"/>
        <w:ind w:firstLine="420"/>
        <w:jc w:val="both"/>
      </w:pPr>
      <w:r>
        <w:rPr>
          <w:sz w:val="21"/>
        </w:rPr>
        <w:t>对重大项目前期工作流程图信息进行梳理、配置、更新和维护，包括交通行业、能源行业、水利行业、市政行业、建筑行业、生态环境行业、新型基础设施建设行业等7大行业，运营内容包括每类项目事项清单、主流程信息、子流程信息以及特殊流程信息。</w:t>
      </w:r>
    </w:p>
    <w:p>
      <w:pPr>
        <w:pStyle w:val="null3"/>
        <w:ind w:firstLine="420"/>
        <w:jc w:val="both"/>
      </w:pPr>
      <w:r>
        <w:rPr>
          <w:sz w:val="21"/>
        </w:rPr>
        <w:t>（3）重大项目前期工作关键要件表运营服务</w:t>
      </w:r>
    </w:p>
    <w:p>
      <w:pPr>
        <w:pStyle w:val="null3"/>
        <w:ind w:firstLine="420"/>
        <w:jc w:val="both"/>
      </w:pPr>
      <w:r>
        <w:rPr>
          <w:sz w:val="21"/>
        </w:rPr>
        <w:t>对重大项目的前期工作关键要件表信息进行梳理、配置、更新和维护，运营内容包括每类项目主流程图要件表信息、支撑事项要件表信息以及特殊流程要件表信息。</w:t>
      </w:r>
    </w:p>
    <w:p>
      <w:pPr>
        <w:pStyle w:val="null3"/>
        <w:ind w:firstLine="420"/>
        <w:jc w:val="both"/>
      </w:pPr>
      <w:r>
        <w:rPr>
          <w:sz w:val="21"/>
        </w:rPr>
        <w:t>（4）重大项目前期工作风险表运营服务</w:t>
      </w:r>
    </w:p>
    <w:p>
      <w:pPr>
        <w:pStyle w:val="null3"/>
        <w:ind w:firstLine="420"/>
        <w:jc w:val="both"/>
      </w:pPr>
      <w:r>
        <w:rPr>
          <w:sz w:val="21"/>
        </w:rPr>
        <w:t>对重大项目的前期工作风险表信息进行梳理、配置、更新和维护，运营内容包括风险点描述信息、风险概率信息、建议解决措施信息等内容。</w:t>
      </w:r>
    </w:p>
    <w:p>
      <w:pPr>
        <w:pStyle w:val="null3"/>
        <w:ind w:firstLine="420"/>
        <w:jc w:val="both"/>
      </w:pPr>
      <w:r>
        <w:rPr>
          <w:sz w:val="21"/>
        </w:rPr>
        <w:t>（5）重大项目前期工作流程设计运营服务</w:t>
      </w:r>
    </w:p>
    <w:p>
      <w:pPr>
        <w:pStyle w:val="null3"/>
        <w:ind w:firstLine="420"/>
        <w:jc w:val="both"/>
      </w:pPr>
      <w:r>
        <w:rPr>
          <w:sz w:val="21"/>
        </w:rPr>
        <w:t>所有用户使用意见进行收集、汇聚，根据实际业务需求，对系统业务逻辑持续优化完善。</w:t>
      </w:r>
    </w:p>
    <w:p>
      <w:pPr>
        <w:pStyle w:val="null3"/>
        <w:ind w:firstLine="420"/>
        <w:jc w:val="both"/>
      </w:pPr>
      <w:r>
        <w:rPr>
          <w:sz w:val="21"/>
        </w:rPr>
        <w:t>[2].</w:t>
      </w:r>
      <w:r>
        <w:rPr>
          <w:sz w:val="21"/>
        </w:rPr>
        <w:t>服务成果</w:t>
      </w:r>
    </w:p>
    <w:p>
      <w:pPr>
        <w:pStyle w:val="null3"/>
        <w:ind w:firstLine="420"/>
        <w:jc w:val="both"/>
      </w:pPr>
      <w:r>
        <w:rPr>
          <w:sz w:val="21"/>
        </w:rPr>
        <w:t>（1）配置方案1份</w:t>
      </w:r>
    </w:p>
    <w:p>
      <w:pPr>
        <w:pStyle w:val="null3"/>
        <w:ind w:firstLine="420"/>
        <w:jc w:val="both"/>
      </w:pPr>
      <w:r>
        <w:rPr>
          <w:sz w:val="21"/>
        </w:rPr>
        <w:t>（2）项目报告12份</w:t>
      </w:r>
    </w:p>
    <w:p>
      <w:pPr>
        <w:pStyle w:val="null3"/>
        <w:ind w:firstLine="420"/>
        <w:jc w:val="both"/>
      </w:pPr>
      <w:r>
        <w:rPr>
          <w:sz w:val="21"/>
        </w:rPr>
        <w:t>（3）系统用户意见分析报告12份</w:t>
      </w:r>
    </w:p>
    <w:p>
      <w:pPr>
        <w:pStyle w:val="null3"/>
        <w:ind w:firstLine="420"/>
        <w:jc w:val="both"/>
      </w:pPr>
      <w:r>
        <w:rPr>
          <w:sz w:val="21"/>
        </w:rPr>
        <w:t>（4）业务系统优化清单1份</w:t>
      </w:r>
    </w:p>
    <w:p>
      <w:pPr>
        <w:pStyle w:val="null3"/>
        <w:jc w:val="left"/>
        <w:outlineLvl w:val="4"/>
      </w:pPr>
      <w:r>
        <w:rPr>
          <w:sz w:val="21"/>
          <w:b/>
        </w:rPr>
        <w:t>1.1.2</w:t>
      </w:r>
      <w:r>
        <w:rPr>
          <w:sz w:val="21"/>
          <w:b/>
        </w:rPr>
        <w:t>业务运营技术支持服务</w:t>
      </w:r>
    </w:p>
    <w:p>
      <w:pPr>
        <w:pStyle w:val="null3"/>
        <w:ind w:firstLine="420"/>
        <w:jc w:val="both"/>
      </w:pPr>
      <w:r>
        <w:rPr>
          <w:sz w:val="21"/>
        </w:rPr>
        <w:t>[1].</w:t>
      </w:r>
      <w:r>
        <w:rPr>
          <w:sz w:val="21"/>
        </w:rPr>
        <w:t>服务内容</w:t>
      </w:r>
    </w:p>
    <w:p>
      <w:pPr>
        <w:pStyle w:val="null3"/>
        <w:ind w:firstLine="420"/>
        <w:jc w:val="both"/>
      </w:pPr>
      <w:r>
        <w:rPr>
          <w:sz w:val="21"/>
        </w:rPr>
        <w:t>保障系统用户能够熟练操作使用重大项目前期工作服务系统，使用流程工期、项目调度、问题上报等业务功能，提供业务推广培训、业务运营技术支持服务，协助提高重大前期工作推进效率，切实解决前期工作推进过程中的堵点、卡点问题。</w:t>
      </w:r>
    </w:p>
    <w:p>
      <w:pPr>
        <w:pStyle w:val="null3"/>
        <w:ind w:firstLine="420"/>
        <w:jc w:val="both"/>
      </w:pPr>
      <w:r>
        <w:rPr>
          <w:sz w:val="21"/>
        </w:rPr>
        <w:t>（1）业务推广培训服务</w:t>
      </w:r>
    </w:p>
    <w:p>
      <w:pPr>
        <w:pStyle w:val="null3"/>
        <w:ind w:firstLine="420"/>
        <w:jc w:val="both"/>
      </w:pPr>
      <w:r>
        <w:rPr>
          <w:sz w:val="21"/>
        </w:rPr>
        <w:t>为全省用户提供业务推广运营培训服务，对业务流程、业务模式及运营模式进行介绍，保障用户活跃率提升。</w:t>
      </w:r>
    </w:p>
    <w:p>
      <w:pPr>
        <w:pStyle w:val="null3"/>
        <w:ind w:firstLine="420"/>
        <w:jc w:val="both"/>
      </w:pPr>
      <w:r>
        <w:rPr>
          <w:sz w:val="21"/>
        </w:rPr>
        <w:t>（2）业务运营支持服务</w:t>
      </w:r>
    </w:p>
    <w:p>
      <w:pPr>
        <w:pStyle w:val="null3"/>
        <w:ind w:firstLine="420"/>
        <w:jc w:val="both"/>
      </w:pPr>
      <w:r>
        <w:rPr>
          <w:sz w:val="21"/>
        </w:rPr>
        <w:t>面向全省、21个地市、122个县区的用户，提供此次重大项目前期工作“前沿”服务模式的咨询、答疑和技术指导服务。</w:t>
      </w:r>
    </w:p>
    <w:p>
      <w:pPr>
        <w:pStyle w:val="null3"/>
        <w:ind w:firstLine="420"/>
        <w:jc w:val="both"/>
      </w:pPr>
      <w:r>
        <w:rPr>
          <w:sz w:val="21"/>
        </w:rPr>
        <w:t>[2].</w:t>
      </w:r>
      <w:r>
        <w:rPr>
          <w:sz w:val="21"/>
        </w:rPr>
        <w:t>服务成果</w:t>
      </w:r>
    </w:p>
    <w:p>
      <w:pPr>
        <w:pStyle w:val="null3"/>
        <w:ind w:firstLine="420"/>
        <w:jc w:val="both"/>
      </w:pPr>
      <w:r>
        <w:rPr>
          <w:sz w:val="21"/>
        </w:rPr>
        <w:t>（1）业务咨询记录1份</w:t>
      </w:r>
    </w:p>
    <w:p>
      <w:pPr>
        <w:pStyle w:val="null3"/>
        <w:ind w:firstLine="420"/>
        <w:jc w:val="both"/>
      </w:pPr>
      <w:r>
        <w:rPr>
          <w:sz w:val="21"/>
        </w:rPr>
        <w:t>（2）培训方案、培训ppt2份</w:t>
      </w:r>
    </w:p>
    <w:p>
      <w:pPr>
        <w:pStyle w:val="null3"/>
        <w:ind w:firstLine="420"/>
        <w:jc w:val="both"/>
      </w:pPr>
      <w:r>
        <w:rPr>
          <w:sz w:val="21"/>
        </w:rPr>
        <w:t>（3）技术支撑文档1份</w:t>
      </w:r>
    </w:p>
    <w:p>
      <w:pPr>
        <w:pStyle w:val="null3"/>
        <w:ind w:firstLine="420"/>
        <w:jc w:val="both"/>
      </w:pPr>
      <w:r>
        <w:rPr>
          <w:sz w:val="21"/>
        </w:rPr>
        <w:t>（4）常见问题记录1份</w:t>
      </w:r>
    </w:p>
    <w:p>
      <w:pPr>
        <w:pStyle w:val="null3"/>
        <w:ind w:firstLine="420"/>
        <w:jc w:val="both"/>
      </w:pPr>
      <w:r>
        <w:rPr>
          <w:sz w:val="21"/>
        </w:rPr>
        <w:t>（5）问题收集汇总记录表1份</w:t>
      </w:r>
    </w:p>
    <w:p>
      <w:pPr>
        <w:pStyle w:val="null3"/>
        <w:ind w:firstLine="420"/>
        <w:jc w:val="both"/>
      </w:pPr>
      <w:r>
        <w:rPr>
          <w:sz w:val="21"/>
        </w:rPr>
        <w:t>（6）技术支撑文档1份</w:t>
      </w:r>
    </w:p>
    <w:p>
      <w:pPr>
        <w:pStyle w:val="null3"/>
        <w:jc w:val="left"/>
        <w:outlineLvl w:val="4"/>
      </w:pPr>
      <w:r>
        <w:rPr>
          <w:sz w:val="21"/>
          <w:b/>
        </w:rPr>
        <w:t>1.1.3</w:t>
      </w:r>
      <w:r>
        <w:rPr>
          <w:sz w:val="21"/>
          <w:b/>
        </w:rPr>
        <w:t>知识库运营服务</w:t>
      </w:r>
    </w:p>
    <w:p>
      <w:pPr>
        <w:pStyle w:val="null3"/>
        <w:ind w:firstLine="420"/>
        <w:jc w:val="both"/>
      </w:pPr>
      <w:r>
        <w:rPr>
          <w:sz w:val="21"/>
        </w:rPr>
        <w:t>[1].</w:t>
      </w:r>
      <w:r>
        <w:rPr>
          <w:sz w:val="21"/>
        </w:rPr>
        <w:t>服务内容</w:t>
      </w:r>
    </w:p>
    <w:p>
      <w:pPr>
        <w:pStyle w:val="null3"/>
        <w:ind w:firstLine="420"/>
        <w:jc w:val="both"/>
      </w:pPr>
      <w:r>
        <w:rPr>
          <w:sz w:val="21"/>
        </w:rPr>
        <w:t>针对各系统用户知识资源储备总量不够丰富、共享不够通畅，知识资源挖掘不够充分、检索不够智能，重点领域知识梳理不够系统、获取不够便捷等瓶颈制约，开展知识库运营工作，定期梳理相关政策解读、热点信息、常见问题等，并维护至知识库。</w:t>
      </w:r>
    </w:p>
    <w:p>
      <w:pPr>
        <w:pStyle w:val="null3"/>
        <w:ind w:firstLine="420"/>
        <w:jc w:val="both"/>
      </w:pPr>
      <w:r>
        <w:rPr>
          <w:sz w:val="21"/>
        </w:rPr>
        <w:t>[2].</w:t>
      </w:r>
      <w:r>
        <w:rPr>
          <w:sz w:val="21"/>
        </w:rPr>
        <w:t>服务成果</w:t>
      </w:r>
    </w:p>
    <w:p>
      <w:pPr>
        <w:pStyle w:val="null3"/>
        <w:ind w:firstLine="420"/>
        <w:jc w:val="both"/>
      </w:pPr>
      <w:r>
        <w:rPr>
          <w:sz w:val="21"/>
        </w:rPr>
        <w:t>采集政策解读12条、热点消息300条、常见问题400个、他山之石30个、优秀案例21个</w:t>
      </w:r>
    </w:p>
    <w:p>
      <w:pPr>
        <w:pStyle w:val="null3"/>
        <w:jc w:val="left"/>
        <w:outlineLvl w:val="4"/>
      </w:pPr>
      <w:r>
        <w:rPr>
          <w:sz w:val="21"/>
          <w:b/>
        </w:rPr>
        <w:t>1.1.4</w:t>
      </w:r>
      <w:r>
        <w:rPr>
          <w:sz w:val="21"/>
          <w:b/>
        </w:rPr>
        <w:t>用户权限管理运营服务</w:t>
      </w:r>
    </w:p>
    <w:p>
      <w:pPr>
        <w:pStyle w:val="null3"/>
        <w:ind w:firstLine="420"/>
        <w:jc w:val="both"/>
      </w:pPr>
      <w:r>
        <w:rPr>
          <w:sz w:val="21"/>
        </w:rPr>
        <w:t>[1].</w:t>
      </w:r>
      <w:r>
        <w:rPr>
          <w:sz w:val="21"/>
        </w:rPr>
        <w:t>服务内容</w:t>
      </w:r>
    </w:p>
    <w:p>
      <w:pPr>
        <w:pStyle w:val="null3"/>
        <w:ind w:firstLine="420"/>
        <w:jc w:val="both"/>
      </w:pPr>
      <w:r>
        <w:rPr>
          <w:sz w:val="21"/>
        </w:rPr>
        <w:t>在系统内用户出现变动，需要进行新增、变更时提供的系统用户信息维护服务，包括对新接入的用户进行维护，根据其提交的开通用户的申请单，为其新建系统用户、配置访问权限等；对已接入的单位，根据其要求进行系统用户维护。</w:t>
      </w:r>
    </w:p>
    <w:p>
      <w:pPr>
        <w:pStyle w:val="null3"/>
        <w:ind w:firstLine="420"/>
        <w:jc w:val="both"/>
      </w:pPr>
      <w:r>
        <w:rPr>
          <w:sz w:val="21"/>
        </w:rPr>
        <w:t>[2].</w:t>
      </w:r>
      <w:r>
        <w:rPr>
          <w:sz w:val="21"/>
        </w:rPr>
        <w:t>服务成果</w:t>
      </w:r>
    </w:p>
    <w:p>
      <w:pPr>
        <w:pStyle w:val="null3"/>
        <w:ind w:firstLine="420"/>
        <w:jc w:val="both"/>
      </w:pPr>
      <w:r>
        <w:rPr>
          <w:sz w:val="21"/>
        </w:rPr>
        <w:t>（1）系统用户管理报告1份，按日更新</w:t>
      </w:r>
    </w:p>
    <w:p>
      <w:pPr>
        <w:pStyle w:val="null3"/>
        <w:ind w:firstLine="420"/>
        <w:jc w:val="both"/>
      </w:pPr>
      <w:r>
        <w:rPr>
          <w:sz w:val="21"/>
        </w:rPr>
        <w:t>（2）用户密码管理报告1份，按日更新</w:t>
      </w:r>
    </w:p>
    <w:p>
      <w:pPr>
        <w:pStyle w:val="null3"/>
        <w:ind w:firstLine="420"/>
        <w:jc w:val="both"/>
      </w:pPr>
      <w:r>
        <w:rPr>
          <w:sz w:val="21"/>
        </w:rPr>
        <w:t>（3）用户角色配置报告1份，按日更新</w:t>
      </w:r>
    </w:p>
    <w:p>
      <w:pPr>
        <w:pStyle w:val="null3"/>
        <w:jc w:val="both"/>
        <w:outlineLvl w:val="3"/>
      </w:pPr>
      <w:r>
        <w:rPr>
          <w:sz w:val="21"/>
          <w:b/>
        </w:rPr>
        <w:t>1.2“粤投资”（粤政易app端）用户权限管理运营服务</w:t>
      </w:r>
    </w:p>
    <w:p>
      <w:pPr>
        <w:pStyle w:val="null3"/>
        <w:ind w:firstLine="420"/>
        <w:jc w:val="both"/>
      </w:pPr>
      <w:r>
        <w:rPr>
          <w:sz w:val="21"/>
        </w:rPr>
        <w:t>[1].</w:t>
      </w:r>
      <w:r>
        <w:rPr>
          <w:sz w:val="21"/>
        </w:rPr>
        <w:t>服务内容</w:t>
      </w:r>
    </w:p>
    <w:p>
      <w:pPr>
        <w:pStyle w:val="null3"/>
        <w:ind w:firstLine="420"/>
        <w:jc w:val="both"/>
      </w:pPr>
      <w:r>
        <w:rPr>
          <w:sz w:val="21"/>
        </w:rPr>
        <w:t>及时响应领导、业务处室人员及后台人员的权限处理需求，完成权限配置任务，并定期核查权限名单，确认人员名单有效准确，保证各项目专区专人专用、确保数据安全。</w:t>
      </w:r>
    </w:p>
    <w:p>
      <w:pPr>
        <w:pStyle w:val="null3"/>
        <w:ind w:firstLine="420"/>
        <w:jc w:val="both"/>
      </w:pPr>
      <w:r>
        <w:rPr>
          <w:sz w:val="21"/>
        </w:rPr>
        <w:t>[2].</w:t>
      </w:r>
      <w:r>
        <w:rPr>
          <w:sz w:val="21"/>
        </w:rPr>
        <w:t>服务成果</w:t>
      </w:r>
    </w:p>
    <w:p>
      <w:pPr>
        <w:pStyle w:val="null3"/>
        <w:ind w:firstLine="420"/>
        <w:jc w:val="both"/>
      </w:pPr>
      <w:r>
        <w:rPr>
          <w:sz w:val="21"/>
        </w:rPr>
        <w:t>权限变更记录表1份</w:t>
      </w:r>
    </w:p>
    <w:p>
      <w:pPr>
        <w:pStyle w:val="null3"/>
        <w:jc w:val="both"/>
        <w:outlineLvl w:val="3"/>
      </w:pPr>
      <w:r>
        <w:rPr>
          <w:sz w:val="21"/>
          <w:b/>
        </w:rPr>
        <w:t>1.3“专班项目”业务运营服务</w:t>
      </w:r>
    </w:p>
    <w:p>
      <w:pPr>
        <w:pStyle w:val="null3"/>
        <w:ind w:firstLine="420"/>
        <w:jc w:val="both"/>
      </w:pPr>
      <w:r>
        <w:rPr>
          <w:sz w:val="21"/>
        </w:rPr>
        <w:t>[1].</w:t>
      </w:r>
      <w:r>
        <w:rPr>
          <w:sz w:val="21"/>
        </w:rPr>
        <w:t>服务内容</w:t>
      </w:r>
    </w:p>
    <w:p>
      <w:pPr>
        <w:pStyle w:val="null3"/>
        <w:ind w:firstLine="420"/>
        <w:jc w:val="both"/>
      </w:pPr>
      <w:r>
        <w:rPr>
          <w:sz w:val="21"/>
        </w:rPr>
        <w:t>为投资业务的相关领导、工作专班人员、业务处室人员等人员提供专班项目梳理筛选、专班项目审核流程梳理等运营支撑服务，便于相关人员提供决策参考。</w:t>
      </w:r>
    </w:p>
    <w:p>
      <w:pPr>
        <w:pStyle w:val="null3"/>
        <w:ind w:firstLine="420"/>
        <w:jc w:val="both"/>
      </w:pPr>
      <w:r>
        <w:rPr>
          <w:sz w:val="21"/>
        </w:rPr>
        <w:t>[2].</w:t>
      </w:r>
      <w:r>
        <w:rPr>
          <w:sz w:val="21"/>
        </w:rPr>
        <w:t>服务成果</w:t>
      </w:r>
    </w:p>
    <w:p>
      <w:pPr>
        <w:pStyle w:val="null3"/>
        <w:ind w:firstLine="420"/>
        <w:jc w:val="both"/>
      </w:pPr>
      <w:r>
        <w:rPr>
          <w:sz w:val="21"/>
        </w:rPr>
        <w:t>（1）审核阶段流程通用模板1份</w:t>
      </w:r>
    </w:p>
    <w:p>
      <w:pPr>
        <w:pStyle w:val="null3"/>
        <w:ind w:firstLine="420"/>
        <w:jc w:val="both"/>
      </w:pPr>
      <w:r>
        <w:rPr>
          <w:sz w:val="21"/>
        </w:rPr>
        <w:t>（2）专班项目整理清单1份</w:t>
      </w:r>
    </w:p>
    <w:p>
      <w:pPr>
        <w:pStyle w:val="null3"/>
        <w:outlineLvl w:val="2"/>
      </w:pPr>
      <w:r>
        <w:rPr>
          <w:sz w:val="21"/>
          <w:b/>
        </w:rPr>
        <w:t>2.</w:t>
      </w:r>
      <w:r>
        <w:rPr>
          <w:sz w:val="21"/>
          <w:b/>
        </w:rPr>
        <w:t>数据处理运营服务</w:t>
      </w:r>
    </w:p>
    <w:p>
      <w:pPr>
        <w:pStyle w:val="null3"/>
        <w:jc w:val="both"/>
        <w:outlineLvl w:val="3"/>
      </w:pPr>
      <w:r>
        <w:rPr>
          <w:sz w:val="21"/>
          <w:b/>
        </w:rPr>
        <w:t>2.1数据整理运营服务</w:t>
      </w:r>
    </w:p>
    <w:p>
      <w:pPr>
        <w:pStyle w:val="null3"/>
        <w:ind w:firstLine="420"/>
        <w:jc w:val="both"/>
      </w:pPr>
      <w:r>
        <w:rPr>
          <w:sz w:val="21"/>
        </w:rPr>
        <w:t>[1].</w:t>
      </w:r>
      <w:r>
        <w:rPr>
          <w:sz w:val="21"/>
        </w:rPr>
        <w:t>服务内容</w:t>
      </w:r>
    </w:p>
    <w:p>
      <w:pPr>
        <w:pStyle w:val="null3"/>
        <w:ind w:firstLine="420"/>
        <w:jc w:val="both"/>
      </w:pPr>
      <w:r>
        <w:rPr>
          <w:sz w:val="21"/>
        </w:rPr>
        <w:t>按业务条线、数据用途汇聚、整理、核查、加工数据资源，确保数据准确、无误，为业务系统高效运行提供数据支撑。</w:t>
      </w:r>
    </w:p>
    <w:p>
      <w:pPr>
        <w:pStyle w:val="null3"/>
        <w:ind w:firstLine="420"/>
        <w:jc w:val="both"/>
      </w:pPr>
      <w:r>
        <w:rPr>
          <w:sz w:val="21"/>
        </w:rPr>
        <w:t>[2].</w:t>
      </w:r>
      <w:r>
        <w:rPr>
          <w:sz w:val="21"/>
        </w:rPr>
        <w:t>服务成果</w:t>
      </w:r>
    </w:p>
    <w:p>
      <w:pPr>
        <w:pStyle w:val="null3"/>
        <w:ind w:firstLine="420"/>
        <w:jc w:val="both"/>
      </w:pPr>
      <w:r>
        <w:rPr>
          <w:sz w:val="21"/>
        </w:rPr>
        <w:t>（1）数据战略规划12份</w:t>
      </w:r>
    </w:p>
    <w:p>
      <w:pPr>
        <w:pStyle w:val="null3"/>
        <w:ind w:firstLine="420"/>
        <w:jc w:val="both"/>
      </w:pPr>
      <w:r>
        <w:rPr>
          <w:sz w:val="21"/>
        </w:rPr>
        <w:t>（2）数据对接记录表1份</w:t>
      </w:r>
    </w:p>
    <w:p>
      <w:pPr>
        <w:pStyle w:val="null3"/>
        <w:ind w:firstLine="420"/>
        <w:jc w:val="both"/>
      </w:pPr>
      <w:r>
        <w:rPr>
          <w:sz w:val="21"/>
        </w:rPr>
        <w:t>（3）数据更新记录表1份</w:t>
      </w:r>
    </w:p>
    <w:p>
      <w:pPr>
        <w:pStyle w:val="null3"/>
        <w:ind w:firstLine="420"/>
        <w:jc w:val="both"/>
      </w:pPr>
      <w:r>
        <w:rPr>
          <w:sz w:val="21"/>
        </w:rPr>
        <w:t>（4）冗余数据清理记录表1份</w:t>
      </w:r>
    </w:p>
    <w:p>
      <w:pPr>
        <w:pStyle w:val="null3"/>
        <w:ind w:firstLine="420"/>
        <w:jc w:val="both"/>
      </w:pPr>
      <w:r>
        <w:rPr>
          <w:sz w:val="21"/>
        </w:rPr>
        <w:t>（5）异常数据维护记录表1份</w:t>
      </w:r>
    </w:p>
    <w:p>
      <w:pPr>
        <w:pStyle w:val="null3"/>
        <w:ind w:firstLine="420"/>
        <w:jc w:val="both"/>
      </w:pPr>
      <w:r>
        <w:rPr>
          <w:sz w:val="21"/>
        </w:rPr>
        <w:t>（6）数据归档记录表1份</w:t>
      </w:r>
    </w:p>
    <w:p>
      <w:pPr>
        <w:pStyle w:val="null3"/>
        <w:jc w:val="both"/>
        <w:outlineLvl w:val="3"/>
      </w:pPr>
      <w:r>
        <w:rPr>
          <w:sz w:val="21"/>
          <w:b/>
        </w:rPr>
        <w:t>2.2业务应用数据分析服务</w:t>
      </w:r>
    </w:p>
    <w:p>
      <w:pPr>
        <w:pStyle w:val="null3"/>
        <w:ind w:firstLine="420"/>
        <w:jc w:val="both"/>
      </w:pPr>
      <w:r>
        <w:rPr>
          <w:sz w:val="21"/>
        </w:rPr>
        <w:t>[1].</w:t>
      </w:r>
      <w:r>
        <w:rPr>
          <w:sz w:val="21"/>
        </w:rPr>
        <w:t>服务内容</w:t>
      </w:r>
    </w:p>
    <w:p>
      <w:pPr>
        <w:pStyle w:val="null3"/>
        <w:ind w:firstLine="420"/>
        <w:jc w:val="both"/>
      </w:pPr>
      <w:r>
        <w:rPr>
          <w:sz w:val="21"/>
        </w:rPr>
        <w:t>建立重大项目前期工作领域的业务应用数据支撑体系，为用户提供数据统计、挖掘、分析服务，协助业务顺利推进，辅助科学决策。</w:t>
      </w:r>
    </w:p>
    <w:p>
      <w:pPr>
        <w:pStyle w:val="null3"/>
        <w:ind w:firstLine="420"/>
        <w:jc w:val="both"/>
      </w:pPr>
      <w:r>
        <w:rPr>
          <w:sz w:val="21"/>
        </w:rPr>
        <w:t>[2].</w:t>
      </w:r>
      <w:r>
        <w:rPr>
          <w:sz w:val="21"/>
        </w:rPr>
        <w:t>服务成果</w:t>
      </w:r>
    </w:p>
    <w:p>
      <w:pPr>
        <w:pStyle w:val="null3"/>
        <w:ind w:firstLine="420"/>
        <w:jc w:val="both"/>
      </w:pPr>
      <w:r>
        <w:rPr>
          <w:sz w:val="21"/>
        </w:rPr>
        <w:t>（1）前期工作进展分析报告47份、投资决策报告47份、风险分析报告47份</w:t>
      </w:r>
    </w:p>
    <w:p>
      <w:pPr>
        <w:pStyle w:val="null3"/>
        <w:ind w:firstLine="420"/>
        <w:jc w:val="both"/>
      </w:pPr>
      <w:r>
        <w:rPr>
          <w:sz w:val="21"/>
        </w:rPr>
        <w:t>（2）重大项目工期倒排情况统计分析报告12份、重大项目协调调度情况统计分析报告12份、重大项目问题解决情况统计分析报告12份、重大项目申报审批情况统计分析报告12份</w:t>
      </w:r>
    </w:p>
    <w:p>
      <w:pPr>
        <w:pStyle w:val="null3"/>
        <w:ind w:firstLine="420"/>
        <w:jc w:val="both"/>
      </w:pPr>
      <w:r>
        <w:rPr>
          <w:sz w:val="21"/>
        </w:rPr>
        <w:t>（3）数据质量检查周报48份、数据质量检查月报12份、个性化数据分析报告8份</w:t>
      </w:r>
    </w:p>
    <w:p>
      <w:pPr>
        <w:pStyle w:val="null3"/>
        <w:jc w:val="both"/>
        <w:outlineLvl w:val="3"/>
      </w:pPr>
      <w:r>
        <w:rPr>
          <w:sz w:val="21"/>
          <w:b/>
        </w:rPr>
        <w:t>2.3数据共享技术服务</w:t>
      </w:r>
    </w:p>
    <w:p>
      <w:pPr>
        <w:pStyle w:val="null3"/>
        <w:ind w:firstLine="420"/>
        <w:jc w:val="both"/>
      </w:pPr>
      <w:r>
        <w:rPr>
          <w:sz w:val="21"/>
        </w:rPr>
        <w:t>[1].</w:t>
      </w:r>
      <w:r>
        <w:rPr>
          <w:sz w:val="21"/>
        </w:rPr>
        <w:t>服务内容</w:t>
      </w:r>
    </w:p>
    <w:p>
      <w:pPr>
        <w:pStyle w:val="null3"/>
        <w:ind w:firstLine="420"/>
        <w:jc w:val="both"/>
      </w:pPr>
      <w:r>
        <w:rPr>
          <w:sz w:val="21"/>
        </w:rPr>
        <w:t>解决信息孤岛和信息共享问题，实现跨层级、跨地区、跨部门、跨系统的数据共享和业务协同，便于政务用户降低数据资源的搜寻成本，实现数据资源的高效利用。</w:t>
      </w:r>
    </w:p>
    <w:p>
      <w:pPr>
        <w:pStyle w:val="null3"/>
        <w:ind w:firstLine="420"/>
        <w:jc w:val="both"/>
      </w:pPr>
      <w:r>
        <w:rPr>
          <w:sz w:val="21"/>
        </w:rPr>
        <w:t>[2].</w:t>
      </w:r>
      <w:r>
        <w:rPr>
          <w:sz w:val="21"/>
        </w:rPr>
        <w:t>服务成果</w:t>
      </w:r>
    </w:p>
    <w:p>
      <w:pPr>
        <w:pStyle w:val="null3"/>
        <w:ind w:firstLine="420"/>
        <w:jc w:val="both"/>
      </w:pPr>
      <w:r>
        <w:rPr>
          <w:sz w:val="21"/>
        </w:rPr>
        <w:t>（1）数据共享标准规范文档1份</w:t>
      </w:r>
    </w:p>
    <w:p>
      <w:pPr>
        <w:pStyle w:val="null3"/>
        <w:ind w:firstLine="420"/>
        <w:jc w:val="both"/>
      </w:pPr>
      <w:r>
        <w:rPr>
          <w:sz w:val="21"/>
        </w:rPr>
        <w:t>（2）数据共享标准规范文档维护记录表1份</w:t>
      </w:r>
    </w:p>
    <w:p>
      <w:pPr>
        <w:pStyle w:val="null3"/>
        <w:ind w:firstLine="420"/>
        <w:jc w:val="both"/>
      </w:pPr>
      <w:r>
        <w:rPr>
          <w:sz w:val="21"/>
        </w:rPr>
        <w:t>（3）培训方案、规范解读报告1份</w:t>
      </w:r>
    </w:p>
    <w:p>
      <w:pPr>
        <w:pStyle w:val="null3"/>
        <w:ind w:firstLine="420"/>
        <w:jc w:val="both"/>
      </w:pPr>
      <w:r>
        <w:rPr>
          <w:sz w:val="21"/>
        </w:rPr>
        <w:t>（4）数据共享记录表1份</w:t>
      </w:r>
    </w:p>
    <w:p>
      <w:pPr>
        <w:pStyle w:val="null3"/>
        <w:jc w:val="both"/>
        <w:outlineLvl w:val="3"/>
      </w:pPr>
      <w:r>
        <w:rPr>
          <w:sz w:val="21"/>
          <w:b/>
        </w:rPr>
        <w:t>2.4“专班项目”数据处理运营服务</w:t>
      </w:r>
    </w:p>
    <w:p>
      <w:pPr>
        <w:pStyle w:val="null3"/>
        <w:ind w:firstLine="420"/>
        <w:jc w:val="both"/>
      </w:pPr>
      <w:r>
        <w:rPr>
          <w:sz w:val="21"/>
        </w:rPr>
        <w:t>[1].</w:t>
      </w:r>
      <w:r>
        <w:rPr>
          <w:sz w:val="21"/>
        </w:rPr>
        <w:t>服务内容</w:t>
      </w:r>
    </w:p>
    <w:p>
      <w:pPr>
        <w:pStyle w:val="null3"/>
        <w:ind w:firstLine="420"/>
        <w:jc w:val="both"/>
      </w:pPr>
      <w:r>
        <w:rPr>
          <w:sz w:val="21"/>
        </w:rPr>
        <w:t>根据省重大项目并联审批工作专班下发的专班项目清单，按照导入模板整理项目信息，完成整理后在系统上传数据，保证专班项目专区的数据更新、数据无误。</w:t>
      </w:r>
    </w:p>
    <w:p>
      <w:pPr>
        <w:pStyle w:val="null3"/>
        <w:ind w:firstLine="420"/>
        <w:jc w:val="both"/>
      </w:pPr>
      <w:r>
        <w:rPr>
          <w:sz w:val="21"/>
        </w:rPr>
        <w:t>[2].</w:t>
      </w:r>
      <w:r>
        <w:rPr>
          <w:sz w:val="21"/>
        </w:rPr>
        <w:t>服务成果</w:t>
      </w:r>
    </w:p>
    <w:p>
      <w:pPr>
        <w:pStyle w:val="null3"/>
        <w:ind w:firstLine="420"/>
        <w:jc w:val="both"/>
      </w:pPr>
      <w:r>
        <w:rPr>
          <w:sz w:val="21"/>
        </w:rPr>
        <w:t>项目数据表，每月输出1份</w:t>
      </w:r>
    </w:p>
    <w:p>
      <w:pPr>
        <w:pStyle w:val="null3"/>
        <w:jc w:val="both"/>
        <w:outlineLvl w:val="3"/>
      </w:pPr>
      <w:r>
        <w:rPr>
          <w:sz w:val="21"/>
          <w:b/>
        </w:rPr>
        <w:t>2.5“专班项目”数据标签运营服务</w:t>
      </w:r>
    </w:p>
    <w:p>
      <w:pPr>
        <w:pStyle w:val="null3"/>
        <w:ind w:firstLine="420"/>
        <w:jc w:val="both"/>
      </w:pPr>
      <w:r>
        <w:rPr>
          <w:sz w:val="21"/>
        </w:rPr>
        <w:t>[1].</w:t>
      </w:r>
      <w:r>
        <w:rPr>
          <w:sz w:val="21"/>
        </w:rPr>
        <w:t>服务内容</w:t>
      </w:r>
    </w:p>
    <w:p>
      <w:pPr>
        <w:pStyle w:val="null3"/>
        <w:ind w:firstLine="420"/>
        <w:jc w:val="both"/>
      </w:pPr>
      <w:r>
        <w:rPr>
          <w:sz w:val="21"/>
        </w:rPr>
        <w:t>根据专班项目的数据特点及业务需要，建立专班项目标签体系，通过标签体系对专班项目进行规范化、动态化管理。</w:t>
      </w:r>
    </w:p>
    <w:p>
      <w:pPr>
        <w:pStyle w:val="null3"/>
        <w:ind w:firstLine="420"/>
        <w:jc w:val="both"/>
      </w:pPr>
      <w:r>
        <w:rPr>
          <w:sz w:val="21"/>
        </w:rPr>
        <w:t>[2].</w:t>
      </w:r>
      <w:r>
        <w:rPr>
          <w:sz w:val="21"/>
        </w:rPr>
        <w:t>服务成果</w:t>
      </w:r>
    </w:p>
    <w:p>
      <w:pPr>
        <w:pStyle w:val="null3"/>
        <w:ind w:firstLine="420"/>
        <w:jc w:val="both"/>
      </w:pPr>
      <w:r>
        <w:rPr>
          <w:sz w:val="21"/>
        </w:rPr>
        <w:t>专班项目标签体系1份</w:t>
      </w:r>
    </w:p>
    <w:p>
      <w:pPr>
        <w:pStyle w:val="null3"/>
        <w:jc w:val="both"/>
        <w:outlineLvl w:val="3"/>
      </w:pPr>
      <w:r>
        <w:rPr>
          <w:sz w:val="21"/>
          <w:b/>
        </w:rPr>
        <w:t>2.6“专班项目”数据指标运营服务</w:t>
      </w:r>
    </w:p>
    <w:p>
      <w:pPr>
        <w:pStyle w:val="null3"/>
        <w:ind w:firstLine="420"/>
        <w:jc w:val="both"/>
      </w:pPr>
      <w:r>
        <w:rPr>
          <w:sz w:val="21"/>
        </w:rPr>
        <w:t>[1].</w:t>
      </w:r>
      <w:r>
        <w:rPr>
          <w:sz w:val="21"/>
        </w:rPr>
        <w:t>服务内容</w:t>
      </w:r>
    </w:p>
    <w:p>
      <w:pPr>
        <w:pStyle w:val="null3"/>
        <w:ind w:firstLine="420"/>
        <w:jc w:val="both"/>
      </w:pPr>
      <w:r>
        <w:rPr>
          <w:sz w:val="21"/>
        </w:rPr>
        <w:t>挖掘专班项目数据价值，从专项指挥部、项目类型、项目状态、收藏属性、审批进展等项目关键属性，提供全面的专班项目数据监测和分析运营，全面掌握专班项目规模及审批推动情况。</w:t>
      </w:r>
    </w:p>
    <w:p>
      <w:pPr>
        <w:pStyle w:val="null3"/>
        <w:ind w:firstLine="420"/>
        <w:jc w:val="both"/>
      </w:pPr>
      <w:r>
        <w:rPr>
          <w:sz w:val="21"/>
        </w:rPr>
        <w:t>[2].</w:t>
      </w:r>
      <w:r>
        <w:rPr>
          <w:sz w:val="21"/>
        </w:rPr>
        <w:t>服务成果</w:t>
      </w:r>
    </w:p>
    <w:p>
      <w:pPr>
        <w:pStyle w:val="null3"/>
        <w:ind w:firstLine="420"/>
        <w:jc w:val="both"/>
      </w:pPr>
      <w:r>
        <w:rPr>
          <w:sz w:val="21"/>
        </w:rPr>
        <w:t>专班项目指标清单1份</w:t>
      </w:r>
    </w:p>
    <w:p>
      <w:pPr>
        <w:pStyle w:val="null3"/>
        <w:outlineLvl w:val="2"/>
      </w:pPr>
      <w:r>
        <w:rPr>
          <w:sz w:val="21"/>
          <w:b/>
        </w:rPr>
        <w:t>3.</w:t>
      </w:r>
      <w:r>
        <w:rPr>
          <w:sz w:val="21"/>
          <w:b/>
        </w:rPr>
        <w:t>其他业务运营服务</w:t>
      </w:r>
    </w:p>
    <w:p>
      <w:pPr>
        <w:pStyle w:val="null3"/>
        <w:jc w:val="both"/>
        <w:outlineLvl w:val="3"/>
      </w:pPr>
      <w:r>
        <w:rPr>
          <w:sz w:val="21"/>
          <w:b/>
        </w:rPr>
        <w:t>3.1管理制度规范制定服务</w:t>
      </w:r>
    </w:p>
    <w:p>
      <w:pPr>
        <w:pStyle w:val="null3"/>
        <w:ind w:firstLine="420"/>
        <w:jc w:val="both"/>
      </w:pPr>
      <w:r>
        <w:rPr>
          <w:sz w:val="21"/>
        </w:rPr>
        <w:t>[1].</w:t>
      </w:r>
      <w:r>
        <w:rPr>
          <w:sz w:val="21"/>
        </w:rPr>
        <w:t>服务内容</w:t>
      </w:r>
    </w:p>
    <w:p>
      <w:pPr>
        <w:pStyle w:val="null3"/>
        <w:ind w:firstLine="420"/>
        <w:jc w:val="both"/>
      </w:pPr>
      <w:r>
        <w:rPr>
          <w:sz w:val="21"/>
        </w:rPr>
        <w:t>协助制定面向项目单位、第三方机构、投资审批部门相关的管理制度规范，提高项目前期工作推进效率和服务系统有效利用率。</w:t>
      </w:r>
    </w:p>
    <w:p>
      <w:pPr>
        <w:pStyle w:val="null3"/>
        <w:ind w:firstLine="420"/>
        <w:jc w:val="both"/>
      </w:pPr>
      <w:r>
        <w:rPr>
          <w:sz w:val="21"/>
        </w:rPr>
        <w:t>[2].</w:t>
      </w:r>
      <w:r>
        <w:rPr>
          <w:sz w:val="21"/>
        </w:rPr>
        <w:t>服务成果</w:t>
      </w:r>
    </w:p>
    <w:p>
      <w:pPr>
        <w:pStyle w:val="null3"/>
        <w:ind w:firstLine="420"/>
        <w:jc w:val="both"/>
      </w:pPr>
      <w:r>
        <w:rPr>
          <w:sz w:val="21"/>
        </w:rPr>
        <w:t>重大项目前期工作服务平台运行管理制度1份</w:t>
      </w:r>
    </w:p>
    <w:p>
      <w:pPr>
        <w:pStyle w:val="null3"/>
        <w:jc w:val="both"/>
        <w:outlineLvl w:val="3"/>
      </w:pPr>
      <w:r>
        <w:rPr>
          <w:sz w:val="21"/>
          <w:b/>
        </w:rPr>
        <w:t>3.2管理制度规范应用推广服务</w:t>
      </w:r>
    </w:p>
    <w:p>
      <w:pPr>
        <w:pStyle w:val="null3"/>
        <w:ind w:firstLine="420"/>
        <w:jc w:val="both"/>
      </w:pPr>
      <w:r>
        <w:rPr>
          <w:sz w:val="21"/>
        </w:rPr>
        <w:t>[1].</w:t>
      </w:r>
      <w:r>
        <w:rPr>
          <w:sz w:val="21"/>
        </w:rPr>
        <w:t>服务内容</w:t>
      </w:r>
    </w:p>
    <w:p>
      <w:pPr>
        <w:pStyle w:val="null3"/>
        <w:ind w:firstLine="420"/>
        <w:jc w:val="both"/>
      </w:pPr>
      <w:r>
        <w:rPr>
          <w:sz w:val="21"/>
        </w:rPr>
        <w:t>推广相关管理制度规范的应用，保障系统的有序运行。</w:t>
      </w:r>
    </w:p>
    <w:p>
      <w:pPr>
        <w:pStyle w:val="null3"/>
        <w:ind w:firstLine="420"/>
        <w:jc w:val="both"/>
      </w:pPr>
      <w:r>
        <w:rPr>
          <w:sz w:val="21"/>
        </w:rPr>
        <w:t>[2].</w:t>
      </w:r>
      <w:r>
        <w:rPr>
          <w:sz w:val="21"/>
        </w:rPr>
        <w:t>服务成果</w:t>
      </w:r>
    </w:p>
    <w:p>
      <w:pPr>
        <w:pStyle w:val="null3"/>
        <w:ind w:firstLine="420"/>
        <w:jc w:val="both"/>
      </w:pPr>
      <w:r>
        <w:rPr>
          <w:sz w:val="21"/>
        </w:rPr>
        <w:t>（1）制度规范应用推广方案1份</w:t>
      </w:r>
    </w:p>
    <w:p>
      <w:pPr>
        <w:pStyle w:val="null3"/>
        <w:ind w:firstLine="420"/>
        <w:jc w:val="both"/>
      </w:pPr>
      <w:r>
        <w:rPr>
          <w:sz w:val="21"/>
        </w:rPr>
        <w:t>（2）制度规范解答记录1份</w:t>
      </w:r>
    </w:p>
    <w:p>
      <w:pPr>
        <w:pStyle w:val="null3"/>
        <w:ind w:firstLine="420"/>
        <w:jc w:val="both"/>
      </w:pPr>
      <w:r>
        <w:rPr>
          <w:sz w:val="21"/>
        </w:rPr>
        <w:t>（3）反馈报告4份</w:t>
      </w:r>
    </w:p>
    <w:p>
      <w:pPr>
        <w:pStyle w:val="null3"/>
        <w:jc w:val="both"/>
        <w:outlineLvl w:val="3"/>
      </w:pPr>
      <w:r>
        <w:rPr>
          <w:sz w:val="21"/>
          <w:b/>
        </w:rPr>
        <w:t>3.</w:t>
      </w:r>
      <w:r>
        <w:rPr>
          <w:sz w:val="21"/>
          <w:b/>
        </w:rPr>
        <w:t>3</w:t>
      </w:r>
      <w:r>
        <w:rPr>
          <w:sz w:val="21"/>
          <w:b/>
        </w:rPr>
        <w:t>“粤投资”（粤政易app端）页面定制化运营服务</w:t>
      </w:r>
    </w:p>
    <w:p>
      <w:pPr>
        <w:pStyle w:val="null3"/>
        <w:ind w:firstLine="420"/>
        <w:jc w:val="both"/>
      </w:pPr>
      <w:r>
        <w:rPr>
          <w:sz w:val="21"/>
        </w:rPr>
        <w:t>[1].</w:t>
      </w:r>
      <w:r>
        <w:rPr>
          <w:sz w:val="21"/>
        </w:rPr>
        <w:t>服务内容</w:t>
      </w:r>
    </w:p>
    <w:p>
      <w:pPr>
        <w:pStyle w:val="null3"/>
        <w:ind w:firstLine="420"/>
        <w:jc w:val="both"/>
      </w:pPr>
      <w:r>
        <w:rPr>
          <w:sz w:val="21"/>
        </w:rPr>
        <w:t>整理领导、工作专班人员、业务处室人员的需求并总结功能设计思路，设计人员按照功能设计思路、原型设计业务逻辑及卡片高保真样式等进行页面、功能整体高保真UI组合设计及调整、卡片样式设计及调整，包含所有卡片图表、交互逻辑、页面可视化呈现效果设计等页面定制化运营服务。功能上线后根据需求方意见对页面及功能进行优化。因该项目涉及不同应用场景，根据不同要求调整不同项目呈现方式，须周期性调整页面定制化设计，持续符合业务要求。</w:t>
      </w:r>
    </w:p>
    <w:p>
      <w:pPr>
        <w:pStyle w:val="null3"/>
        <w:ind w:firstLine="420"/>
        <w:jc w:val="both"/>
      </w:pPr>
      <w:r>
        <w:rPr>
          <w:sz w:val="21"/>
        </w:rPr>
        <w:t>[2].</w:t>
      </w:r>
      <w:r>
        <w:rPr>
          <w:sz w:val="21"/>
        </w:rPr>
        <w:t>服务成果</w:t>
      </w:r>
    </w:p>
    <w:p>
      <w:pPr>
        <w:pStyle w:val="null3"/>
        <w:ind w:firstLine="420"/>
        <w:jc w:val="both"/>
      </w:pPr>
      <w:r>
        <w:rPr>
          <w:sz w:val="21"/>
        </w:rPr>
        <w:t>专题页面1份</w:t>
      </w:r>
    </w:p>
    <w:p>
      <w:pPr>
        <w:pStyle w:val="null3"/>
        <w:ind w:firstLine="420"/>
        <w:jc w:val="both"/>
        <w:outlineLvl w:val="1"/>
      </w:pPr>
      <w:r>
        <w:rPr>
          <w:sz w:val="21"/>
          <w:b/>
        </w:rPr>
        <w:t>（三）标准编制需求</w:t>
      </w:r>
    </w:p>
    <w:p>
      <w:pPr>
        <w:pStyle w:val="null3"/>
        <w:ind w:firstLine="420"/>
        <w:jc w:val="both"/>
      </w:pPr>
      <w:r>
        <w:rPr>
          <w:sz w:val="21"/>
        </w:rPr>
        <w:t>基于广东省投资项目在线审批监管平台已有技术规范制定管理制度规范，包括业务管理规范、运营管理规范、数据管理规范、技术规范等标准规范，提高项目前期工作推进效率和服务系统有效利用率。</w:t>
      </w:r>
      <w:r>
        <w:rPr>
          <w:sz w:val="21"/>
        </w:rPr>
        <w:t>标准应用覆盖纳入系统运行的重大项目涉及的项目单位、第三方机构、投资审批部门。</w:t>
      </w:r>
    </w:p>
    <w:p>
      <w:pPr>
        <w:pStyle w:val="null3"/>
        <w:jc w:val="both"/>
        <w:outlineLvl w:val="1"/>
      </w:pPr>
      <w:r>
        <w:rPr>
          <w:sz w:val="21"/>
          <w:b/>
        </w:rPr>
        <w:t>（四）性能需求</w:t>
      </w:r>
    </w:p>
    <w:p>
      <w:pPr>
        <w:pStyle w:val="null3"/>
        <w:ind w:firstLine="420"/>
        <w:jc w:val="both"/>
      </w:pPr>
      <w:r>
        <w:rPr>
          <w:sz w:val="21"/>
        </w:rPr>
        <w:t>1.</w:t>
      </w:r>
      <w:r>
        <w:rPr>
          <w:sz w:val="21"/>
        </w:rPr>
        <w:t>用户并发数：根据测算，本项目用户数接近4000人，系统最大并发数应不低于200。</w:t>
      </w:r>
    </w:p>
    <w:p>
      <w:pPr>
        <w:pStyle w:val="null3"/>
        <w:ind w:firstLine="420"/>
        <w:jc w:val="both"/>
      </w:pPr>
      <w:r>
        <w:rPr>
          <w:sz w:val="21"/>
        </w:rPr>
        <w:t>2.</w:t>
      </w:r>
      <w:r>
        <w:rPr>
          <w:sz w:val="21"/>
        </w:rPr>
        <w:t>处理能力：需通过负载均衡、预处理等技术手段处理系统应用服务在用户访问的高峰时段的各项请求，不会出现延迟、死机等性能下降的现象。</w:t>
      </w:r>
    </w:p>
    <w:p>
      <w:pPr>
        <w:pStyle w:val="null3"/>
        <w:ind w:firstLine="420"/>
        <w:jc w:val="both"/>
      </w:pPr>
      <w:r>
        <w:rPr>
          <w:sz w:val="21"/>
        </w:rPr>
        <w:t>3.</w:t>
      </w:r>
      <w:r>
        <w:rPr>
          <w:sz w:val="21"/>
        </w:rPr>
        <w:t>响应时间指标：响应时间指标包括页面响应时间和数据响应时间。页面响应时间为用户点击操作页面后的反应，页面反应时间不超过3秒。数据响应时间为用户点击后得到结果的时间，包括服务器反应和数据传输到客户端，普通页面不超过3秒，跨年历史数据最大不超过10秒。</w:t>
      </w:r>
    </w:p>
    <w:p>
      <w:pPr>
        <w:pStyle w:val="null3"/>
        <w:ind w:firstLine="420"/>
        <w:jc w:val="both"/>
      </w:pPr>
      <w:r>
        <w:rPr>
          <w:sz w:val="21"/>
        </w:rPr>
        <w:t>4.</w:t>
      </w:r>
      <w:r>
        <w:rPr>
          <w:sz w:val="21"/>
        </w:rPr>
        <w:t>业务操作响应速度：交互类业务平均响应时间≤3秒；监管任务类查询平均响应时间≤3秒；监管过程类查询平均响应时间≤4秒；结果文书资料类查询平均响应时间≤5秒；简单计算类统计平均响应时间≤3秒；复杂计算类统计平均响应时间≤6秒。</w:t>
      </w:r>
    </w:p>
    <w:p>
      <w:pPr>
        <w:pStyle w:val="null3"/>
        <w:jc w:val="both"/>
        <w:outlineLvl w:val="1"/>
      </w:pPr>
      <w:r>
        <w:rPr>
          <w:sz w:val="21"/>
          <w:b/>
        </w:rPr>
        <w:t>（五）可拓展性需求</w:t>
      </w:r>
    </w:p>
    <w:p>
      <w:pPr>
        <w:pStyle w:val="null3"/>
        <w:ind w:firstLine="420"/>
        <w:jc w:val="both"/>
      </w:pPr>
      <w:r>
        <w:rPr>
          <w:sz w:val="21"/>
        </w:rPr>
        <w:t>平台设计需采用基于通用标准和想用户之所想的产品开发理念，基于信息资源规划的方法论指导，采用面向对象的技术、利用事件驱动和封装的思想为应用软件提供接口，并广泛采用目前业界流行的、标准的技术等，使得系统的可扩展性有根本的保障。平台开发过程中需充分考虑数据层、应用层、展现层和功能需求等方面的扩容性，保证整体框架支持分布式部署，保证未来的系统可以完全依托于现有平台进行扩展和升级。</w:t>
      </w:r>
    </w:p>
    <w:p>
      <w:pPr>
        <w:pStyle w:val="null3"/>
        <w:ind w:firstLine="420"/>
        <w:jc w:val="both"/>
      </w:pPr>
      <w:r>
        <w:rPr>
          <w:sz w:val="21"/>
        </w:rPr>
        <w:t>（1）平台需满足整体规划期业务增长的性能需求。参考行业标准，业务增长率可按年处理能力增长率为15%，逐年递增；</w:t>
      </w:r>
    </w:p>
    <w:p>
      <w:pPr>
        <w:pStyle w:val="null3"/>
        <w:ind w:firstLine="420"/>
        <w:jc w:val="both"/>
      </w:pPr>
      <w:r>
        <w:rPr>
          <w:sz w:val="21"/>
        </w:rPr>
        <w:t>（2）平台扩展需考虑对现有设施的适度利用；</w:t>
      </w:r>
    </w:p>
    <w:p>
      <w:pPr>
        <w:pStyle w:val="null3"/>
        <w:ind w:firstLine="420"/>
        <w:jc w:val="both"/>
      </w:pPr>
      <w:r>
        <w:rPr>
          <w:sz w:val="21"/>
        </w:rPr>
        <w:t>（3）平台扩展需满足业务延续性要求。</w:t>
      </w:r>
    </w:p>
    <w:p>
      <w:pPr>
        <w:pStyle w:val="null3"/>
        <w:jc w:val="both"/>
        <w:outlineLvl w:val="1"/>
      </w:pPr>
      <w:r>
        <w:rPr>
          <w:sz w:val="21"/>
          <w:b/>
        </w:rPr>
        <w:t>（六）可靠性需求</w:t>
      </w:r>
    </w:p>
    <w:p>
      <w:pPr>
        <w:pStyle w:val="null3"/>
        <w:ind w:firstLine="420"/>
        <w:jc w:val="both"/>
      </w:pPr>
      <w:r>
        <w:rPr>
          <w:sz w:val="21"/>
        </w:rPr>
        <w:t>平台建设需采用成熟、稳定、可靠的产品和技术，开发过程控制、开发技术、程序编码、文档规范化，需遵循相应的国家标准，考虑数据备份和容灾，避免单点故障，保证系统稳定可靠地运行，计算和统计、查询结果正确无误。</w:t>
      </w:r>
    </w:p>
    <w:p>
      <w:pPr>
        <w:pStyle w:val="null3"/>
        <w:ind w:firstLine="420"/>
        <w:jc w:val="both"/>
      </w:pPr>
      <w:r>
        <w:rPr>
          <w:sz w:val="21"/>
        </w:rPr>
        <w:t>（1）平台需满足指定时间重新启动、应急演练要求；</w:t>
      </w:r>
    </w:p>
    <w:p>
      <w:pPr>
        <w:pStyle w:val="null3"/>
        <w:ind w:firstLine="420"/>
        <w:jc w:val="both"/>
      </w:pPr>
      <w:r>
        <w:rPr>
          <w:sz w:val="21"/>
        </w:rPr>
        <w:t>（2）平台需具备故障检测、预警、响应、恢复的能力；</w:t>
      </w:r>
    </w:p>
    <w:p>
      <w:pPr>
        <w:pStyle w:val="null3"/>
        <w:ind w:firstLine="420"/>
        <w:jc w:val="both"/>
      </w:pPr>
      <w:r>
        <w:rPr>
          <w:sz w:val="21"/>
        </w:rPr>
        <w:t>（3）平台需基于服务优先级提供基于配置的业务调度、资源分配、自适应优化的能力；</w:t>
      </w:r>
    </w:p>
    <w:p>
      <w:pPr>
        <w:pStyle w:val="null3"/>
        <w:ind w:firstLine="420"/>
        <w:jc w:val="both"/>
      </w:pPr>
      <w:r>
        <w:rPr>
          <w:sz w:val="21"/>
        </w:rPr>
        <w:t>（4）系统的年可用率≥99.5%，由于偶发性故障而发生自动热启动的平均次数＜2次/年。故障发生频率不高于1次/月，且无不可恢复性故障发生。</w:t>
      </w:r>
    </w:p>
    <w:p>
      <w:pPr>
        <w:pStyle w:val="null3"/>
        <w:ind w:firstLine="420"/>
        <w:jc w:val="both"/>
      </w:pPr>
      <w:r>
        <w:rPr>
          <w:sz w:val="21"/>
        </w:rPr>
        <w:t>（5）平台最大故障处置时间应根据事件严重程度安全恢复的时间要求，系统故障（平台）平均处理时间＜4小时。</w:t>
      </w:r>
    </w:p>
    <w:p>
      <w:pPr>
        <w:pStyle w:val="null3"/>
        <w:jc w:val="both"/>
        <w:outlineLvl w:val="1"/>
      </w:pPr>
      <w:r>
        <w:rPr>
          <w:sz w:val="21"/>
          <w:b/>
        </w:rPr>
        <w:t>（七）易用性需求</w:t>
      </w:r>
    </w:p>
    <w:p>
      <w:pPr>
        <w:pStyle w:val="null3"/>
        <w:ind w:firstLine="420"/>
        <w:jc w:val="both"/>
      </w:pPr>
      <w:r>
        <w:rPr>
          <w:sz w:val="21"/>
        </w:rPr>
        <w:t>为便于操作人员的人工干预，需提供直观、方便的操作界面。</w:t>
      </w:r>
    </w:p>
    <w:p>
      <w:pPr>
        <w:pStyle w:val="null3"/>
        <w:ind w:firstLine="420"/>
        <w:jc w:val="both"/>
      </w:pPr>
      <w:r>
        <w:rPr>
          <w:sz w:val="21"/>
        </w:rPr>
        <w:t>易用性设计通用要求包括：</w:t>
      </w:r>
    </w:p>
    <w:p>
      <w:pPr>
        <w:pStyle w:val="null3"/>
        <w:ind w:firstLine="420"/>
        <w:jc w:val="both"/>
      </w:pPr>
      <w:r>
        <w:rPr>
          <w:sz w:val="21"/>
        </w:rPr>
        <w:t>（1）完成同一功能或任务的表单元素，按钮等放在集中位置，减少鼠标移动的距离；用户获取信息的链接深度不宜过深，应提供合理的快捷入口按钮或快捷搜索功能；</w:t>
      </w:r>
    </w:p>
    <w:p>
      <w:pPr>
        <w:pStyle w:val="null3"/>
        <w:ind w:firstLine="420"/>
        <w:jc w:val="both"/>
      </w:pPr>
      <w:r>
        <w:rPr>
          <w:sz w:val="21"/>
        </w:rPr>
        <w:t>（2）默认按钮要支持 Enter 即选操作，即按 Enter 后自动执行默认按钮对应操作；</w:t>
      </w:r>
    </w:p>
    <w:p>
      <w:pPr>
        <w:pStyle w:val="null3"/>
        <w:ind w:firstLine="420"/>
        <w:jc w:val="both"/>
      </w:pPr>
      <w:r>
        <w:rPr>
          <w:sz w:val="21"/>
        </w:rPr>
        <w:t>（3）Tab 键的顺序与控件排列顺序要一致，目前流行从上到下、从左到右的方式；</w:t>
      </w:r>
    </w:p>
    <w:p>
      <w:pPr>
        <w:pStyle w:val="null3"/>
        <w:ind w:firstLine="420"/>
        <w:jc w:val="both"/>
      </w:pPr>
      <w:r>
        <w:rPr>
          <w:sz w:val="21"/>
        </w:rPr>
        <w:t>（4）复选框和选项框要有默认选项，按选择机率的高低而先后排列，并支持Tab 选择；</w:t>
      </w:r>
    </w:p>
    <w:p>
      <w:pPr>
        <w:pStyle w:val="null3"/>
        <w:ind w:firstLine="420"/>
        <w:jc w:val="both"/>
      </w:pPr>
      <w:r>
        <w:rPr>
          <w:sz w:val="21"/>
        </w:rPr>
        <w:t>（5）可写控件检测到非法输入后应给出说明并能自动获得焦点；</w:t>
      </w:r>
    </w:p>
    <w:p>
      <w:pPr>
        <w:pStyle w:val="null3"/>
        <w:ind w:firstLine="420"/>
        <w:jc w:val="both"/>
      </w:pPr>
      <w:r>
        <w:rPr>
          <w:sz w:val="21"/>
        </w:rPr>
        <w:t>（6）界面空间较小时使用下拉框而不用选项框；</w:t>
      </w:r>
    </w:p>
    <w:p>
      <w:pPr>
        <w:pStyle w:val="null3"/>
        <w:ind w:firstLine="420"/>
        <w:jc w:val="both"/>
      </w:pPr>
      <w:r>
        <w:rPr>
          <w:sz w:val="21"/>
        </w:rPr>
        <w:t>（7）选项数较少时使用选项框，相反使用下拉列表框；</w:t>
      </w:r>
    </w:p>
    <w:p>
      <w:pPr>
        <w:pStyle w:val="null3"/>
        <w:ind w:firstLine="420"/>
        <w:jc w:val="both"/>
      </w:pPr>
      <w:r>
        <w:rPr>
          <w:sz w:val="21"/>
        </w:rPr>
        <w:t>（8）适当使用相关的专业术语，提倡使用通用性字眼。</w:t>
      </w:r>
    </w:p>
    <w:p>
      <w:pPr>
        <w:pStyle w:val="null3"/>
        <w:jc w:val="both"/>
        <w:outlineLvl w:val="1"/>
      </w:pPr>
      <w:r>
        <w:rPr>
          <w:sz w:val="21"/>
          <w:b/>
        </w:rPr>
        <w:t>（八）兼容性需求</w:t>
      </w:r>
    </w:p>
    <w:p>
      <w:pPr>
        <w:pStyle w:val="null3"/>
        <w:ind w:firstLine="420"/>
        <w:jc w:val="both"/>
      </w:pPr>
      <w:r>
        <w:rPr>
          <w:sz w:val="21"/>
        </w:rPr>
        <w:t>（1）浏览器兼容：主流浏览器（奇安信浏览器、统信浏览器、360、火狐、IE（版本9以上）、Chrome）有较好的兼容性。</w:t>
      </w:r>
    </w:p>
    <w:p>
      <w:pPr>
        <w:pStyle w:val="null3"/>
        <w:ind w:firstLine="420"/>
        <w:jc w:val="both"/>
      </w:pPr>
      <w:r>
        <w:rPr>
          <w:sz w:val="21"/>
        </w:rPr>
        <w:t>（2）分辨率兼容：需要兼容下述几个分辨率</w:t>
      </w:r>
    </w:p>
    <w:p>
      <w:pPr>
        <w:pStyle w:val="null3"/>
        <w:ind w:firstLine="420"/>
        <w:jc w:val="both"/>
      </w:pPr>
      <w:r>
        <w:rPr>
          <w:sz w:val="21"/>
        </w:rPr>
        <w:t>1366*768</w:t>
      </w:r>
    </w:p>
    <w:p>
      <w:pPr>
        <w:pStyle w:val="null3"/>
        <w:ind w:firstLine="420"/>
        <w:jc w:val="both"/>
      </w:pPr>
      <w:r>
        <w:rPr>
          <w:sz w:val="21"/>
        </w:rPr>
        <w:t>1440*900</w:t>
      </w:r>
    </w:p>
    <w:p>
      <w:pPr>
        <w:pStyle w:val="null3"/>
        <w:ind w:firstLine="420"/>
        <w:jc w:val="both"/>
      </w:pPr>
      <w:r>
        <w:rPr>
          <w:sz w:val="21"/>
        </w:rPr>
        <w:t>1440*1050</w:t>
      </w:r>
    </w:p>
    <w:p>
      <w:pPr>
        <w:pStyle w:val="null3"/>
        <w:ind w:firstLine="420"/>
        <w:jc w:val="both"/>
      </w:pPr>
      <w:r>
        <w:rPr>
          <w:sz w:val="21"/>
        </w:rPr>
        <w:t>1600*900</w:t>
      </w:r>
    </w:p>
    <w:p>
      <w:pPr>
        <w:pStyle w:val="null3"/>
        <w:ind w:firstLine="420"/>
        <w:jc w:val="both"/>
      </w:pPr>
      <w:r>
        <w:rPr>
          <w:sz w:val="21"/>
        </w:rPr>
        <w:t>1680*1050</w:t>
      </w:r>
    </w:p>
    <w:p>
      <w:pPr>
        <w:pStyle w:val="null3"/>
        <w:ind w:firstLine="420"/>
        <w:jc w:val="both"/>
      </w:pPr>
      <w:r>
        <w:rPr>
          <w:sz w:val="21"/>
        </w:rPr>
        <w:t>1920*1080</w:t>
      </w:r>
    </w:p>
    <w:p>
      <w:pPr>
        <w:pStyle w:val="null3"/>
        <w:ind w:firstLine="420"/>
        <w:jc w:val="both"/>
      </w:pPr>
      <w:r>
        <w:rPr>
          <w:sz w:val="21"/>
        </w:rPr>
        <w:t>2560*1600</w:t>
      </w:r>
    </w:p>
    <w:p>
      <w:pPr>
        <w:pStyle w:val="null3"/>
        <w:ind w:firstLine="420"/>
        <w:jc w:val="both"/>
      </w:pPr>
      <w:r>
        <w:rPr>
          <w:sz w:val="21"/>
        </w:rPr>
        <w:t>3840*2160</w:t>
      </w:r>
    </w:p>
    <w:p>
      <w:pPr>
        <w:pStyle w:val="null3"/>
        <w:jc w:val="both"/>
      </w:pPr>
      <w:r>
        <w:rPr>
          <w:sz w:val="21"/>
        </w:rPr>
        <w:t>按尺寸划分：3:2，4:3，16:9，16:10。</w:t>
      </w:r>
    </w:p>
    <w:p>
      <w:pPr>
        <w:pStyle w:val="null3"/>
        <w:jc w:val="both"/>
        <w:outlineLvl w:val="1"/>
      </w:pPr>
      <w:r>
        <w:rPr>
          <w:sz w:val="21"/>
          <w:b/>
        </w:rPr>
        <w:t>（</w:t>
      </w:r>
      <w:r>
        <w:rPr>
          <w:sz w:val="21"/>
          <w:b/>
        </w:rPr>
        <w:t>九</w:t>
      </w:r>
      <w:r>
        <w:rPr>
          <w:sz w:val="21"/>
          <w:b/>
        </w:rPr>
        <w:t>）</w:t>
      </w:r>
      <w:r>
        <w:rPr>
          <w:sz w:val="21"/>
          <w:b/>
        </w:rPr>
        <w:t>采用安全可靠的技术和软硬件产品需求</w:t>
      </w:r>
    </w:p>
    <w:p>
      <w:pPr>
        <w:pStyle w:val="null3"/>
        <w:ind w:firstLine="420"/>
        <w:jc w:val="both"/>
      </w:pPr>
      <w:r>
        <w:rPr>
          <w:sz w:val="21"/>
        </w:rPr>
        <w:t>根据《广东省省级政务信息化项目管理办法》规划相关要求，响应广东省政务信息系统安全可靠的要求，需要确保在政务信息系统的建设过程中，操作系统、数据库、中间件、硬件等技术路线和关键基础设施采用先进、成熟、安全可靠的技术和产品，采用的安全可靠的技术和软硬件产品符合国家、省有关部门标准，经省政务服务数据管理局认定的数字政府适配测试中心认证。</w:t>
      </w:r>
    </w:p>
    <w:p>
      <w:pPr>
        <w:pStyle w:val="null3"/>
        <w:jc w:val="both"/>
        <w:outlineLvl w:val="1"/>
      </w:pPr>
      <w:r>
        <w:rPr>
          <w:sz w:val="21"/>
          <w:b/>
        </w:rPr>
        <w:t>（</w:t>
      </w:r>
      <w:r>
        <w:rPr>
          <w:sz w:val="21"/>
          <w:b/>
        </w:rPr>
        <w:t>十</w:t>
      </w:r>
      <w:r>
        <w:rPr>
          <w:sz w:val="21"/>
          <w:b/>
        </w:rPr>
        <w:t>）</w:t>
      </w:r>
      <w:r>
        <w:rPr>
          <w:sz w:val="21"/>
          <w:b/>
        </w:rPr>
        <w:t>安全需求</w:t>
      </w:r>
    </w:p>
    <w:p>
      <w:pPr>
        <w:pStyle w:val="null3"/>
        <w:ind w:firstLine="420"/>
        <w:jc w:val="both"/>
      </w:pPr>
      <w:r>
        <w:rPr>
          <w:sz w:val="21"/>
        </w:rPr>
        <w:t>1.</w:t>
      </w:r>
      <w:r>
        <w:rPr>
          <w:sz w:val="21"/>
        </w:rPr>
        <w:t>业务保障安全要求：在系统日常运行工作中，通过7×24小时不间断的系统性维护服务，确保平台具有良好的安全性和可靠性，同时结合备份恢复、入侵监测、防火墙等工作，共同构建起多层次，全方位的安全保障体系。另外，同时通过日常维护使系统具备一定的容错性，避免由于误操作或其他原因导致的系统错误。</w:t>
      </w:r>
    </w:p>
    <w:p>
      <w:pPr>
        <w:pStyle w:val="null3"/>
        <w:ind w:firstLine="420"/>
        <w:jc w:val="both"/>
      </w:pPr>
      <w:r>
        <w:rPr>
          <w:sz w:val="21"/>
        </w:rPr>
        <w:t>2.</w:t>
      </w:r>
      <w:r>
        <w:rPr>
          <w:sz w:val="21"/>
        </w:rPr>
        <w:t>信息安全合规性要求：按照国家、广东省信息化行业颁布的相关法律法规和技术标准对系统的信息安全及商用密码应用合规性要求：本项目涉及的系统要求通过信息系统安全等级保护认证以及商用密码测评，本项目安全等级保护级别为三级、商密级别为三级。</w:t>
      </w:r>
    </w:p>
    <w:p>
      <w:pPr>
        <w:pStyle w:val="null3"/>
        <w:ind w:firstLine="420"/>
        <w:jc w:val="both"/>
      </w:pPr>
      <w:r>
        <w:rPr>
          <w:sz w:val="21"/>
        </w:rPr>
        <w:t>3.IPV6</w:t>
      </w:r>
      <w:r>
        <w:rPr>
          <w:sz w:val="21"/>
        </w:rPr>
        <w:t>适配需求：本次系统将按照中共中央办公厅 国务院办公厅印发《推进互联网协议第六版（IPv6）规模部署行动计划》要求全面支持IPv6。</w:t>
      </w:r>
    </w:p>
    <w:p>
      <w:pPr>
        <w:pStyle w:val="null3"/>
        <w:ind w:firstLine="420"/>
        <w:jc w:val="both"/>
      </w:pPr>
      <w:r>
        <w:rPr>
          <w:sz w:val="21"/>
        </w:rPr>
        <w:t>4.</w:t>
      </w:r>
      <w:r>
        <w:rPr>
          <w:sz w:val="21"/>
        </w:rPr>
        <w:t>备份容灾需求：在数据的备份和恢复方面，利用政务云存储系统，采取集中式的数据备份与恢复，利用镜像和RAID技术，来保证数据的物理安全性。系统数据和业务数据可联机备份、联机恢复，恢复的数据必须保持其完整性和一致性。系统应具备自动或手动恢复措施，以便在发生错误时能够快速恢复正常运行。本系统数据每日全量备份，本地和异地同时保存，数据保存1个月。</w:t>
      </w:r>
    </w:p>
    <w:p>
      <w:pPr>
        <w:pStyle w:val="null3"/>
        <w:jc w:val="both"/>
        <w:outlineLvl w:val="1"/>
      </w:pPr>
      <w:r>
        <w:rPr>
          <w:sz w:val="21"/>
          <w:b/>
        </w:rPr>
        <w:t>（</w:t>
      </w:r>
      <w:r>
        <w:rPr>
          <w:sz w:val="21"/>
          <w:b/>
        </w:rPr>
        <w:t>十一</w:t>
      </w:r>
      <w:r>
        <w:rPr>
          <w:sz w:val="21"/>
          <w:b/>
        </w:rPr>
        <w:t>）</w:t>
      </w:r>
      <w:r>
        <w:rPr>
          <w:sz w:val="21"/>
          <w:b/>
        </w:rPr>
        <w:t>系统架构设计需求</w:t>
      </w:r>
    </w:p>
    <w:p>
      <w:pPr>
        <w:pStyle w:val="null3"/>
        <w:ind w:firstLine="420"/>
        <w:jc w:val="both"/>
      </w:pPr>
      <w:r>
        <w:rPr>
          <w:sz w:val="21"/>
        </w:rPr>
        <w:t>本项目需按照相关要求，遵循统筹规划、问题导向、锐意创新的原则，立足发展改革业务数字化发展实际，顺应发展改革业务新时代发展趋势，在此基础上构建省重大项目前期工作服务系统。因此要求投标方对系统架构进行充分、细致的论证，并给出清晰的架构结构设计，并满足以下设计要求：</w:t>
      </w:r>
    </w:p>
    <w:p>
      <w:pPr>
        <w:pStyle w:val="null3"/>
        <w:ind w:firstLine="420"/>
        <w:jc w:val="both"/>
      </w:pPr>
      <w:r>
        <w:rPr>
          <w:sz w:val="21"/>
        </w:rPr>
        <w:t>1.</w:t>
      </w:r>
      <w:r>
        <w:rPr>
          <w:sz w:val="21"/>
        </w:rPr>
        <w:t>总体架构设计中，本项目需依托广东省数字政府建设能力，遵循集约化、一体化、协同化原则，通过建设重大项目前期工作服务系统，构建重大项目前期工作全流程全方位的监管、服务和指导体系，加快投资项目落地。</w:t>
      </w:r>
    </w:p>
    <w:p>
      <w:pPr>
        <w:pStyle w:val="null3"/>
        <w:ind w:firstLine="420"/>
        <w:jc w:val="both"/>
      </w:pPr>
      <w:r>
        <w:rPr>
          <w:sz w:val="21"/>
        </w:rPr>
        <w:t>2.</w:t>
      </w:r>
      <w:r>
        <w:rPr>
          <w:sz w:val="21"/>
        </w:rPr>
        <w:t>业务架构设计中，本项目需通过省投资项目在线审批监管平台获取重大项目、“专班项目”基本信息数据。建设“专班项目”数据处理业务模块，实现“专班项目”填报任务管理及填报信息维护管理。建设项目配置、进度跟踪、诊断监测、项目调度等模块，其中，项目配置为重大项目从遴选、建立台账、分配第三方机构、制定编制计划、制定评审计划、编制工期、工期评审到工期确定的全过程；进度跟踪为按照排好的工期，项目单位按时申报项目要件，第三方机构按时开展审核，确保材料质量；诊断监测为工期节点临近、超时情况下为项目单位提供的预警提醒，同时收集问题建立台账，通过问题处置开展项目调度，形成调度任务发布、确认、分配、处理、反馈的闭环。同时，业务运行数据为查询统计展示提供数据支撑。</w:t>
      </w:r>
    </w:p>
    <w:p>
      <w:pPr>
        <w:pStyle w:val="null3"/>
        <w:ind w:firstLine="420"/>
        <w:jc w:val="both"/>
      </w:pPr>
      <w:r>
        <w:rPr>
          <w:sz w:val="21"/>
        </w:rPr>
        <w:t>3.</w:t>
      </w:r>
      <w:r>
        <w:rPr>
          <w:sz w:val="21"/>
        </w:rPr>
        <w:t>应用架构设计中，本系统建设内容需包括重大项目分析模块、待办任务、项目配置、进度跟踪、诊断监测、项目调度、问题直通车、第三方机构管理、知识库管理、视频会议、消息管理、移动端应用、系统运行管理、系统对接模块和“粤投资”“专班项目”开发模块。</w:t>
      </w:r>
    </w:p>
    <w:p>
      <w:pPr>
        <w:pStyle w:val="null3"/>
        <w:ind w:firstLine="420"/>
        <w:jc w:val="both"/>
      </w:pPr>
      <w:r>
        <w:rPr>
          <w:sz w:val="21"/>
        </w:rPr>
        <w:t>4.</w:t>
      </w:r>
      <w:r>
        <w:rPr>
          <w:sz w:val="21"/>
        </w:rPr>
        <w:t>数据架构设计中，需按照数据源、数据组织、数据处理、数据服务四个方面的整体逻辑进行构建。</w:t>
      </w:r>
    </w:p>
    <w:p>
      <w:pPr>
        <w:pStyle w:val="null3"/>
        <w:ind w:firstLine="420"/>
        <w:jc w:val="both"/>
      </w:pPr>
      <w:r>
        <w:rPr>
          <w:sz w:val="21"/>
        </w:rPr>
        <w:t>5.</w:t>
      </w:r>
      <w:r>
        <w:rPr>
          <w:sz w:val="21"/>
        </w:rPr>
        <w:t>网络架构设计中，需充分考虑利用现有网络的软硬件设施和现有系统的应用情况，本项目涉及的系统应用均部署于广东省政务云电子政务外网区，利用广东省电子政务网、互联网之间的安全边界进行数据传输。省、市发展改革部门成员、省直单位成员通过政务外网访问本系统，各项目单位、第三方咨询机构通过互联网访问系统应用。</w:t>
      </w:r>
    </w:p>
    <w:p>
      <w:pPr>
        <w:pStyle w:val="null3"/>
        <w:ind w:firstLine="420"/>
        <w:jc w:val="both"/>
      </w:pPr>
      <w:r>
        <w:rPr>
          <w:sz w:val="21"/>
        </w:rPr>
        <w:t>6.</w:t>
      </w:r>
      <w:r>
        <w:rPr>
          <w:sz w:val="21"/>
        </w:rPr>
        <w:t>安全架构设计中，本项目需通过建立安全管理制度和过程安全管理，实现应用安全、数据安全、基础环境安全、物理安全四重安全保障体系。</w:t>
      </w:r>
    </w:p>
    <w:p>
      <w:pPr>
        <w:pStyle w:val="null3"/>
        <w:jc w:val="both"/>
        <w:outlineLvl w:val="0"/>
      </w:pPr>
      <w:r>
        <w:rPr>
          <w:sz w:val="21"/>
          <w:b/>
        </w:rPr>
        <w:t>四、项目建设依据与参考规范</w:t>
      </w:r>
    </w:p>
    <w:p>
      <w:pPr>
        <w:pStyle w:val="null3"/>
        <w:ind w:firstLine="420"/>
        <w:jc w:val="both"/>
      </w:pPr>
      <w:r>
        <w:rPr>
          <w:sz w:val="21"/>
        </w:rPr>
        <w:t>1.</w:t>
      </w:r>
      <w:r>
        <w:rPr>
          <w:sz w:val="21"/>
        </w:rPr>
        <w:t>国家发展和改革委员会《关于进一步做好重大建设项目和地方政府专项债券项目前期工作的通知》（发改投资〔2022〕935号）</w:t>
      </w:r>
    </w:p>
    <w:p>
      <w:pPr>
        <w:pStyle w:val="null3"/>
        <w:ind w:firstLine="420"/>
        <w:jc w:val="both"/>
      </w:pPr>
      <w:r>
        <w:rPr>
          <w:sz w:val="21"/>
        </w:rPr>
        <w:t>“各地方要进一步加大工作力度，加快推进项目前期工作，做到项目等资金。要按权限和规定时限加快履行项目审批（核准、备案）手续，提高审批效率。要统筹资源要素配置，加强与自然资源、生态环境、住房城乡建设等部门的协调配合，推动加快办理用地（用海）审批、规划许可、环评等审批手续。要积极开展部门会商，协调解决项目从立项到建设到竣工投产全过程中存在的堵点难点问题，对重大项目要开辟绿色通道。</w:t>
      </w:r>
    </w:p>
    <w:p>
      <w:pPr>
        <w:pStyle w:val="null3"/>
        <w:ind w:firstLine="420"/>
        <w:jc w:val="both"/>
      </w:pPr>
      <w:r>
        <w:rPr>
          <w:sz w:val="21"/>
        </w:rPr>
        <w:t>各地方要加强组织领导，高效统筹疫情和经济社会发展，扎实做好项目前期工作，加快推进重大项目建设，更好发挥有效投资的关键作用，为稳住宏观经济大盘提供有力保障。”</w:t>
      </w:r>
    </w:p>
    <w:p>
      <w:pPr>
        <w:pStyle w:val="null3"/>
        <w:ind w:firstLine="420"/>
        <w:jc w:val="both"/>
      </w:pPr>
      <w:r>
        <w:rPr>
          <w:sz w:val="21"/>
        </w:rPr>
        <w:t>2.</w:t>
      </w:r>
      <w:r>
        <w:rPr>
          <w:sz w:val="21"/>
        </w:rPr>
        <w:t>国家发展和改革委员会《关于加快推进项目前期工作的通知》</w:t>
      </w:r>
    </w:p>
    <w:p>
      <w:pPr>
        <w:pStyle w:val="null3"/>
        <w:ind w:firstLine="420"/>
        <w:jc w:val="both"/>
      </w:pPr>
      <w:r>
        <w:rPr>
          <w:sz w:val="21"/>
        </w:rPr>
        <w:t>“要加快项目审批（核准、备案）手续的办理进度，确保在规定时限内完成办理。</w:t>
      </w:r>
    </w:p>
    <w:p>
      <w:pPr>
        <w:pStyle w:val="null3"/>
        <w:ind w:firstLine="420"/>
        <w:jc w:val="both"/>
      </w:pPr>
      <w:r>
        <w:rPr>
          <w:sz w:val="21"/>
        </w:rPr>
        <w:t>要压实项目单位责任，充分发挥行业主管部门作用，同时用好部门间协调机制，加强与自然资源、生态环境、住房城乡建设等部门间的沟通衔接，积极协调解决项目前期工作中存在的难点、堵点问题，推动加快办理用地（用海）、规划许可、环评、施工许可等审批手续。</w:t>
      </w:r>
    </w:p>
    <w:p>
      <w:pPr>
        <w:pStyle w:val="null3"/>
        <w:ind w:firstLine="420"/>
        <w:jc w:val="both"/>
      </w:pPr>
      <w:r>
        <w:rPr>
          <w:sz w:val="21"/>
        </w:rPr>
        <w:t>要用好中央预算内投资前期工作费，加大省级前期工作经费投入，并督促市县也加大投入力度，切实加强项目前期工作的经费保障。指导督促项目单位加强项目前期工作，深化政府投资项目可行性研究，深入论证建设规模、技术方案、资金来源等可行性，保证前期工作的深度达到规定的要求。审批、核准项目前要严格按规定开展投资咨询评估，加强评估质量评价管理，不断提高投资决策科学性，更好发挥投资项目的经济社会效益。”</w:t>
      </w:r>
    </w:p>
    <w:p>
      <w:pPr>
        <w:pStyle w:val="null3"/>
        <w:ind w:firstLine="420"/>
        <w:jc w:val="both"/>
      </w:pPr>
      <w:r>
        <w:rPr>
          <w:sz w:val="21"/>
        </w:rPr>
        <w:t>3.</w:t>
      </w:r>
      <w:r>
        <w:rPr>
          <w:sz w:val="21"/>
        </w:rPr>
        <w:t>国家发展和改革委员会《关于加快推进项目前期工作的通知》</w:t>
      </w:r>
    </w:p>
    <w:p>
      <w:pPr>
        <w:pStyle w:val="null3"/>
        <w:ind w:firstLine="420"/>
        <w:jc w:val="both"/>
      </w:pPr>
      <w:r>
        <w:rPr>
          <w:sz w:val="21"/>
        </w:rPr>
        <w:t>“项目前期工作是推进重大项目建设、合理扩大有效投资的重要前提和关键环节。加快推进项目报建审批和前期准备工作。发挥部门间协调机制作用，加大协调工作力度，加快办理用地、用海、规划许可、环评、水土保持、能评、施工许可等审批手续，依法合规加快推进征地拆迁、市政配套、水电接入等各项前期准备工作。对于前期工作中的难点、堵点问题要积极协调解决，必要时将有关项目纳入本地区重大项目调度机制，强化督促调度。”</w:t>
      </w:r>
    </w:p>
    <w:p>
      <w:pPr>
        <w:pStyle w:val="null3"/>
        <w:ind w:firstLine="420"/>
        <w:jc w:val="both"/>
      </w:pPr>
      <w:r>
        <w:rPr>
          <w:sz w:val="21"/>
        </w:rPr>
        <w:t>4.</w:t>
      </w:r>
      <w:r>
        <w:rPr>
          <w:sz w:val="21"/>
        </w:rPr>
        <w:t>国家发展改革委《扎实推进项目前期工作 加快推进重大项目建设电视电话会议》</w:t>
      </w:r>
    </w:p>
    <w:p>
      <w:pPr>
        <w:pStyle w:val="null3"/>
        <w:ind w:firstLine="420"/>
        <w:jc w:val="both"/>
      </w:pPr>
      <w:r>
        <w:rPr>
          <w:sz w:val="21"/>
        </w:rPr>
        <w:t>“各级发展改革部门要充分认识扎实做好项目前期工作、加快推进重大项目建设的重要意义。加快推进重大项目建设，是扩大国内需求、稳住经济大盘的重要支撑，是优化供给结构、推动高质量发展的关键举措；扎实做好项目前期工作，是把握工程建设窗口、加快推进重大项目建设的先决条件。”</w:t>
      </w:r>
    </w:p>
    <w:p>
      <w:pPr>
        <w:pStyle w:val="null3"/>
        <w:ind w:firstLine="420"/>
        <w:jc w:val="both"/>
      </w:pPr>
      <w:r>
        <w:rPr>
          <w:sz w:val="21"/>
        </w:rPr>
        <w:t>5.</w:t>
      </w:r>
      <w:r>
        <w:rPr>
          <w:sz w:val="21"/>
        </w:rPr>
        <w:t>《国家发展改革委办公厅关于扎实推进投资项目前期工作的通知》（发改办投资〔2022〕276号）</w:t>
      </w:r>
    </w:p>
    <w:p>
      <w:pPr>
        <w:pStyle w:val="null3"/>
        <w:ind w:firstLine="420"/>
        <w:jc w:val="both"/>
      </w:pPr>
      <w:r>
        <w:rPr>
          <w:sz w:val="21"/>
        </w:rPr>
        <w:t>“各级发展改革部门要主动加强与有关行业主管部门以及自然资源、生态环境、住房城乡建设等审批部门的协调配合，推动加快办理项目用地（用海）、规划许可、环评、施工许可等审批手续。要推动投资项目在线审批监管平台与相关部门审批系统的互联互通，依托固定资产投资项目代码，及时归集投资项目审批事项办理进展、办理结果等信息，实现跨部门信息共享。</w:t>
      </w:r>
    </w:p>
    <w:p>
      <w:pPr>
        <w:pStyle w:val="null3"/>
        <w:ind w:firstLine="420"/>
        <w:jc w:val="both"/>
      </w:pPr>
      <w:r>
        <w:rPr>
          <w:sz w:val="21"/>
        </w:rPr>
        <w:t>对于符合条件、拟发行专项债券的项目，要加快完善各项前期工作。在专项债券发行安排阶段，要加强对项目前期工作情况的审核把关，确保专项债券发行后能够及时投入项目建设，尽快形成实物工作量。”</w:t>
      </w:r>
    </w:p>
    <w:p>
      <w:pPr>
        <w:pStyle w:val="null3"/>
        <w:ind w:firstLine="420"/>
        <w:jc w:val="both"/>
        <w:outlineLvl w:val="0"/>
      </w:pPr>
      <w:r>
        <w:rPr>
          <w:sz w:val="21"/>
          <w:b/>
        </w:rPr>
        <w:t>五、服务期限</w:t>
      </w:r>
    </w:p>
    <w:p>
      <w:pPr>
        <w:pStyle w:val="null3"/>
        <w:ind w:firstLine="420"/>
        <w:jc w:val="both"/>
      </w:pPr>
      <w:r>
        <w:rPr>
          <w:sz w:val="21"/>
        </w:rPr>
        <w:t>以合同签订之日为服务起始时间，服务期为24个月。其中，系统开发建设周期12个月，系统建成后运营及免费运维期12个月。</w:t>
      </w:r>
    </w:p>
    <w:p>
      <w:pPr>
        <w:pStyle w:val="null3"/>
        <w:ind w:firstLine="420"/>
        <w:jc w:val="both"/>
      </w:pPr>
      <w:r>
        <w:rPr>
          <w:sz w:val="21"/>
        </w:rPr>
        <w:t>本项目进度安排及项目里程碑计划如下：（T表示项目合同签订日期）：</w:t>
      </w:r>
    </w:p>
    <w:tbl>
      <w:tblPr>
        <w:tblW w:w="0" w:type="auto"/>
        <w:tblBorders>
          <w:top w:val="none" w:color="000000" w:sz="4"/>
          <w:left w:val="none" w:color="000000" w:sz="4"/>
          <w:bottom w:val="none" w:color="000000" w:sz="4"/>
          <w:right w:val="none" w:color="000000" w:sz="4"/>
          <w:insideH w:val="none"/>
          <w:insideV w:val="none"/>
        </w:tblBorders>
      </w:tblPr>
      <w:tblGrid>
        <w:gridCol w:w="2448"/>
        <w:gridCol w:w="4431"/>
        <w:gridCol w:w="1427"/>
      </w:tblGrid>
      <w:tr>
        <w:tc>
          <w:tcPr>
            <w:tcW w:type="dxa" w:w="2448"/>
            <w:tcBorders>
              <w:top w:val="singl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b/>
              </w:rPr>
              <w:t>工作内容</w:t>
            </w:r>
          </w:p>
        </w:tc>
        <w:tc>
          <w:tcPr>
            <w:tcW w:type="dxa" w:w="4431"/>
            <w:tcBorders>
              <w:top w:val="singl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b/>
              </w:rPr>
              <w:t>里程碑事件</w:t>
            </w:r>
          </w:p>
        </w:tc>
        <w:tc>
          <w:tcPr>
            <w:tcW w:type="dxa" w:w="1427"/>
            <w:tcBorders>
              <w:top w:val="singl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b/>
              </w:rPr>
              <w:t>时间（天）</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项目启动</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项目正式启动</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T+0</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需求调研</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调研报告</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T+15</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需求分析</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确认业务需求说明书</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T+25</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系统开发</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完成系统主体功能开发</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T+125</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功能测试</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完成主体功能测试报告</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T+145</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部署上线</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完成系统上线总结</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T+160</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系统完善和优化</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完成缺陷修复及功能优化</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T+170</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系统正式上线</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系统正式上线</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T+175</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软件系统初验</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系统初验</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T+270</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软件系统终验</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系统终验</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T+365</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项目运营及免费运维期</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项目运营及免费运维期</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T+730</w:t>
            </w:r>
          </w:p>
        </w:tc>
      </w:tr>
      <w:tr>
        <w:tc>
          <w:tcPr>
            <w:tcW w:type="dxa" w:w="2448"/>
            <w:tcBorders>
              <w:top w:val="none" w:color="000000" w:sz="4"/>
              <w:left w:val="singl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项目整体终验</w:t>
            </w:r>
          </w:p>
        </w:tc>
        <w:tc>
          <w:tcPr>
            <w:tcW w:type="dxa" w:w="4431"/>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项目终验</w:t>
            </w:r>
          </w:p>
        </w:tc>
        <w:tc>
          <w:tcPr>
            <w:tcW w:type="dxa" w:w="1427"/>
            <w:tcBorders>
              <w:top w:val="none" w:color="000000" w:sz="4"/>
              <w:left w:val="none" w:color="000000" w:sz="4"/>
              <w:bottom w:val="single" w:color="000000" w:sz="4"/>
              <w:right w:val="single" w:color="000000" w:sz="4"/>
            </w:tcBorders>
            <w:tcMar>
              <w:top w:type="dxa" w:w="60"/>
              <w:left w:type="dxa" w:w="105"/>
              <w:bottom w:type="dxa" w:w="60"/>
              <w:right w:type="dxa" w:w="105"/>
            </w:tcMar>
          </w:tcPr>
          <w:p>
            <w:pPr>
              <w:pStyle w:val="null3"/>
              <w:jc w:val="center"/>
            </w:pPr>
            <w:r>
              <w:rPr>
                <w:sz w:val="21"/>
              </w:rPr>
              <w:t>T+730</w:t>
            </w:r>
          </w:p>
        </w:tc>
      </w:tr>
    </w:tbl>
    <w:p>
      <w:pPr>
        <w:pStyle w:val="null3"/>
        <w:ind w:firstLine="420"/>
        <w:jc w:val="both"/>
        <w:outlineLvl w:val="0"/>
      </w:pPr>
      <w:r>
        <w:rPr>
          <w:sz w:val="21"/>
          <w:b/>
        </w:rPr>
        <w:t>六、服务要求</w:t>
      </w:r>
    </w:p>
    <w:p>
      <w:pPr>
        <w:pStyle w:val="null3"/>
        <w:jc w:val="both"/>
        <w:outlineLvl w:val="1"/>
      </w:pPr>
      <w:r>
        <w:rPr>
          <w:sz w:val="21"/>
          <w:b/>
        </w:rPr>
        <w:t>（一）总体要求</w:t>
      </w:r>
    </w:p>
    <w:p>
      <w:pPr>
        <w:pStyle w:val="null3"/>
        <w:ind w:firstLine="420"/>
        <w:jc w:val="both"/>
      </w:pPr>
      <w:r>
        <w:rPr>
          <w:sz w:val="21"/>
        </w:rPr>
        <w:t>1.</w:t>
      </w:r>
      <w:r>
        <w:rPr>
          <w:sz w:val="21"/>
        </w:rPr>
        <w:t>中标人需提供的服务与技术支持均基于用户方当前环境进行。</w:t>
      </w:r>
    </w:p>
    <w:p>
      <w:pPr>
        <w:pStyle w:val="null3"/>
        <w:ind w:firstLine="420"/>
        <w:jc w:val="both"/>
      </w:pPr>
      <w:r>
        <w:rPr>
          <w:sz w:val="21"/>
        </w:rPr>
        <w:t>2.</w:t>
      </w:r>
      <w:r>
        <w:rPr>
          <w:sz w:val="21"/>
        </w:rPr>
        <w:t>中标人应针对服务内容制定具体的服务方案，确保系统的正常运行。</w:t>
      </w:r>
    </w:p>
    <w:p>
      <w:pPr>
        <w:pStyle w:val="null3"/>
        <w:ind w:firstLine="420"/>
        <w:jc w:val="both"/>
      </w:pPr>
      <w:r>
        <w:rPr>
          <w:sz w:val="21"/>
        </w:rPr>
        <w:t>3.</w:t>
      </w:r>
      <w:r>
        <w:rPr>
          <w:sz w:val="21"/>
        </w:rPr>
        <w:t>中标人应当配置充足的运营团队，入驻采购人现场，为采购人提供全部工作时间内的驻场服务，保障整个系统的稳定性与安全性，在特殊业务时段按需增派工程师，保证系统稳定运行。</w:t>
      </w:r>
    </w:p>
    <w:p>
      <w:pPr>
        <w:pStyle w:val="null3"/>
        <w:ind w:firstLine="420"/>
        <w:jc w:val="both"/>
      </w:pPr>
      <w:r>
        <w:rPr>
          <w:sz w:val="21"/>
        </w:rPr>
        <w:t>4.</w:t>
      </w:r>
      <w:r>
        <w:rPr>
          <w:sz w:val="21"/>
        </w:rPr>
        <w:t>明确各服务工作人员岗位职责及工作内容，日常进行的常规工作应进行量化与考核。服务工作人员应严格遵守各项规章制度和管理规定，严格遵守信息安全保密制度。</w:t>
      </w:r>
    </w:p>
    <w:p>
      <w:pPr>
        <w:pStyle w:val="null3"/>
        <w:ind w:firstLine="420"/>
        <w:jc w:val="both"/>
      </w:pPr>
      <w:r>
        <w:rPr>
          <w:sz w:val="21"/>
        </w:rPr>
        <w:t>5.</w:t>
      </w:r>
      <w:r>
        <w:rPr>
          <w:sz w:val="21"/>
        </w:rPr>
        <w:t>中标人应对系统故障进行快速响应。第一级：重点的系统故障，现场工程师 10 分钟响应，场外技术支持小组 2 小时内到达现场。第二级：严重的系统故障，现场工程师 10 分钟响应，场外技术支持小组 3 小时到达现场。第三级：一般系统故障现场工程师 10 分钟响应并解决问题。第四级：某些功能不会使用或操作问题，现场工程师 10 分钟响应并解决问题。</w:t>
      </w:r>
    </w:p>
    <w:p>
      <w:pPr>
        <w:pStyle w:val="null3"/>
        <w:ind w:firstLine="420"/>
        <w:jc w:val="both"/>
      </w:pPr>
      <w:r>
        <w:rPr>
          <w:sz w:val="21"/>
        </w:rPr>
        <w:t>6.</w:t>
      </w:r>
      <w:r>
        <w:rPr>
          <w:sz w:val="21"/>
        </w:rPr>
        <w:t>中标人应建立用户意见反馈渠道，对用户意见有处理与解决，并通报用户，采取多种方式，与用户共同提高技术与管理水平。</w:t>
      </w:r>
    </w:p>
    <w:p>
      <w:pPr>
        <w:pStyle w:val="null3"/>
        <w:ind w:firstLine="420"/>
        <w:jc w:val="both"/>
      </w:pPr>
      <w:r>
        <w:rPr>
          <w:sz w:val="21"/>
        </w:rPr>
        <w:t>7.</w:t>
      </w:r>
      <w:r>
        <w:rPr>
          <w:sz w:val="21"/>
        </w:rPr>
        <w:t>为了确保系统开发及运行维护工作的质量，及时调整、优化项目管理工作，中标人需按用户要求对项目进展进行阶段性汇报。</w:t>
      </w:r>
    </w:p>
    <w:p>
      <w:pPr>
        <w:pStyle w:val="null3"/>
        <w:ind w:firstLine="420"/>
        <w:jc w:val="both"/>
        <w:outlineLvl w:val="1"/>
      </w:pPr>
      <w:r>
        <w:rPr>
          <w:sz w:val="21"/>
          <w:b/>
        </w:rPr>
        <w:t>（二）项目团队要求</w:t>
      </w:r>
    </w:p>
    <w:p>
      <w:pPr>
        <w:pStyle w:val="null3"/>
        <w:ind w:firstLine="420"/>
        <w:jc w:val="both"/>
      </w:pPr>
      <w:r>
        <w:rPr>
          <w:sz w:val="21"/>
        </w:rPr>
        <w:t>中标人应指派固定的团队为本项目提供专业服务，服务团队人员不得少于5人。其中应至少投入1名具有三年或以上政务信息化经验的项目经理、1名具有三年或以上政务信息化经验的技术负责人、3名具有两年或以上政务信息化经验的开发或运营人员为本项目提供专业服务，保障项目顺利开展。</w:t>
      </w:r>
    </w:p>
    <w:p>
      <w:pPr>
        <w:pStyle w:val="null3"/>
        <w:ind w:firstLine="420"/>
        <w:jc w:val="both"/>
      </w:pPr>
      <w:r>
        <w:rPr>
          <w:sz w:val="21"/>
        </w:rPr>
        <w:t>★供应商须书面承诺，如在项目实际执行过程中发生项目经理或服务团队成员不能按采购需求文件要求胜任相关工作的，采购人有权要求更换项目经理或服务团队成员，供应商必须在两周内调整为符合采购需求文件要求且能胜任相关工作的项目经理或服务团队成员并到位开展工作，否则采购人有权终止合同并报相关管理部门进行处理。（投标时提供承诺函，格式见后附）</w:t>
      </w:r>
    </w:p>
    <w:p>
      <w:pPr>
        <w:pStyle w:val="null3"/>
        <w:ind w:firstLine="420"/>
        <w:jc w:val="both"/>
      </w:pPr>
      <w:r>
        <w:rPr>
          <w:sz w:val="21"/>
        </w:rPr>
        <w:t>★供应商承诺的项目经理和服务团队成员未经采购人同意不得调整。供应商如需中途更换项目经理和服务团队成员，须书面向采购人提出申请，说明申请理由，经采购人书面同意方可调整团队人员，调入人员的资历和从业经验不低于调出人员，否则视为违约行为，采购人有权终止服务合同。（投标时提供承诺函，格式见后附）</w:t>
      </w:r>
    </w:p>
    <w:p>
      <w:pPr>
        <w:pStyle w:val="null3"/>
        <w:ind w:firstLine="420"/>
        <w:jc w:val="both"/>
        <w:outlineLvl w:val="1"/>
      </w:pPr>
      <w:r>
        <w:rPr>
          <w:sz w:val="21"/>
          <w:b/>
        </w:rPr>
        <w:t>（三）交付文档要求</w:t>
      </w:r>
    </w:p>
    <w:p>
      <w:pPr>
        <w:pStyle w:val="null3"/>
        <w:ind w:firstLine="420"/>
        <w:jc w:val="both"/>
      </w:pPr>
      <w:r>
        <w:rPr>
          <w:sz w:val="21"/>
        </w:rPr>
        <w:t>中标供应商应负责在项目用户验收前将本项目相关项目运营计划、详细的实施方案、项目服务事项、用户操作手册、项目实施中形成的其他材料、验收报告等文档汇集成册交付采购人，只有文档齐全后才予以验收。验收后，投标人按国家、省以及采购人档案管理要求，向采购人提供装订成册的纸质文档至少1套，电子文档1套，包括但不限于以下文档：</w:t>
      </w:r>
    </w:p>
    <w:p>
      <w:pPr>
        <w:pStyle w:val="null3"/>
        <w:ind w:firstLine="420"/>
        <w:jc w:val="both"/>
      </w:pPr>
      <w:r>
        <w:rPr>
          <w:sz w:val="21"/>
        </w:rPr>
        <w:t>1.</w:t>
      </w:r>
      <w:r>
        <w:rPr>
          <w:sz w:val="21"/>
        </w:rPr>
        <w:t>提供所有相关项目实施的技术文档，包括软件开发和业务运营服务。</w:t>
      </w:r>
    </w:p>
    <w:p>
      <w:pPr>
        <w:pStyle w:val="null3"/>
        <w:ind w:firstLine="420"/>
        <w:jc w:val="both"/>
      </w:pPr>
      <w:r>
        <w:rPr>
          <w:sz w:val="21"/>
        </w:rPr>
        <w:t>2.</w:t>
      </w:r>
      <w:r>
        <w:rPr>
          <w:sz w:val="21"/>
        </w:rPr>
        <w:t>项目运营管理手册、具体联系人和运营流程资料。</w:t>
      </w:r>
    </w:p>
    <w:p>
      <w:pPr>
        <w:pStyle w:val="null3"/>
        <w:ind w:firstLine="420"/>
        <w:jc w:val="both"/>
      </w:pPr>
      <w:r>
        <w:rPr>
          <w:sz w:val="21"/>
        </w:rPr>
        <w:t>3.</w:t>
      </w:r>
      <w:r>
        <w:rPr>
          <w:sz w:val="21"/>
        </w:rPr>
        <w:t>项目实施过程中形成的其他资料。</w:t>
      </w:r>
    </w:p>
    <w:p>
      <w:pPr>
        <w:pStyle w:val="null3"/>
        <w:ind w:firstLine="420"/>
        <w:jc w:val="both"/>
      </w:pPr>
      <w:r>
        <w:rPr>
          <w:sz w:val="21"/>
        </w:rPr>
        <w:t>4.</w:t>
      </w:r>
      <w:r>
        <w:rPr>
          <w:sz w:val="21"/>
        </w:rPr>
        <w:t>有效收集各项验收数据，汇总成册。</w:t>
      </w:r>
    </w:p>
    <w:p>
      <w:pPr>
        <w:pStyle w:val="null3"/>
        <w:ind w:firstLine="420"/>
        <w:jc w:val="both"/>
      </w:pPr>
      <w:r>
        <w:rPr>
          <w:sz w:val="21"/>
        </w:rPr>
        <w:t>5.</w:t>
      </w:r>
      <w:r>
        <w:rPr>
          <w:sz w:val="21"/>
        </w:rPr>
        <w:t>结合验收部门要求提供的相应文档等</w:t>
      </w:r>
    </w:p>
    <w:p>
      <w:pPr>
        <w:pStyle w:val="null3"/>
        <w:ind w:firstLine="420"/>
        <w:jc w:val="both"/>
        <w:outlineLvl w:val="1"/>
      </w:pPr>
      <w:r>
        <w:rPr>
          <w:sz w:val="21"/>
          <w:b/>
        </w:rPr>
        <w:t>（四）项目培训要求</w:t>
      </w:r>
    </w:p>
    <w:p>
      <w:pPr>
        <w:pStyle w:val="null3"/>
        <w:ind w:firstLine="420"/>
        <w:jc w:val="both"/>
      </w:pPr>
      <w:r>
        <w:rPr>
          <w:sz w:val="21"/>
        </w:rPr>
        <w:t>根据培训要求，现场项目经理需要对用户提供定期与不定期相结合、不限次数的用户培训服务。培训方式包括集中培训、一对一辅导、现场培训等。</w:t>
      </w:r>
    </w:p>
    <w:p>
      <w:pPr>
        <w:pStyle w:val="null3"/>
        <w:ind w:firstLine="420"/>
        <w:jc w:val="both"/>
        <w:outlineLvl w:val="1"/>
      </w:pPr>
      <w:r>
        <w:rPr>
          <w:sz w:val="21"/>
          <w:b/>
        </w:rPr>
        <w:t>（五）知识产权要求</w:t>
      </w:r>
    </w:p>
    <w:p>
      <w:pPr>
        <w:pStyle w:val="null3"/>
        <w:ind w:firstLine="420"/>
        <w:jc w:val="both"/>
      </w:pPr>
      <w:r>
        <w:rPr>
          <w:sz w:val="21"/>
        </w:rPr>
        <w:t>供应商应保证所提供的系统或其任何一部分均不会侵犯任何第三方的知识产权。</w:t>
      </w:r>
    </w:p>
    <w:p>
      <w:pPr>
        <w:pStyle w:val="null3"/>
        <w:ind w:firstLine="420"/>
        <w:jc w:val="both"/>
      </w:pPr>
      <w:r>
        <w:rPr>
          <w:sz w:val="21"/>
        </w:rPr>
        <w:t>本项目开发成果的知识产权归采购人所有，采购人有权在其他项目上运用该项目成果。未经采购人书面同意，供应商不得擅自扩散或提供给第三方使用。</w:t>
      </w:r>
    </w:p>
    <w:p>
      <w:pPr>
        <w:pStyle w:val="null3"/>
        <w:ind w:firstLine="420"/>
        <w:jc w:val="both"/>
      </w:pPr>
      <w:r>
        <w:rPr>
          <w:sz w:val="21"/>
        </w:rPr>
        <w:t>供应商应保证采购人在软件使用过程中，免受第三方提出的侵权起诉。如发生此类纠纷，由供应商承担一切责任并负责解决，并承担给采购方及第三方造成的一切损失（包括但不限于赔偿金、律师费、诉讼费等）。</w:t>
      </w:r>
    </w:p>
    <w:p>
      <w:pPr>
        <w:pStyle w:val="null3"/>
        <w:ind w:firstLine="420"/>
        <w:jc w:val="both"/>
        <w:outlineLvl w:val="1"/>
      </w:pPr>
      <w:r>
        <w:rPr>
          <w:sz w:val="21"/>
          <w:b/>
        </w:rPr>
        <w:t>（</w:t>
      </w:r>
      <w:r>
        <w:rPr>
          <w:sz w:val="21"/>
          <w:b/>
        </w:rPr>
        <w:t>六</w:t>
      </w:r>
      <w:r>
        <w:rPr>
          <w:sz w:val="21"/>
          <w:b/>
        </w:rPr>
        <w:t>）保密要求</w:t>
      </w:r>
    </w:p>
    <w:p>
      <w:pPr>
        <w:pStyle w:val="null3"/>
        <w:ind w:firstLine="420"/>
        <w:jc w:val="both"/>
      </w:pPr>
      <w:r>
        <w:rPr>
          <w:sz w:val="21"/>
        </w:rPr>
        <w:t>供应商对其因身份、职务、职业或技术关系而知悉的采购人工作秘密和党政机关保密信息应严格保守，保证不被披露或使用，包括意外或过失。</w:t>
      </w:r>
    </w:p>
    <w:p>
      <w:pPr>
        <w:pStyle w:val="null3"/>
        <w:ind w:firstLine="420"/>
        <w:jc w:val="both"/>
      </w:pPr>
      <w:r>
        <w:rPr>
          <w:sz w:val="21"/>
        </w:rPr>
        <w:t>供应商不得以竞争为目的、或出于私利、或为第三人谋利而擅自保存、披露、使用采购人工作秘密和党政机关保密信息；不得直接或间接地向无关人员泄露采购人的工作秘密和党政机关保密信息；不得向不承担保密义务的任何第三人披露采购人的工作秘密和党政机关保密信息。供应商在从事政府项目时，不得擅自记录、复制、拍摄、摘抄、收藏在工作中涉及的保密信息，严禁将涉及政府项目的任何资料、数据透露或以其他方式提供给项目以外的其他方或供应商内部与该项目无关的任何人员。</w:t>
      </w:r>
    </w:p>
    <w:p>
      <w:pPr>
        <w:pStyle w:val="null3"/>
        <w:ind w:firstLine="420"/>
        <w:jc w:val="both"/>
      </w:pPr>
      <w:r>
        <w:rPr>
          <w:sz w:val="21"/>
        </w:rPr>
        <w:t>供应商对于工作期间知悉采购人的工作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rPr>
        <w:t>严禁泄露在工作中接触到的政府机关科技研究、发明、装备器材及其技术资料和政府工作信息。</w:t>
      </w:r>
    </w:p>
    <w:p>
      <w:pPr>
        <w:pStyle w:val="null3"/>
        <w:ind w:firstLine="420"/>
        <w:jc w:val="both"/>
        <w:outlineLvl w:val="1"/>
      </w:pPr>
      <w:r>
        <w:rPr>
          <w:sz w:val="21"/>
          <w:b/>
        </w:rPr>
        <w:t>（</w:t>
      </w:r>
      <w:r>
        <w:rPr>
          <w:sz w:val="21"/>
          <w:b/>
        </w:rPr>
        <w:t>七</w:t>
      </w:r>
      <w:r>
        <w:rPr>
          <w:sz w:val="21"/>
          <w:b/>
        </w:rPr>
        <w:t>）验收要求</w:t>
      </w:r>
    </w:p>
    <w:p>
      <w:pPr>
        <w:pStyle w:val="null3"/>
        <w:ind w:firstLine="420"/>
        <w:jc w:val="both"/>
      </w:pPr>
      <w:r>
        <w:rPr>
          <w:sz w:val="21"/>
        </w:rPr>
        <w:t>由中标人向采购人提交验收申请。由采购人组织项目验收工作开展，验收小组由采购人、监理、中标人三方共同组成。验收由采购人根据中标人提供验收交付物，参照本项目《合同书》要求完成相关服务，对项目实施成果进行验收。具体验收工作将视项目实施进度，按照政府采购相关验收管理规定实行。</w:t>
      </w:r>
    </w:p>
    <w:p>
      <w:pPr>
        <w:pStyle w:val="null3"/>
        <w:ind w:firstLine="420"/>
        <w:jc w:val="both"/>
        <w:outlineLvl w:val="0"/>
      </w:pPr>
      <w:r>
        <w:rPr>
          <w:sz w:val="21"/>
          <w:b/>
        </w:rPr>
        <w:t>七、付款方式</w:t>
      </w:r>
    </w:p>
    <w:p>
      <w:pPr>
        <w:pStyle w:val="null3"/>
        <w:ind w:firstLine="420"/>
        <w:jc w:val="both"/>
      </w:pPr>
      <w:r>
        <w:rPr>
          <w:sz w:val="21"/>
        </w:rPr>
        <w:t>本项目计划分3期支付，具体支付方式和时间如下：</w:t>
      </w:r>
    </w:p>
    <w:p>
      <w:pPr>
        <w:pStyle w:val="null3"/>
        <w:ind w:firstLine="420"/>
        <w:jc w:val="both"/>
      </w:pPr>
      <w:r>
        <w:rPr>
          <w:sz w:val="21"/>
        </w:rPr>
        <w:t>（1）本合同签署生效后15个工作日内，中标人书面提出支付申请函及拟支付金额等额的符合采购人财务管理要求的相应发票，采购人确认后启动首期款支付流程，占合同总金额的30%。</w:t>
      </w:r>
    </w:p>
    <w:p>
      <w:pPr>
        <w:pStyle w:val="null3"/>
        <w:ind w:firstLine="420"/>
        <w:jc w:val="both"/>
      </w:pPr>
      <w:r>
        <w:rPr>
          <w:sz w:val="21"/>
        </w:rPr>
        <w:t>（2）项目通过软件系统终验后15个工作日内，中标人书面提出支付申请函及拟支付金额等额的符合采购人财务管理要求的相应发票，采购人确认后启动进度款支付流程，占合同总金额的40%。</w:t>
      </w:r>
    </w:p>
    <w:p>
      <w:pPr>
        <w:pStyle w:val="null3"/>
        <w:ind w:firstLine="420"/>
        <w:jc w:val="both"/>
      </w:pPr>
      <w:r>
        <w:rPr>
          <w:sz w:val="21"/>
        </w:rPr>
        <w:t>（3）项目通过整体终验后15个工作日内，中标人书面提出支付申请函及拟支付金额等额的符合采购人财务管理要求的相应发票，采购人确认后启动尾款支付流程，占合同总金额的30%。</w:t>
      </w:r>
    </w:p>
    <w:p>
      <w:pPr>
        <w:pStyle w:val="null3"/>
        <w:jc w:val="both"/>
      </w:pPr>
      <w:r>
        <w:rPr>
          <w:sz w:val="21"/>
        </w:rPr>
        <w:t xml:space="preserve"> </w:t>
      </w:r>
    </w:p>
    <w:p>
      <w:pPr>
        <w:pStyle w:val="null3"/>
        <w:jc w:val="both"/>
        <w:outlineLvl w:val="0"/>
      </w:pPr>
      <w:r>
        <w:rPr>
          <w:sz w:val="21"/>
          <w:b/>
        </w:rPr>
        <w:t>八、现场演示</w:t>
      </w:r>
    </w:p>
    <w:p>
      <w:pPr>
        <w:pStyle w:val="null3"/>
        <w:ind w:firstLine="420"/>
        <w:jc w:val="both"/>
      </w:pPr>
      <w:r>
        <w:rPr>
          <w:sz w:val="21"/>
        </w:rPr>
        <w:t>（一）本项目由有效投标人于评标过程中进行现场演示（演示方式包括但不限于系统、原型文件、ppt、音频、视频），请投标人自行准备相关演示资料。演示内容如下：</w:t>
      </w:r>
    </w:p>
    <w:p>
      <w:pPr>
        <w:pStyle w:val="null3"/>
        <w:ind w:firstLine="420"/>
        <w:jc w:val="both"/>
      </w:pPr>
      <w:r>
        <w:rPr>
          <w:sz w:val="21"/>
        </w:rPr>
        <w:t>1</w:t>
      </w:r>
      <w:r>
        <w:rPr>
          <w:sz w:val="21"/>
        </w:rPr>
        <w:t>）演示“重大项目分析”模块，需多维度展示重大项目总体情况、重大项目进展情况、重大项目协调调度情况。</w:t>
      </w:r>
    </w:p>
    <w:p>
      <w:pPr>
        <w:pStyle w:val="null3"/>
        <w:ind w:firstLine="420"/>
        <w:jc w:val="both"/>
      </w:pPr>
      <w:r>
        <w:rPr>
          <w:sz w:val="21"/>
        </w:rPr>
        <w:t>2</w:t>
      </w:r>
      <w:r>
        <w:rPr>
          <w:sz w:val="21"/>
        </w:rPr>
        <w:t>）演示“待办任务”模块，需展示流程工期相关任务、项目调度相关任务、项目预警相关任务、问题反馈相关任务。</w:t>
      </w:r>
    </w:p>
    <w:p>
      <w:pPr>
        <w:pStyle w:val="null3"/>
        <w:ind w:firstLine="420"/>
        <w:jc w:val="both"/>
      </w:pPr>
      <w:r>
        <w:rPr>
          <w:sz w:val="21"/>
        </w:rPr>
        <w:t>3</w:t>
      </w:r>
      <w:r>
        <w:rPr>
          <w:sz w:val="21"/>
        </w:rPr>
        <w:t>）演示“项目配置”功能，对重大项目从调入、分配机构、制定编制任务、流程工期编制、发起评审会议、流程工期审核的过程进行展示；对7大行业流程工期图进行展示。</w:t>
      </w:r>
    </w:p>
    <w:p>
      <w:pPr>
        <w:pStyle w:val="null3"/>
        <w:ind w:firstLine="420"/>
        <w:jc w:val="both"/>
      </w:pPr>
      <w:r>
        <w:rPr>
          <w:sz w:val="21"/>
        </w:rPr>
        <w:t>4</w:t>
      </w:r>
      <w:r>
        <w:rPr>
          <w:sz w:val="21"/>
        </w:rPr>
        <w:t>）演示“进度跟踪”功能，对重大项目进度反馈、指导完善的过程进行展示。</w:t>
      </w:r>
    </w:p>
    <w:p>
      <w:pPr>
        <w:pStyle w:val="null3"/>
        <w:ind w:firstLine="420"/>
        <w:jc w:val="both"/>
      </w:pPr>
      <w:r>
        <w:rPr>
          <w:sz w:val="21"/>
        </w:rPr>
        <w:t>5</w:t>
      </w:r>
      <w:r>
        <w:rPr>
          <w:sz w:val="21"/>
        </w:rPr>
        <w:t>）演示“诊断监测”功能，包括重大项目预警情况、诊断报告详情、问题台账列表。</w:t>
      </w:r>
    </w:p>
    <w:p>
      <w:pPr>
        <w:pStyle w:val="null3"/>
        <w:ind w:firstLine="420"/>
        <w:jc w:val="both"/>
      </w:pPr>
      <w:r>
        <w:rPr>
          <w:sz w:val="21"/>
        </w:rPr>
        <w:t>6</w:t>
      </w:r>
      <w:r>
        <w:rPr>
          <w:sz w:val="21"/>
        </w:rPr>
        <w:t>）演示“项目调度”功能，对重大项目发起调度、核实、确认、协调、落实的过程进行展示。</w:t>
      </w:r>
    </w:p>
    <w:p>
      <w:pPr>
        <w:pStyle w:val="null3"/>
        <w:ind w:firstLine="420"/>
        <w:jc w:val="both"/>
      </w:pPr>
      <w:r>
        <w:rPr>
          <w:sz w:val="21"/>
        </w:rPr>
        <w:t>7</w:t>
      </w:r>
      <w:r>
        <w:rPr>
          <w:sz w:val="21"/>
        </w:rPr>
        <w:t>）演示“问题直通车”功能，对问题反馈、核实、确认、协调、落实的过程进行展示。</w:t>
      </w:r>
    </w:p>
    <w:p>
      <w:pPr>
        <w:pStyle w:val="null3"/>
        <w:ind w:firstLine="420"/>
        <w:jc w:val="both"/>
      </w:pPr>
      <w:r>
        <w:rPr>
          <w:sz w:val="21"/>
        </w:rPr>
        <w:t>8</w:t>
      </w:r>
      <w:r>
        <w:rPr>
          <w:sz w:val="21"/>
        </w:rPr>
        <w:t>）演示“第三方机构管理”功能，对第三方机构入驻申请、审核的过程进行展示。</w:t>
      </w:r>
    </w:p>
    <w:p>
      <w:pPr>
        <w:pStyle w:val="null3"/>
        <w:ind w:firstLine="420"/>
        <w:jc w:val="both"/>
      </w:pPr>
      <w:r>
        <w:rPr>
          <w:sz w:val="21"/>
        </w:rPr>
        <w:t>（二）现场演示人员须凭身份证原件参加，人数不超过3人，人员须为项目团队成员。</w:t>
      </w:r>
    </w:p>
    <w:p>
      <w:pPr>
        <w:pStyle w:val="null3"/>
        <w:ind w:firstLine="420"/>
        <w:jc w:val="both"/>
      </w:pPr>
      <w:r>
        <w:rPr>
          <w:sz w:val="21"/>
        </w:rPr>
        <w:t>（三）如现场演示过程中需要用到电脑等设备（设备不能共用），请投标人自带，评标现场仅提供电源和投影设备。</w:t>
      </w:r>
    </w:p>
    <w:p>
      <w:pPr>
        <w:pStyle w:val="null3"/>
        <w:ind w:firstLine="420"/>
        <w:jc w:val="both"/>
      </w:pPr>
      <w:r>
        <w:rPr>
          <w:sz w:val="21"/>
        </w:rPr>
        <w:t>（四）现场演示时间控制在15分钟内。</w:t>
      </w:r>
    </w:p>
    <w:p>
      <w:pPr>
        <w:pStyle w:val="null3"/>
        <w:ind w:firstLine="420"/>
        <w:jc w:val="both"/>
      </w:pPr>
      <w:r>
        <w:rPr>
          <w:sz w:val="21"/>
        </w:rPr>
        <w:t>（五）</w:t>
      </w:r>
      <w:r>
        <w:rPr>
          <w:sz w:val="21"/>
        </w:rPr>
        <w:t>现场演示</w:t>
      </w:r>
      <w:r>
        <w:rPr>
          <w:sz w:val="21"/>
        </w:rPr>
        <w:t>流程要求：演示顺序在本项目进入开标流程后根据工作人员安排指引现场抽签确定（如</w:t>
      </w:r>
      <w:r>
        <w:rPr>
          <w:sz w:val="21"/>
        </w:rPr>
        <w:t>放弃抽签，视为放弃演示</w:t>
      </w:r>
      <w:r>
        <w:rPr>
          <w:sz w:val="21"/>
        </w:rPr>
        <w:t>），顺序确定后投标人即可按照现场工作人员指引，到指定地点等候。演示期间，不得谈及与项目或提问无关的内容，严禁以任何形式向评标委员会明示或暗示任何影响公正评审的内容，否则一经发现将依法处理。评审现场仅提供电源及投影设备（VGA接口），其他演示需要的延长插座、设备及网络条件等请供应商自行准备。所有自带设备演示结束后随即撤回。</w:t>
      </w:r>
    </w:p>
    <w:p>
      <w:pPr>
        <w:pStyle w:val="null3"/>
        <w:ind w:firstLine="420"/>
        <w:jc w:val="both"/>
      </w:pPr>
      <w:r>
        <w:rPr>
          <w:sz w:val="21"/>
        </w:rPr>
        <w:t>现场讲解时间、地点：同开标时间、地点。</w:t>
      </w:r>
    </w:p>
    <w:p>
      <w:pPr>
        <w:pStyle w:val="null3"/>
      </w:pPr>
      <w:r>
        <w:rPr>
          <w:sz w:val="21"/>
          <w:b/>
        </w:rPr>
        <w:t>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t>采购包1（省发展改革委重大项目前期工作服务系统开发和运营（2024年）项目软件开发服务与系统业务运营服务）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以合同签订之日为服务起始时间，服务期为24个月。</w:t>
            </w:r>
          </w:p>
        </w:tc>
      </w:tr>
      <w:tr>
        <w:tc>
          <w:tcPr>
            <w:tcW w:type="dxa" w:w="4153"/>
          </w:tcPr>
          <w:p>
            <w:pPr>
              <w:pStyle w:val="null3"/>
            </w:pPr>
            <w:r>
              <w:rPr/>
              <w:t>标的提供的地点</w:t>
            </w:r>
          </w:p>
        </w:tc>
        <w:tc>
          <w:tcPr>
            <w:tcW w:type="dxa" w:w="4153"/>
          </w:tcPr>
          <w:p>
            <w:pPr>
              <w:pStyle w:val="null3"/>
            </w:pPr>
            <w:r>
              <w:rPr/>
              <w:t>广东省内。</w:t>
            </w:r>
          </w:p>
        </w:tc>
      </w:tr>
      <w:tr>
        <w:tc>
          <w:tcPr>
            <w:tcW w:type="dxa" w:w="4153"/>
          </w:tcPr>
          <w:p>
            <w:pPr>
              <w:pStyle w:val="null3"/>
            </w:pPr>
            <w:r>
              <w:rPr/>
              <w:t>付款方式</w:t>
            </w:r>
          </w:p>
        </w:tc>
        <w:tc>
          <w:tcPr>
            <w:tcW w:type="dxa" w:w="4153"/>
          </w:tcPr>
          <w:p>
            <w:pPr>
              <w:pStyle w:val="null3"/>
            </w:pPr>
            <w:r>
              <w:rPr/>
              <w:t>1期：支付比例30%,本合同签署生效后15个工作日内，中标人书面提出支付申请函及拟支付金额等额的符合采购人财务管理要求的相应发票，采购人确认后启动首期款支付流程，占合同总金额的30%。</w:t>
            </w:r>
          </w:p>
          <w:p>
            <w:pPr>
              <w:pStyle w:val="null3"/>
            </w:pPr>
            <w:r>
              <w:rPr/>
              <w:t>2期：支付比例40%,项目通过软件系统终验后15个工作日内，中标人书面提出支付申请函及拟支付金额等额的符合采购人财务管理要求的相应发票，采购人确认后启动进度款支付流程，占合同总金额的40%。</w:t>
            </w:r>
          </w:p>
          <w:p>
            <w:pPr>
              <w:pStyle w:val="null3"/>
            </w:pPr>
            <w:r>
              <w:rPr/>
              <w:t>3期：支付比例30%,项目通过整体终验后15个工作日内，中标人书面提出支付申请函及拟支付金额等额的符合采购人财务管理要求的相应发票，采购人确认后启动尾款支付流程，占合同总金额的30%。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1期：见需求书“（七）验收要求”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软件开发服务、系统业务运营服务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5,546,200.00</w:t>
            </w:r>
          </w:p>
        </w:tc>
        <w:tc>
          <w:tcPr>
            <w:tcW w:type="dxa" w:w="933"/>
          </w:tcPr>
          <w:p>
            <w:pPr>
              <w:pStyle w:val="null3"/>
              <w:jc w:val="right"/>
            </w:pPr>
            <w:r>
              <w:rPr/>
              <w:t>5,546,200.00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软件开发服务、系统业务运营服务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rPr>
              <w:t>★投标人须承诺本项目使用到的所有软件，均拥有合法使用权，如发生任何软件产权、使用纠纷等问题，由投标人一方独立承担相关责任。（提交承诺函，格式见后附）</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供应商须书面承诺，如在项目实际执行过程中发生项目经理或服务团队成员不能按采购需求文件要求胜任相关工作的，采购人有权要求更换项目经理或服务团队成员，供应商必须在两周内调整为符合采购需求文件要求且能胜任相关工作的项目经理或服务团队成员并到位开展工作，否则采购人有权终止合同并报相关管理部门进行处理。（投标时提供承诺函，格式见后附）</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供应商承诺的项目经理和服务团队成员未经采购人同意不得调整。供应商如需中途更换项目经理和服务团队成员，须书面向采购人提出申请，说明申请理由，经采购人书面同意方可调整团队人员，调入人员的资历和从业经验不低于调出人员，否则视为违约行为，采购人有权终止服务合同。（投标时提供承诺函，格式见后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广东省投资和信用中心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发展改革委重大项目前期工作服务系统开发和运营（2024年）项目软件开发服务与系统业务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采购包1（省发展改革委重大项目前期工作服务系统开发和运营（2024年）项目软件开发服务与系统业务运营服务）：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采购包1（省发展改革委重大项目前期工作服务系统开发和运营（2024年）项目软件开发服务与系统业务运营服务）：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3种证明材料之一：①提供相关承诺；②2022或2023年度经会计师事务所审计的财务状况报告；③基本开户行出具的资信证明和《基本存款账号信息》）。</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是符合本项目采购标的对应行业（本项目行业为：软件和信息技术服务业）的政策划分标准的中小企业。监狱企业、残疾人福利单位视同小型、微型企业。（注：中小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采购包1（省发展改革委重大项目前期工作服务系统开发和运营（2024年）项目软件开发服务与系统业务运营服务）：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分项（阶段）报价未超分项（阶段）采购预算。如果评标委员会认为投标人的报价明显低于其他通过符合性审查的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采购包1(省发展改革委重大项目前期工作服务系统开发和运营（2024年）项目软件开发服务与系统业务运营服务):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项目理解和分析1 (0.5分)</w:t>
            </w:r>
            <w:r>
              <w:rPr/>
              <w:t>，（等次分值选择：</w:t>
            </w:r>
            <w:r>
              <w:rPr/>
              <w:t>0.0;</w:t>
            </w:r>
            <w:r>
              <w:rPr/>
              <w:t>0.1;</w:t>
            </w:r>
            <w:r>
              <w:rPr/>
              <w:t>0.2;</w:t>
            </w:r>
            <w:r>
              <w:rPr/>
              <w:t>0.5;</w:t>
            </w:r>
            <w:r>
              <w:rPr/>
              <w:t>）</w:t>
            </w:r>
          </w:p>
        </w:tc>
        <w:tc>
          <w:tcPr>
            <w:tcW w:type="dxa" w:w="5076"/>
          </w:tcPr>
          <w:p>
            <w:pPr>
              <w:pStyle w:val="null3"/>
              <w:jc w:val="left"/>
            </w:pPr>
            <w:r>
              <w:rPr/>
              <w:t>根据投标人针对项目建设内容所提供的理解和分析进行评价： 投标人对“重大项目分析”模块需求分析理解准确，能提出合理的建设思路， 完全满足且优于项目需求的，得0.5分； 完全满足项目需求的，得0.2分； 不完全满足项目需求的，得0.1分； 其他情况得0分。</w:t>
            </w:r>
          </w:p>
        </w:tc>
      </w:tr>
      <w:tr>
        <w:tc>
          <w:tcPr>
            <w:tcW w:type="dxa" w:w="922"/>
            <w:gridSpan w:val="2"/>
            <w:vMerge/>
          </w:tcPr>
          <w:p/>
        </w:tc>
        <w:tc>
          <w:tcPr>
            <w:tcW w:type="dxa" w:w="2307"/>
          </w:tcPr>
          <w:p>
            <w:pPr>
              <w:pStyle w:val="null3"/>
              <w:jc w:val="left"/>
            </w:pPr>
            <w:r>
              <w:rPr/>
              <w:t>项目理解和分析2 (0.5分)</w:t>
            </w:r>
            <w:r>
              <w:rPr/>
              <w:t>，（等次分值选择：</w:t>
            </w:r>
            <w:r>
              <w:rPr/>
              <w:t>0.0;</w:t>
            </w:r>
            <w:r>
              <w:rPr/>
              <w:t>0.1;</w:t>
            </w:r>
            <w:r>
              <w:rPr/>
              <w:t>0.2;</w:t>
            </w:r>
            <w:r>
              <w:rPr/>
              <w:t>0.5;</w:t>
            </w:r>
            <w:r>
              <w:rPr/>
              <w:t>）</w:t>
            </w:r>
          </w:p>
        </w:tc>
        <w:tc>
          <w:tcPr>
            <w:tcW w:type="dxa" w:w="5076"/>
          </w:tcPr>
          <w:p>
            <w:pPr>
              <w:pStyle w:val="null3"/>
              <w:jc w:val="left"/>
            </w:pPr>
            <w:r>
              <w:rPr/>
              <w:t>投标人对“待办任务”模块需求分析理解准确，能提出合理的建设思路， 完全满足且优于项目需求的，得0.5分； 完全满足项目需求的，得0.2分； 不完全满足项目需求的，得0.1分； 其他情况得0分。</w:t>
            </w:r>
          </w:p>
        </w:tc>
      </w:tr>
      <w:tr>
        <w:tc>
          <w:tcPr>
            <w:tcW w:type="dxa" w:w="922"/>
            <w:gridSpan w:val="2"/>
            <w:vMerge/>
          </w:tcPr>
          <w:p/>
        </w:tc>
        <w:tc>
          <w:tcPr>
            <w:tcW w:type="dxa" w:w="2307"/>
          </w:tcPr>
          <w:p>
            <w:pPr>
              <w:pStyle w:val="null3"/>
              <w:jc w:val="left"/>
            </w:pPr>
            <w:r>
              <w:rPr/>
              <w:t>项目理解和分析3 (2.0分)</w:t>
            </w:r>
            <w:r>
              <w:rPr/>
              <w:t>，（等次分值选择：</w:t>
            </w:r>
            <w:r>
              <w:rPr/>
              <w:t>0.0;</w:t>
            </w:r>
            <w:r>
              <w:rPr/>
              <w:t>0.5;</w:t>
            </w:r>
            <w:r>
              <w:rPr/>
              <w:t>1.0;</w:t>
            </w:r>
            <w:r>
              <w:rPr/>
              <w:t>2.0;</w:t>
            </w:r>
            <w:r>
              <w:rPr/>
              <w:t>）</w:t>
            </w:r>
          </w:p>
        </w:tc>
        <w:tc>
          <w:tcPr>
            <w:tcW w:type="dxa" w:w="5076"/>
          </w:tcPr>
          <w:p>
            <w:pPr>
              <w:pStyle w:val="null3"/>
              <w:jc w:val="left"/>
            </w:pPr>
            <w:r>
              <w:rPr/>
              <w:t>投标人对“项目配置”模块需求分析理解准确，能提出合理的建设思路， 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项目理解和分析4 (1.0分)</w:t>
            </w:r>
            <w:r>
              <w:rPr/>
              <w:t>，（等次分值选择：</w:t>
            </w:r>
            <w:r>
              <w:rPr/>
              <w:t>0.0;</w:t>
            </w:r>
            <w:r>
              <w:rPr/>
              <w:t>0.2;</w:t>
            </w:r>
            <w:r>
              <w:rPr/>
              <w:t>0.5;</w:t>
            </w:r>
            <w:r>
              <w:rPr/>
              <w:t>1.0;</w:t>
            </w:r>
            <w:r>
              <w:rPr/>
              <w:t>）</w:t>
            </w:r>
          </w:p>
        </w:tc>
        <w:tc>
          <w:tcPr>
            <w:tcW w:type="dxa" w:w="5076"/>
          </w:tcPr>
          <w:p>
            <w:pPr>
              <w:pStyle w:val="null3"/>
              <w:jc w:val="left"/>
            </w:pPr>
            <w:r>
              <w:rPr/>
              <w:t>投标人对“进度跟踪”模块需求分析理解准确，能提出合理的建设思路，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项目理解和分析5 (1.0分)</w:t>
            </w:r>
            <w:r>
              <w:rPr/>
              <w:t>，（等次分值选择：</w:t>
            </w:r>
            <w:r>
              <w:rPr/>
              <w:t>0.0;</w:t>
            </w:r>
            <w:r>
              <w:rPr/>
              <w:t>0.2;</w:t>
            </w:r>
            <w:r>
              <w:rPr/>
              <w:t>0.5;</w:t>
            </w:r>
            <w:r>
              <w:rPr/>
              <w:t>1.0;</w:t>
            </w:r>
            <w:r>
              <w:rPr/>
              <w:t>）</w:t>
            </w:r>
          </w:p>
        </w:tc>
        <w:tc>
          <w:tcPr>
            <w:tcW w:type="dxa" w:w="5076"/>
          </w:tcPr>
          <w:p>
            <w:pPr>
              <w:pStyle w:val="null3"/>
              <w:jc w:val="left"/>
            </w:pPr>
            <w:r>
              <w:rPr/>
              <w:t>投标人对“诊断监测”模块需求分析理解准确，能提出合理的建设思路，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项目理解和分析6 (2.0分)</w:t>
            </w:r>
            <w:r>
              <w:rPr/>
              <w:t>，（等次分值选择：</w:t>
            </w:r>
            <w:r>
              <w:rPr/>
              <w:t>0.0;</w:t>
            </w:r>
            <w:r>
              <w:rPr/>
              <w:t>0.5;</w:t>
            </w:r>
            <w:r>
              <w:rPr/>
              <w:t>1.0;</w:t>
            </w:r>
            <w:r>
              <w:rPr/>
              <w:t>2.0;</w:t>
            </w:r>
            <w:r>
              <w:rPr/>
              <w:t>）</w:t>
            </w:r>
          </w:p>
        </w:tc>
        <w:tc>
          <w:tcPr>
            <w:tcW w:type="dxa" w:w="5076"/>
          </w:tcPr>
          <w:p>
            <w:pPr>
              <w:pStyle w:val="null3"/>
              <w:jc w:val="left"/>
            </w:pPr>
            <w:r>
              <w:rPr/>
              <w:t>投标人对“项目调度”模块需求分析理解准确，能提出合理的建设思路， 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项目理解和分析7 (1.0分)</w:t>
            </w:r>
            <w:r>
              <w:rPr/>
              <w:t>，（等次分值选择：</w:t>
            </w:r>
            <w:r>
              <w:rPr/>
              <w:t>0.0;</w:t>
            </w:r>
            <w:r>
              <w:rPr/>
              <w:t>0.2;</w:t>
            </w:r>
            <w:r>
              <w:rPr/>
              <w:t>0.5;</w:t>
            </w:r>
            <w:r>
              <w:rPr/>
              <w:t>1.0;</w:t>
            </w:r>
            <w:r>
              <w:rPr/>
              <w:t>）</w:t>
            </w:r>
          </w:p>
        </w:tc>
        <w:tc>
          <w:tcPr>
            <w:tcW w:type="dxa" w:w="5076"/>
          </w:tcPr>
          <w:p>
            <w:pPr>
              <w:pStyle w:val="null3"/>
              <w:jc w:val="left"/>
            </w:pPr>
            <w:r>
              <w:rPr/>
              <w:t>投标人对“问题直通车”模块需求分析理解准确， 能提出合理的建设思路，完全满足且优于项目需求的，得1分；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项目理解和分析8 (0.5分)</w:t>
            </w:r>
            <w:r>
              <w:rPr/>
              <w:t>，（等次分值选择：</w:t>
            </w:r>
            <w:r>
              <w:rPr/>
              <w:t>0.0;</w:t>
            </w:r>
            <w:r>
              <w:rPr/>
              <w:t>0.1;</w:t>
            </w:r>
            <w:r>
              <w:rPr/>
              <w:t>0.2;</w:t>
            </w:r>
            <w:r>
              <w:rPr/>
              <w:t>0.5;</w:t>
            </w:r>
            <w:r>
              <w:rPr/>
              <w:t>）</w:t>
            </w:r>
          </w:p>
        </w:tc>
        <w:tc>
          <w:tcPr>
            <w:tcW w:type="dxa" w:w="5076"/>
          </w:tcPr>
          <w:p>
            <w:pPr>
              <w:pStyle w:val="null3"/>
              <w:jc w:val="left"/>
            </w:pPr>
            <w:r>
              <w:rPr/>
              <w:t>投标人对“第三方机构管理”模块需求分析理解准确，能提出合理的建设思路， 完全满足且优于项目需求的，得0.5分； 完全满足项目需求的，得0.2分； 不完全满足项目需求的，得0.1分； 其他情况得0分。</w:t>
            </w:r>
          </w:p>
        </w:tc>
      </w:tr>
      <w:tr>
        <w:tc>
          <w:tcPr>
            <w:tcW w:type="dxa" w:w="922"/>
            <w:gridSpan w:val="2"/>
            <w:vMerge/>
          </w:tcPr>
          <w:p/>
        </w:tc>
        <w:tc>
          <w:tcPr>
            <w:tcW w:type="dxa" w:w="2307"/>
          </w:tcPr>
          <w:p>
            <w:pPr>
              <w:pStyle w:val="null3"/>
              <w:jc w:val="left"/>
            </w:pPr>
            <w:r>
              <w:rPr/>
              <w:t>项目理解和分析9 (0.5分)</w:t>
            </w:r>
            <w:r>
              <w:rPr/>
              <w:t>，（等次分值选择：</w:t>
            </w:r>
            <w:r>
              <w:rPr/>
              <w:t>0.0;</w:t>
            </w:r>
            <w:r>
              <w:rPr/>
              <w:t>0.1;</w:t>
            </w:r>
            <w:r>
              <w:rPr/>
              <w:t>0.2;</w:t>
            </w:r>
            <w:r>
              <w:rPr/>
              <w:t>0.5;</w:t>
            </w:r>
            <w:r>
              <w:rPr/>
              <w:t>）</w:t>
            </w:r>
          </w:p>
        </w:tc>
        <w:tc>
          <w:tcPr>
            <w:tcW w:type="dxa" w:w="5076"/>
          </w:tcPr>
          <w:p>
            <w:pPr>
              <w:pStyle w:val="null3"/>
              <w:jc w:val="left"/>
            </w:pPr>
            <w:r>
              <w:rPr/>
              <w:t>投标人对“粤投资”（粤政易app端）“专班项目”专区模块需求分析理解准确， 能提出合理的建设思路，完全满足且优于项目需求的，得0.5分； 完全满足项目需求的，得0.2分； 不完全满足项目需求的，得0.1分； 其他情况得0分。</w:t>
            </w:r>
          </w:p>
        </w:tc>
      </w:tr>
      <w:tr>
        <w:tc>
          <w:tcPr>
            <w:tcW w:type="dxa" w:w="922"/>
            <w:gridSpan w:val="2"/>
            <w:vMerge/>
          </w:tcPr>
          <w:p/>
        </w:tc>
        <w:tc>
          <w:tcPr>
            <w:tcW w:type="dxa" w:w="2307"/>
          </w:tcPr>
          <w:p>
            <w:pPr>
              <w:pStyle w:val="null3"/>
              <w:jc w:val="left"/>
            </w:pPr>
            <w:r>
              <w:rPr/>
              <w:t>项目理解和分析10 (1.0分)</w:t>
            </w:r>
            <w:r>
              <w:rPr/>
              <w:t>，（等次分值选择：</w:t>
            </w:r>
            <w:r>
              <w:rPr/>
              <w:t>0.0;</w:t>
            </w:r>
            <w:r>
              <w:rPr/>
              <w:t>0.2;</w:t>
            </w:r>
            <w:r>
              <w:rPr/>
              <w:t>0.5;</w:t>
            </w:r>
            <w:r>
              <w:rPr/>
              <w:t>1.0;</w:t>
            </w:r>
            <w:r>
              <w:rPr/>
              <w:t>）</w:t>
            </w:r>
          </w:p>
        </w:tc>
        <w:tc>
          <w:tcPr>
            <w:tcW w:type="dxa" w:w="5076"/>
          </w:tcPr>
          <w:p>
            <w:pPr>
              <w:pStyle w:val="null3"/>
              <w:jc w:val="left"/>
            </w:pPr>
            <w:r>
              <w:rPr/>
              <w:t>投标人对业务管理运营服务需求分析理解准确，能提出合理的服务思路，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项目理解和分析11 (1.0分)</w:t>
            </w:r>
            <w:r>
              <w:rPr/>
              <w:t>，（等次分值选择：</w:t>
            </w:r>
            <w:r>
              <w:rPr/>
              <w:t>0.0;</w:t>
            </w:r>
            <w:r>
              <w:rPr/>
              <w:t>0.2;</w:t>
            </w:r>
            <w:r>
              <w:rPr/>
              <w:t>0.5;</w:t>
            </w:r>
            <w:r>
              <w:rPr/>
              <w:t>1.0;</w:t>
            </w:r>
            <w:r>
              <w:rPr/>
              <w:t>）</w:t>
            </w:r>
          </w:p>
        </w:tc>
        <w:tc>
          <w:tcPr>
            <w:tcW w:type="dxa" w:w="5076"/>
          </w:tcPr>
          <w:p>
            <w:pPr>
              <w:pStyle w:val="null3"/>
              <w:jc w:val="left"/>
            </w:pPr>
            <w:r>
              <w:rPr/>
              <w:t>投标人对数据处理运营服务需求分析理解准确，能提出合理的服务思路，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项目理解和分析12 (1.0分)</w:t>
            </w:r>
            <w:r>
              <w:rPr/>
              <w:t>，（等次分值选择：</w:t>
            </w:r>
            <w:r>
              <w:rPr/>
              <w:t>0.0;</w:t>
            </w:r>
            <w:r>
              <w:rPr/>
              <w:t>0.2;</w:t>
            </w:r>
            <w:r>
              <w:rPr/>
              <w:t>0.5;</w:t>
            </w:r>
            <w:r>
              <w:rPr/>
              <w:t>1.0;</w:t>
            </w:r>
            <w:r>
              <w:rPr/>
              <w:t>）</w:t>
            </w:r>
          </w:p>
        </w:tc>
        <w:tc>
          <w:tcPr>
            <w:tcW w:type="dxa" w:w="5076"/>
          </w:tcPr>
          <w:p>
            <w:pPr>
              <w:pStyle w:val="null3"/>
              <w:jc w:val="left"/>
            </w:pPr>
            <w:r>
              <w:rPr/>
              <w:t>投标人对其他业务运营服务需求分析理解准确，能提出合理的服务思路，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系统开发设计方案1 (1.0分)</w:t>
            </w:r>
            <w:r>
              <w:rPr/>
              <w:t>，（等次分值选择：</w:t>
            </w:r>
            <w:r>
              <w:rPr/>
              <w:t>0.0;</w:t>
            </w:r>
            <w:r>
              <w:rPr/>
              <w:t>0.2;</w:t>
            </w:r>
            <w:r>
              <w:rPr/>
              <w:t>0.5;</w:t>
            </w:r>
            <w:r>
              <w:rPr/>
              <w:t>1.0;</w:t>
            </w:r>
            <w:r>
              <w:rPr/>
              <w:t>）</w:t>
            </w:r>
          </w:p>
        </w:tc>
        <w:tc>
          <w:tcPr>
            <w:tcW w:type="dxa" w:w="5076"/>
          </w:tcPr>
          <w:p>
            <w:pPr>
              <w:pStyle w:val="null3"/>
              <w:jc w:val="left"/>
            </w:pPr>
            <w:r>
              <w:rPr/>
              <w:t>根据各投标人针对项目建设内容所提供的系统开发设计方案进行评价：“重大项目分析”模块部分：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系统开发设计方案2 (1.0分)</w:t>
            </w:r>
            <w:r>
              <w:rPr/>
              <w:t>，（等次分值选择：</w:t>
            </w:r>
            <w:r>
              <w:rPr/>
              <w:t>0.0;</w:t>
            </w:r>
            <w:r>
              <w:rPr/>
              <w:t>0.2;</w:t>
            </w:r>
            <w:r>
              <w:rPr/>
              <w:t>0.5;</w:t>
            </w:r>
            <w:r>
              <w:rPr/>
              <w:t>1.0;</w:t>
            </w:r>
            <w:r>
              <w:rPr/>
              <w:t>）</w:t>
            </w:r>
          </w:p>
        </w:tc>
        <w:tc>
          <w:tcPr>
            <w:tcW w:type="dxa" w:w="5076"/>
          </w:tcPr>
          <w:p>
            <w:pPr>
              <w:pStyle w:val="null3"/>
              <w:jc w:val="left"/>
            </w:pPr>
            <w:r>
              <w:rPr/>
              <w:t>“待办任务”模块部分：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系统开发设计方案3 (4.0分)</w:t>
            </w:r>
            <w:r>
              <w:rPr/>
              <w:t>，（等次分值选择：</w:t>
            </w:r>
            <w:r>
              <w:rPr/>
              <w:t>0.0;</w:t>
            </w:r>
            <w:r>
              <w:rPr/>
              <w:t>1.0;</w:t>
            </w:r>
            <w:r>
              <w:rPr/>
              <w:t>2.0;</w:t>
            </w:r>
            <w:r>
              <w:rPr/>
              <w:t>4.0;</w:t>
            </w:r>
            <w:r>
              <w:rPr/>
              <w:t>）</w:t>
            </w:r>
          </w:p>
        </w:tc>
        <w:tc>
          <w:tcPr>
            <w:tcW w:type="dxa" w:w="5076"/>
          </w:tcPr>
          <w:p>
            <w:pPr>
              <w:pStyle w:val="null3"/>
              <w:jc w:val="left"/>
            </w:pPr>
            <w:r>
              <w:rPr/>
              <w:t>“项目配置”模块部分： 完全满足且优于项目需求的，得4分； 完全满足项目需求的，得2分； 不完全满足项目需求的，得1分； 其他情况得0分。</w:t>
            </w:r>
          </w:p>
        </w:tc>
      </w:tr>
      <w:tr>
        <w:tc>
          <w:tcPr>
            <w:tcW w:type="dxa" w:w="922"/>
            <w:gridSpan w:val="2"/>
            <w:vMerge/>
          </w:tcPr>
          <w:p/>
        </w:tc>
        <w:tc>
          <w:tcPr>
            <w:tcW w:type="dxa" w:w="2307"/>
          </w:tcPr>
          <w:p>
            <w:pPr>
              <w:pStyle w:val="null3"/>
              <w:jc w:val="left"/>
            </w:pPr>
            <w:r>
              <w:rPr/>
              <w:t>系统开发设计方案4 (2.0分)</w:t>
            </w:r>
            <w:r>
              <w:rPr/>
              <w:t>，（等次分值选择：</w:t>
            </w:r>
            <w:r>
              <w:rPr/>
              <w:t>0.0;</w:t>
            </w:r>
            <w:r>
              <w:rPr/>
              <w:t>0.5;</w:t>
            </w:r>
            <w:r>
              <w:rPr/>
              <w:t>1.0;</w:t>
            </w:r>
            <w:r>
              <w:rPr/>
              <w:t>2.0;</w:t>
            </w:r>
            <w:r>
              <w:rPr/>
              <w:t>）</w:t>
            </w:r>
          </w:p>
        </w:tc>
        <w:tc>
          <w:tcPr>
            <w:tcW w:type="dxa" w:w="5076"/>
          </w:tcPr>
          <w:p>
            <w:pPr>
              <w:pStyle w:val="null3"/>
              <w:jc w:val="left"/>
            </w:pPr>
            <w:r>
              <w:rPr/>
              <w:t>“进度跟踪”模块部分：完全满足且优于项目需求的，得2分；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系统开发设计方案5 (2.0分)</w:t>
            </w:r>
            <w:r>
              <w:rPr/>
              <w:t>，（等次分值选择：</w:t>
            </w:r>
            <w:r>
              <w:rPr/>
              <w:t>0.0;</w:t>
            </w:r>
            <w:r>
              <w:rPr/>
              <w:t>0.5;</w:t>
            </w:r>
            <w:r>
              <w:rPr/>
              <w:t>1.0;</w:t>
            </w:r>
            <w:r>
              <w:rPr/>
              <w:t>2.0;</w:t>
            </w:r>
            <w:r>
              <w:rPr/>
              <w:t>）</w:t>
            </w:r>
          </w:p>
        </w:tc>
        <w:tc>
          <w:tcPr>
            <w:tcW w:type="dxa" w:w="5076"/>
          </w:tcPr>
          <w:p>
            <w:pPr>
              <w:pStyle w:val="null3"/>
              <w:jc w:val="left"/>
            </w:pPr>
            <w:r>
              <w:rPr/>
              <w:t>“诊断监测”模块部分： 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系统开发设计方案6 (4.0分)</w:t>
            </w:r>
            <w:r>
              <w:rPr/>
              <w:t>，（等次分值选择：</w:t>
            </w:r>
            <w:r>
              <w:rPr/>
              <w:t>0.0;</w:t>
            </w:r>
            <w:r>
              <w:rPr/>
              <w:t>1.0;</w:t>
            </w:r>
            <w:r>
              <w:rPr/>
              <w:t>2.0;</w:t>
            </w:r>
            <w:r>
              <w:rPr/>
              <w:t>4.0;</w:t>
            </w:r>
            <w:r>
              <w:rPr/>
              <w:t>）</w:t>
            </w:r>
          </w:p>
        </w:tc>
        <w:tc>
          <w:tcPr>
            <w:tcW w:type="dxa" w:w="5076"/>
          </w:tcPr>
          <w:p>
            <w:pPr>
              <w:pStyle w:val="null3"/>
              <w:jc w:val="left"/>
            </w:pPr>
            <w:r>
              <w:rPr/>
              <w:t>“项目调度”模块部分： 完全满足且优于项目需求的，得4分； 完全满足项目需求的，得2分； 不完全满足项目需求的，得1分； 其他情况得0分。</w:t>
            </w:r>
          </w:p>
        </w:tc>
      </w:tr>
      <w:tr>
        <w:tc>
          <w:tcPr>
            <w:tcW w:type="dxa" w:w="922"/>
            <w:gridSpan w:val="2"/>
            <w:vMerge/>
          </w:tcPr>
          <w:p/>
        </w:tc>
        <w:tc>
          <w:tcPr>
            <w:tcW w:type="dxa" w:w="2307"/>
          </w:tcPr>
          <w:p>
            <w:pPr>
              <w:pStyle w:val="null3"/>
              <w:jc w:val="left"/>
            </w:pPr>
            <w:r>
              <w:rPr/>
              <w:t>系统开发设计方案7 (2.0分)</w:t>
            </w:r>
            <w:r>
              <w:rPr/>
              <w:t>，（等次分值选择：</w:t>
            </w:r>
            <w:r>
              <w:rPr/>
              <w:t>0.0;</w:t>
            </w:r>
            <w:r>
              <w:rPr/>
              <w:t>0.5;</w:t>
            </w:r>
            <w:r>
              <w:rPr/>
              <w:t>1.0;</w:t>
            </w:r>
            <w:r>
              <w:rPr/>
              <w:t>2.0;</w:t>
            </w:r>
            <w:r>
              <w:rPr/>
              <w:t>）</w:t>
            </w:r>
          </w:p>
        </w:tc>
        <w:tc>
          <w:tcPr>
            <w:tcW w:type="dxa" w:w="5076"/>
          </w:tcPr>
          <w:p>
            <w:pPr>
              <w:pStyle w:val="null3"/>
              <w:jc w:val="left"/>
            </w:pPr>
            <w:r>
              <w:rPr/>
              <w:t>“问题直通车”模块部分： 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系统开发设计方案8 (1.0分)</w:t>
            </w:r>
            <w:r>
              <w:rPr/>
              <w:t>，（等次分值选择：</w:t>
            </w:r>
            <w:r>
              <w:rPr/>
              <w:t>0.0;</w:t>
            </w:r>
            <w:r>
              <w:rPr/>
              <w:t>0.2;</w:t>
            </w:r>
            <w:r>
              <w:rPr/>
              <w:t>0.5;</w:t>
            </w:r>
            <w:r>
              <w:rPr/>
              <w:t>1.0;</w:t>
            </w:r>
            <w:r>
              <w:rPr/>
              <w:t>）</w:t>
            </w:r>
          </w:p>
        </w:tc>
        <w:tc>
          <w:tcPr>
            <w:tcW w:type="dxa" w:w="5076"/>
          </w:tcPr>
          <w:p>
            <w:pPr>
              <w:pStyle w:val="null3"/>
              <w:jc w:val="left"/>
            </w:pPr>
            <w:r>
              <w:rPr/>
              <w:t>“第三方机构管理”模块部分：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系统开发设计方案9 (1.0分)</w:t>
            </w:r>
            <w:r>
              <w:rPr/>
              <w:t>，（等次分值选择：</w:t>
            </w:r>
            <w:r>
              <w:rPr/>
              <w:t>0.0;</w:t>
            </w:r>
            <w:r>
              <w:rPr/>
              <w:t>0.2;</w:t>
            </w:r>
            <w:r>
              <w:rPr/>
              <w:t>0.5;</w:t>
            </w:r>
            <w:r>
              <w:rPr/>
              <w:t>1.0;</w:t>
            </w:r>
            <w:r>
              <w:rPr/>
              <w:t>）</w:t>
            </w:r>
          </w:p>
        </w:tc>
        <w:tc>
          <w:tcPr>
            <w:tcW w:type="dxa" w:w="5076"/>
          </w:tcPr>
          <w:p>
            <w:pPr>
              <w:pStyle w:val="null3"/>
              <w:jc w:val="left"/>
            </w:pPr>
            <w:r>
              <w:rPr/>
              <w:t>“粤投资”（粤政易app端）“专班项目”专区部分：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运营服务方案（业务管理1） (2.0分)</w:t>
            </w:r>
            <w:r>
              <w:rPr/>
              <w:t>，（等次分值选择：</w:t>
            </w:r>
            <w:r>
              <w:rPr/>
              <w:t>0.0;</w:t>
            </w:r>
            <w:r>
              <w:rPr/>
              <w:t>0.5;</w:t>
            </w:r>
            <w:r>
              <w:rPr/>
              <w:t>1.0;</w:t>
            </w:r>
            <w:r>
              <w:rPr/>
              <w:t>2.0;</w:t>
            </w:r>
            <w:r>
              <w:rPr/>
              <w:t>）</w:t>
            </w:r>
          </w:p>
        </w:tc>
        <w:tc>
          <w:tcPr>
            <w:tcW w:type="dxa" w:w="5076"/>
          </w:tcPr>
          <w:p>
            <w:pPr>
              <w:pStyle w:val="null3"/>
              <w:jc w:val="left"/>
            </w:pPr>
            <w:r>
              <w:rPr/>
              <w:t>根据投标人所提供的运营服务方案进行评价： 1）业务管理运营服务方案部分： ①业务处理运营服务方案，完全满足且优于项目需求的，得2分；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运营服务方案（业务管理2） (1.0分)</w:t>
            </w:r>
            <w:r>
              <w:rPr/>
              <w:t>，（等次分值选择：</w:t>
            </w:r>
            <w:r>
              <w:rPr/>
              <w:t>0.0;</w:t>
            </w:r>
            <w:r>
              <w:rPr/>
              <w:t>0.2;</w:t>
            </w:r>
            <w:r>
              <w:rPr/>
              <w:t>0.5;</w:t>
            </w:r>
            <w:r>
              <w:rPr/>
              <w:t>1.0;</w:t>
            </w:r>
            <w:r>
              <w:rPr/>
              <w:t>）</w:t>
            </w:r>
          </w:p>
        </w:tc>
        <w:tc>
          <w:tcPr>
            <w:tcW w:type="dxa" w:w="5076"/>
          </w:tcPr>
          <w:p>
            <w:pPr>
              <w:pStyle w:val="null3"/>
              <w:jc w:val="left"/>
            </w:pPr>
            <w:r>
              <w:rPr/>
              <w:t>②“粤投资”（粤政易app端）用户权限管理运营服务方案，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运营服务方案（业务管理3） (1.0分)</w:t>
            </w:r>
            <w:r>
              <w:rPr/>
              <w:t>，（等次分值选择：</w:t>
            </w:r>
            <w:r>
              <w:rPr/>
              <w:t>0.0;</w:t>
            </w:r>
            <w:r>
              <w:rPr/>
              <w:t>0.2;</w:t>
            </w:r>
            <w:r>
              <w:rPr/>
              <w:t>0.5;</w:t>
            </w:r>
            <w:r>
              <w:rPr/>
              <w:t>1.0;</w:t>
            </w:r>
            <w:r>
              <w:rPr/>
              <w:t>）</w:t>
            </w:r>
          </w:p>
        </w:tc>
        <w:tc>
          <w:tcPr>
            <w:tcW w:type="dxa" w:w="5076"/>
          </w:tcPr>
          <w:p>
            <w:pPr>
              <w:pStyle w:val="null3"/>
              <w:jc w:val="left"/>
            </w:pPr>
            <w:r>
              <w:rPr/>
              <w:t>③“专班项目”业务运营服务方案，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运营服务方案（数据处理1） (2.0分)</w:t>
            </w:r>
            <w:r>
              <w:rPr/>
              <w:t>，（等次分值选择：</w:t>
            </w:r>
            <w:r>
              <w:rPr/>
              <w:t>0.0;</w:t>
            </w:r>
            <w:r>
              <w:rPr/>
              <w:t>0.5;</w:t>
            </w:r>
            <w:r>
              <w:rPr/>
              <w:t>1.0;</w:t>
            </w:r>
            <w:r>
              <w:rPr/>
              <w:t>2.0;</w:t>
            </w:r>
            <w:r>
              <w:rPr/>
              <w:t>）</w:t>
            </w:r>
          </w:p>
        </w:tc>
        <w:tc>
          <w:tcPr>
            <w:tcW w:type="dxa" w:w="5076"/>
          </w:tcPr>
          <w:p>
            <w:pPr>
              <w:pStyle w:val="null3"/>
              <w:jc w:val="left"/>
            </w:pPr>
            <w:r>
              <w:rPr/>
              <w:t>2）数据处理运营服务方案部分：①数据整理运营服务方案， 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运营服务方案（数据处理2） (1.0分)</w:t>
            </w:r>
            <w:r>
              <w:rPr/>
              <w:t>，（等次分值选择：</w:t>
            </w:r>
            <w:r>
              <w:rPr/>
              <w:t>0.0;</w:t>
            </w:r>
            <w:r>
              <w:rPr/>
              <w:t>0.2;</w:t>
            </w:r>
            <w:r>
              <w:rPr/>
              <w:t>0.5;</w:t>
            </w:r>
            <w:r>
              <w:rPr/>
              <w:t>1.0;</w:t>
            </w:r>
            <w:r>
              <w:rPr/>
              <w:t>）</w:t>
            </w:r>
          </w:p>
        </w:tc>
        <w:tc>
          <w:tcPr>
            <w:tcW w:type="dxa" w:w="5076"/>
          </w:tcPr>
          <w:p>
            <w:pPr>
              <w:pStyle w:val="null3"/>
              <w:jc w:val="left"/>
            </w:pPr>
            <w:r>
              <w:rPr/>
              <w:t>②业务应用数据分析服务方案，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运营服务方案（数据处理3） (1.0分)</w:t>
            </w:r>
            <w:r>
              <w:rPr/>
              <w:t>，（等次分值选择：</w:t>
            </w:r>
            <w:r>
              <w:rPr/>
              <w:t>0.0;</w:t>
            </w:r>
            <w:r>
              <w:rPr/>
              <w:t>0.2;</w:t>
            </w:r>
            <w:r>
              <w:rPr/>
              <w:t>0.5;</w:t>
            </w:r>
            <w:r>
              <w:rPr/>
              <w:t>1.0;</w:t>
            </w:r>
            <w:r>
              <w:rPr/>
              <w:t>）</w:t>
            </w:r>
          </w:p>
        </w:tc>
        <w:tc>
          <w:tcPr>
            <w:tcW w:type="dxa" w:w="5076"/>
          </w:tcPr>
          <w:p>
            <w:pPr>
              <w:pStyle w:val="null3"/>
              <w:jc w:val="left"/>
            </w:pPr>
            <w:r>
              <w:rPr/>
              <w:t>③数据共享技术服务方案，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运营服务方案（数据处理4） (1.0分)</w:t>
            </w:r>
            <w:r>
              <w:rPr/>
              <w:t>，（等次分值选择：</w:t>
            </w:r>
            <w:r>
              <w:rPr/>
              <w:t>0.0;</w:t>
            </w:r>
            <w:r>
              <w:rPr/>
              <w:t>0.2;</w:t>
            </w:r>
            <w:r>
              <w:rPr/>
              <w:t>0.5;</w:t>
            </w:r>
            <w:r>
              <w:rPr/>
              <w:t>1.0;</w:t>
            </w:r>
            <w:r>
              <w:rPr/>
              <w:t>）</w:t>
            </w:r>
          </w:p>
        </w:tc>
        <w:tc>
          <w:tcPr>
            <w:tcW w:type="dxa" w:w="5076"/>
          </w:tcPr>
          <w:p>
            <w:pPr>
              <w:pStyle w:val="null3"/>
              <w:jc w:val="left"/>
            </w:pPr>
            <w:r>
              <w:rPr/>
              <w:t>④“专班项目”数据处理运营服务方案，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运营服务方案（数据处理5） (0.5分)</w:t>
            </w:r>
            <w:r>
              <w:rPr/>
              <w:t>，（等次分值选择：</w:t>
            </w:r>
            <w:r>
              <w:rPr/>
              <w:t>0.0;</w:t>
            </w:r>
            <w:r>
              <w:rPr/>
              <w:t>0.1;</w:t>
            </w:r>
            <w:r>
              <w:rPr/>
              <w:t>0.2;</w:t>
            </w:r>
            <w:r>
              <w:rPr/>
              <w:t>0.5;</w:t>
            </w:r>
            <w:r>
              <w:rPr/>
              <w:t>）</w:t>
            </w:r>
          </w:p>
        </w:tc>
        <w:tc>
          <w:tcPr>
            <w:tcW w:type="dxa" w:w="5076"/>
          </w:tcPr>
          <w:p>
            <w:pPr>
              <w:pStyle w:val="null3"/>
              <w:jc w:val="left"/>
            </w:pPr>
            <w:r>
              <w:rPr/>
              <w:t>⑤“专班项目”数据标签运营服务方案， 完全满足且优于项目需求的，得0.5分； 完全满足项目需求的，得0.2分； 不完全满足项目需求的，得0.1分； 其他情况得0分；</w:t>
            </w:r>
          </w:p>
        </w:tc>
      </w:tr>
      <w:tr>
        <w:tc>
          <w:tcPr>
            <w:tcW w:type="dxa" w:w="922"/>
            <w:gridSpan w:val="2"/>
            <w:vMerge/>
          </w:tcPr>
          <w:p/>
        </w:tc>
        <w:tc>
          <w:tcPr>
            <w:tcW w:type="dxa" w:w="2307"/>
          </w:tcPr>
          <w:p>
            <w:pPr>
              <w:pStyle w:val="null3"/>
              <w:jc w:val="left"/>
            </w:pPr>
            <w:r>
              <w:rPr/>
              <w:t>运营服务方案（数据处理6） (0.5分)</w:t>
            </w:r>
            <w:r>
              <w:rPr/>
              <w:t>，（等次分值选择：</w:t>
            </w:r>
            <w:r>
              <w:rPr/>
              <w:t>0.0;</w:t>
            </w:r>
            <w:r>
              <w:rPr/>
              <w:t>0.1;</w:t>
            </w:r>
            <w:r>
              <w:rPr/>
              <w:t>0.2;</w:t>
            </w:r>
            <w:r>
              <w:rPr/>
              <w:t>0.5;</w:t>
            </w:r>
            <w:r>
              <w:rPr/>
              <w:t>）</w:t>
            </w:r>
          </w:p>
        </w:tc>
        <w:tc>
          <w:tcPr>
            <w:tcW w:type="dxa" w:w="5076"/>
          </w:tcPr>
          <w:p>
            <w:pPr>
              <w:pStyle w:val="null3"/>
              <w:jc w:val="left"/>
            </w:pPr>
            <w:r>
              <w:rPr/>
              <w:t>⑥“专班项目”数据指标运营服务方案， 完全满足且优于项目需求的，得0.5分； 完全满足项目需求的，得0.2分； 不完全满足项目需求的，得0.1分； 其他情况得0分。</w:t>
            </w:r>
          </w:p>
        </w:tc>
      </w:tr>
      <w:tr>
        <w:tc>
          <w:tcPr>
            <w:tcW w:type="dxa" w:w="922"/>
            <w:gridSpan w:val="2"/>
            <w:vMerge/>
          </w:tcPr>
          <w:p/>
        </w:tc>
        <w:tc>
          <w:tcPr>
            <w:tcW w:type="dxa" w:w="2307"/>
          </w:tcPr>
          <w:p>
            <w:pPr>
              <w:pStyle w:val="null3"/>
              <w:jc w:val="left"/>
            </w:pPr>
            <w:r>
              <w:rPr/>
              <w:t>运营服务方案（其他业务1） (1.0分)</w:t>
            </w:r>
            <w:r>
              <w:rPr/>
              <w:t>，（等次分值选择：</w:t>
            </w:r>
            <w:r>
              <w:rPr/>
              <w:t>0.0;</w:t>
            </w:r>
            <w:r>
              <w:rPr/>
              <w:t>0.2;</w:t>
            </w:r>
            <w:r>
              <w:rPr/>
              <w:t>0.5;</w:t>
            </w:r>
            <w:r>
              <w:rPr/>
              <w:t>1.0;</w:t>
            </w:r>
            <w:r>
              <w:rPr/>
              <w:t>）</w:t>
            </w:r>
          </w:p>
        </w:tc>
        <w:tc>
          <w:tcPr>
            <w:tcW w:type="dxa" w:w="5076"/>
          </w:tcPr>
          <w:p>
            <w:pPr>
              <w:pStyle w:val="null3"/>
              <w:jc w:val="left"/>
            </w:pPr>
            <w:r>
              <w:rPr/>
              <w:t>3）其他业务运营服务方案部分： ①管理制度规范制定服务方案，完全满足且优于项目需求的，得1分；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运营服务方案（其他业务2） (1.0分)</w:t>
            </w:r>
            <w:r>
              <w:rPr/>
              <w:t>，（等次分值选择：</w:t>
            </w:r>
            <w:r>
              <w:rPr/>
              <w:t>0.0;</w:t>
            </w:r>
            <w:r>
              <w:rPr/>
              <w:t>0.2;</w:t>
            </w:r>
            <w:r>
              <w:rPr/>
              <w:t>0.5;</w:t>
            </w:r>
            <w:r>
              <w:rPr/>
              <w:t>1.0;</w:t>
            </w:r>
            <w:r>
              <w:rPr/>
              <w:t>）</w:t>
            </w:r>
          </w:p>
        </w:tc>
        <w:tc>
          <w:tcPr>
            <w:tcW w:type="dxa" w:w="5076"/>
          </w:tcPr>
          <w:p>
            <w:pPr>
              <w:pStyle w:val="null3"/>
              <w:jc w:val="left"/>
            </w:pPr>
            <w:r>
              <w:rPr/>
              <w:t>②管理制度规范应用推广服务方案，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运营服务方案（其他业务3） (1.0分)</w:t>
            </w:r>
            <w:r>
              <w:rPr/>
              <w:t>，（等次分值选择：</w:t>
            </w:r>
            <w:r>
              <w:rPr/>
              <w:t>0.0;</w:t>
            </w:r>
            <w:r>
              <w:rPr/>
              <w:t>0.2;</w:t>
            </w:r>
            <w:r>
              <w:rPr/>
              <w:t>0.5;</w:t>
            </w:r>
            <w:r>
              <w:rPr/>
              <w:t>1.0;</w:t>
            </w:r>
            <w:r>
              <w:rPr/>
              <w:t>）</w:t>
            </w:r>
          </w:p>
        </w:tc>
        <w:tc>
          <w:tcPr>
            <w:tcW w:type="dxa" w:w="5076"/>
          </w:tcPr>
          <w:p>
            <w:pPr>
              <w:pStyle w:val="null3"/>
              <w:jc w:val="left"/>
            </w:pPr>
            <w:r>
              <w:rPr/>
              <w:t>③“粤投资”（粤政易app端）页面定制化运营服务方案， 完全满足且优于项目需求的，得1分； 完全满足项目需求的，得0.5分； 不完全满足项目需求的，得0.2分； 其他情况得0分；</w:t>
            </w:r>
          </w:p>
        </w:tc>
      </w:tr>
      <w:tr>
        <w:tc>
          <w:tcPr>
            <w:tcW w:type="dxa" w:w="922"/>
            <w:gridSpan w:val="2"/>
            <w:vMerge/>
          </w:tcPr>
          <w:p/>
        </w:tc>
        <w:tc>
          <w:tcPr>
            <w:tcW w:type="dxa" w:w="2307"/>
          </w:tcPr>
          <w:p>
            <w:pPr>
              <w:pStyle w:val="null3"/>
              <w:jc w:val="left"/>
            </w:pPr>
            <w:r>
              <w:rPr/>
              <w:t>项目服务总体实施方案 (4.0分)</w:t>
            </w:r>
            <w:r>
              <w:rPr/>
              <w:t>，（等次分值选择：</w:t>
            </w:r>
            <w:r>
              <w:rPr/>
              <w:t>0.0;</w:t>
            </w:r>
            <w:r>
              <w:rPr/>
              <w:t>1.0;</w:t>
            </w:r>
            <w:r>
              <w:rPr/>
              <w:t>2.0;</w:t>
            </w:r>
            <w:r>
              <w:rPr/>
              <w:t>4.0;</w:t>
            </w:r>
            <w:r>
              <w:rPr/>
              <w:t>）</w:t>
            </w:r>
          </w:p>
        </w:tc>
        <w:tc>
          <w:tcPr>
            <w:tcW w:type="dxa" w:w="5076"/>
          </w:tcPr>
          <w:p>
            <w:pPr>
              <w:pStyle w:val="null3"/>
              <w:jc w:val="left"/>
            </w:pPr>
            <w:r>
              <w:rPr/>
              <w:t>根据投标人针对用户需求书“六、服务要求（一）总体要求”所提供的项目总体组织实施方案进行评价： 完全满足且优于项目需求的，得4分； 完全满足项目需求的，得2分； 不完全满足项目需求的，得1分； 其他情况得0分。</w:t>
            </w:r>
          </w:p>
        </w:tc>
      </w:tr>
      <w:tr>
        <w:tc>
          <w:tcPr>
            <w:tcW w:type="dxa" w:w="922"/>
            <w:gridSpan w:val="2"/>
            <w:vMerge/>
          </w:tcPr>
          <w:p/>
        </w:tc>
        <w:tc>
          <w:tcPr>
            <w:tcW w:type="dxa" w:w="2307"/>
          </w:tcPr>
          <w:p>
            <w:pPr>
              <w:pStyle w:val="null3"/>
              <w:jc w:val="left"/>
            </w:pPr>
            <w:r>
              <w:rPr/>
              <w:t>培训服务方案 (2.0分)</w:t>
            </w:r>
            <w:r>
              <w:rPr/>
              <w:t>，（等次分值选择：</w:t>
            </w:r>
            <w:r>
              <w:rPr/>
              <w:t>0.0;</w:t>
            </w:r>
            <w:r>
              <w:rPr/>
              <w:t>0.5;</w:t>
            </w:r>
            <w:r>
              <w:rPr/>
              <w:t>1.0;</w:t>
            </w:r>
            <w:r>
              <w:rPr/>
              <w:t>2.0;</w:t>
            </w:r>
            <w:r>
              <w:rPr/>
              <w:t>）</w:t>
            </w:r>
          </w:p>
        </w:tc>
        <w:tc>
          <w:tcPr>
            <w:tcW w:type="dxa" w:w="5076"/>
          </w:tcPr>
          <w:p>
            <w:pPr>
              <w:pStyle w:val="null3"/>
              <w:jc w:val="left"/>
            </w:pPr>
            <w:r>
              <w:rPr/>
              <w:t>根据投标人针对用户需求书“六、服务要求（四）项目培训要求”所提供的培训相关方案进行评价： 完全满足且优于项目需求的，得2分； 完全满足项目需求的，得1分； 不完全满足项目需求的，得0.5分； 其他情况得0分。</w:t>
            </w:r>
          </w:p>
        </w:tc>
      </w:tr>
      <w:tr>
        <w:tc>
          <w:tcPr>
            <w:tcW w:type="dxa" w:w="922"/>
            <w:gridSpan w:val="2"/>
            <w:vMerge/>
          </w:tcPr>
          <w:p/>
        </w:tc>
        <w:tc>
          <w:tcPr>
            <w:tcW w:type="dxa" w:w="2307"/>
          </w:tcPr>
          <w:p>
            <w:pPr>
              <w:pStyle w:val="null3"/>
              <w:jc w:val="left"/>
            </w:pPr>
            <w:r>
              <w:rPr/>
              <w:t>演示1（重大项目分析） (1.0分)</w:t>
            </w:r>
            <w:r>
              <w:rPr/>
              <w:t>，（等次分值选择：</w:t>
            </w:r>
            <w:r>
              <w:rPr/>
              <w:t>0.0;</w:t>
            </w:r>
            <w:r>
              <w:rPr/>
              <w:t>0.2;</w:t>
            </w:r>
            <w:r>
              <w:rPr/>
              <w:t>0.5;</w:t>
            </w:r>
            <w:r>
              <w:rPr/>
              <w:t>1.0;</w:t>
            </w:r>
            <w:r>
              <w:rPr/>
              <w:t>）</w:t>
            </w:r>
          </w:p>
        </w:tc>
        <w:tc>
          <w:tcPr>
            <w:tcW w:type="dxa" w:w="5076"/>
          </w:tcPr>
          <w:p>
            <w:pPr>
              <w:pStyle w:val="null3"/>
              <w:jc w:val="left"/>
            </w:pPr>
            <w:r>
              <w:rPr/>
              <w:t>要求投标人对本项目建设内容进行演示（演示方式包括但不限于系统、原型文件、ppt、音频、视频），根据演示内容的完整性、符合性、准确性进行评价： 1）演示“重大项目分析”模块，需多维度展示重大项目总体情况、重大项目进展情况、重大项目协调调度情况。完全满足且优于项目需求的，得1分；完全满足项目需求的，得0.5分；不完全满足项目需求的，得0.2分；其他情况得0分；</w:t>
            </w:r>
          </w:p>
        </w:tc>
      </w:tr>
      <w:tr>
        <w:tc>
          <w:tcPr>
            <w:tcW w:type="dxa" w:w="922"/>
            <w:gridSpan w:val="2"/>
            <w:vMerge/>
          </w:tcPr>
          <w:p/>
        </w:tc>
        <w:tc>
          <w:tcPr>
            <w:tcW w:type="dxa" w:w="2307"/>
          </w:tcPr>
          <w:p>
            <w:pPr>
              <w:pStyle w:val="null3"/>
              <w:jc w:val="left"/>
            </w:pPr>
            <w:r>
              <w:rPr/>
              <w:t>演示2（待办任务） (1.0分)</w:t>
            </w:r>
            <w:r>
              <w:rPr/>
              <w:t>，（等次分值选择：</w:t>
            </w:r>
            <w:r>
              <w:rPr/>
              <w:t>0.0;</w:t>
            </w:r>
            <w:r>
              <w:rPr/>
              <w:t>0.2;</w:t>
            </w:r>
            <w:r>
              <w:rPr/>
              <w:t>0.5;</w:t>
            </w:r>
            <w:r>
              <w:rPr/>
              <w:t>1.0;</w:t>
            </w:r>
            <w:r>
              <w:rPr/>
              <w:t>）</w:t>
            </w:r>
          </w:p>
        </w:tc>
        <w:tc>
          <w:tcPr>
            <w:tcW w:type="dxa" w:w="5076"/>
          </w:tcPr>
          <w:p>
            <w:pPr>
              <w:pStyle w:val="null3"/>
              <w:jc w:val="left"/>
            </w:pPr>
            <w:r>
              <w:rPr/>
              <w:t>2）演示“待办任务”模块，需展示流程工期相关任务、项目调度相关任务、项目预警相关任务、问题反馈相关任务。完全满足且优于项目需求的，得1分；完全满足项目需求的，得0.5分；不完全满足项目需求的，得0.2分；其他情况得0分；</w:t>
            </w:r>
          </w:p>
        </w:tc>
      </w:tr>
      <w:tr>
        <w:tc>
          <w:tcPr>
            <w:tcW w:type="dxa" w:w="922"/>
            <w:gridSpan w:val="2"/>
            <w:vMerge/>
          </w:tcPr>
          <w:p/>
        </w:tc>
        <w:tc>
          <w:tcPr>
            <w:tcW w:type="dxa" w:w="2307"/>
          </w:tcPr>
          <w:p>
            <w:pPr>
              <w:pStyle w:val="null3"/>
              <w:jc w:val="left"/>
            </w:pPr>
            <w:r>
              <w:rPr/>
              <w:t>演示3（项目配置） (4.0分)</w:t>
            </w:r>
            <w:r>
              <w:rPr/>
              <w:t>，（等次分值选择：</w:t>
            </w:r>
            <w:r>
              <w:rPr/>
              <w:t>0.0;</w:t>
            </w:r>
            <w:r>
              <w:rPr/>
              <w:t>1.0;</w:t>
            </w:r>
            <w:r>
              <w:rPr/>
              <w:t>2.0;</w:t>
            </w:r>
            <w:r>
              <w:rPr/>
              <w:t>4.0;</w:t>
            </w:r>
            <w:r>
              <w:rPr/>
              <w:t>）</w:t>
            </w:r>
          </w:p>
        </w:tc>
        <w:tc>
          <w:tcPr>
            <w:tcW w:type="dxa" w:w="5076"/>
          </w:tcPr>
          <w:p>
            <w:pPr>
              <w:pStyle w:val="null3"/>
              <w:jc w:val="left"/>
            </w:pPr>
            <w:r>
              <w:rPr/>
              <w:t>3）演示“项目配置”功能，对重大项目从调入、分配机构、制定编制任务、流程工期编制、发起评审会议、流程工期审核的过程进行展示；对7大行业流程工期图进行展示。完全满足且优于项目需求的，得4分；完全满足项目需求的，得2分；不完全满足项目需求的，得1分；其他情况得0分；</w:t>
            </w:r>
          </w:p>
        </w:tc>
      </w:tr>
      <w:tr>
        <w:tc>
          <w:tcPr>
            <w:tcW w:type="dxa" w:w="922"/>
            <w:gridSpan w:val="2"/>
            <w:vMerge/>
          </w:tcPr>
          <w:p/>
        </w:tc>
        <w:tc>
          <w:tcPr>
            <w:tcW w:type="dxa" w:w="2307"/>
          </w:tcPr>
          <w:p>
            <w:pPr>
              <w:pStyle w:val="null3"/>
              <w:jc w:val="left"/>
            </w:pPr>
            <w:r>
              <w:rPr/>
              <w:t>演示4（进度跟踪） (2.0分)</w:t>
            </w:r>
            <w:r>
              <w:rPr/>
              <w:t>，（等次分值选择：</w:t>
            </w:r>
            <w:r>
              <w:rPr/>
              <w:t>0.0;</w:t>
            </w:r>
            <w:r>
              <w:rPr/>
              <w:t>0.5;</w:t>
            </w:r>
            <w:r>
              <w:rPr/>
              <w:t>1.0;</w:t>
            </w:r>
            <w:r>
              <w:rPr/>
              <w:t>2.0;</w:t>
            </w:r>
            <w:r>
              <w:rPr/>
              <w:t>）</w:t>
            </w:r>
          </w:p>
        </w:tc>
        <w:tc>
          <w:tcPr>
            <w:tcW w:type="dxa" w:w="5076"/>
          </w:tcPr>
          <w:p>
            <w:pPr>
              <w:pStyle w:val="null3"/>
              <w:jc w:val="left"/>
            </w:pPr>
            <w:r>
              <w:rPr/>
              <w:t>4）演示“进度跟踪”功能，对重大项目进度反馈、指导完善的过程进行展示。完全满足且优于项目需求的，得2分；完全满足项目需求的，得1分；不完全满足项目需求的，得0.5分；其他情况得0分；</w:t>
            </w:r>
          </w:p>
        </w:tc>
      </w:tr>
      <w:tr>
        <w:tc>
          <w:tcPr>
            <w:tcW w:type="dxa" w:w="922"/>
            <w:gridSpan w:val="2"/>
            <w:vMerge/>
          </w:tcPr>
          <w:p/>
        </w:tc>
        <w:tc>
          <w:tcPr>
            <w:tcW w:type="dxa" w:w="2307"/>
          </w:tcPr>
          <w:p>
            <w:pPr>
              <w:pStyle w:val="null3"/>
              <w:jc w:val="left"/>
            </w:pPr>
            <w:r>
              <w:rPr/>
              <w:t>演示5（诊断监测） (2.0分)</w:t>
            </w:r>
            <w:r>
              <w:rPr/>
              <w:t>，（等次分值选择：</w:t>
            </w:r>
            <w:r>
              <w:rPr/>
              <w:t>0.0;</w:t>
            </w:r>
            <w:r>
              <w:rPr/>
              <w:t>0.5;</w:t>
            </w:r>
            <w:r>
              <w:rPr/>
              <w:t>1.0;</w:t>
            </w:r>
            <w:r>
              <w:rPr/>
              <w:t>2.0;</w:t>
            </w:r>
            <w:r>
              <w:rPr/>
              <w:t>）</w:t>
            </w:r>
          </w:p>
        </w:tc>
        <w:tc>
          <w:tcPr>
            <w:tcW w:type="dxa" w:w="5076"/>
          </w:tcPr>
          <w:p>
            <w:pPr>
              <w:pStyle w:val="null3"/>
              <w:jc w:val="left"/>
            </w:pPr>
            <w:r>
              <w:rPr/>
              <w:t>5）演示“诊断监测”功能，包括重大项目预警情况、诊断报告详情、问题台账列表。完全满足且优于项目需求的，得2分；完全满足项目需求的，得1分；不完全满足项目需求的，得0.5分；其他情况得0分；</w:t>
            </w:r>
          </w:p>
        </w:tc>
      </w:tr>
      <w:tr>
        <w:tc>
          <w:tcPr>
            <w:tcW w:type="dxa" w:w="922"/>
            <w:gridSpan w:val="2"/>
            <w:vMerge/>
          </w:tcPr>
          <w:p/>
        </w:tc>
        <w:tc>
          <w:tcPr>
            <w:tcW w:type="dxa" w:w="2307"/>
          </w:tcPr>
          <w:p>
            <w:pPr>
              <w:pStyle w:val="null3"/>
              <w:jc w:val="left"/>
            </w:pPr>
            <w:r>
              <w:rPr/>
              <w:t>演示6（项目调度） (3.0分)</w:t>
            </w:r>
            <w:r>
              <w:rPr/>
              <w:t>，（等次分值选择：</w:t>
            </w:r>
            <w:r>
              <w:rPr/>
              <w:t>0.0;</w:t>
            </w:r>
            <w:r>
              <w:rPr/>
              <w:t>0.5;</w:t>
            </w:r>
            <w:r>
              <w:rPr/>
              <w:t>1.5;</w:t>
            </w:r>
            <w:r>
              <w:rPr/>
              <w:t>3.0;</w:t>
            </w:r>
            <w:r>
              <w:rPr/>
              <w:t>）</w:t>
            </w:r>
          </w:p>
        </w:tc>
        <w:tc>
          <w:tcPr>
            <w:tcW w:type="dxa" w:w="5076"/>
          </w:tcPr>
          <w:p>
            <w:pPr>
              <w:pStyle w:val="null3"/>
              <w:jc w:val="left"/>
            </w:pPr>
            <w:r>
              <w:rPr/>
              <w:t>6）演示“项目调度”功能，对重大项目发起调度、核实、确认、协调、落实的过程进行展示。完全满足且优于项目需求的，得3分；完全满足项目需求的，得1.5分；不完全满足项目需求的，得0.5分；其他情况得0分；</w:t>
            </w:r>
          </w:p>
        </w:tc>
      </w:tr>
      <w:tr>
        <w:tc>
          <w:tcPr>
            <w:tcW w:type="dxa" w:w="922"/>
            <w:gridSpan w:val="2"/>
            <w:vMerge/>
          </w:tcPr>
          <w:p/>
        </w:tc>
        <w:tc>
          <w:tcPr>
            <w:tcW w:type="dxa" w:w="2307"/>
          </w:tcPr>
          <w:p>
            <w:pPr>
              <w:pStyle w:val="null3"/>
              <w:jc w:val="left"/>
            </w:pPr>
            <w:r>
              <w:rPr/>
              <w:t>演示7（问题直通车） (2.0分)</w:t>
            </w:r>
            <w:r>
              <w:rPr/>
              <w:t>，（等次分值选择：</w:t>
            </w:r>
            <w:r>
              <w:rPr/>
              <w:t>0.0;</w:t>
            </w:r>
            <w:r>
              <w:rPr/>
              <w:t>0.5;</w:t>
            </w:r>
            <w:r>
              <w:rPr/>
              <w:t>1.0;</w:t>
            </w:r>
            <w:r>
              <w:rPr/>
              <w:t>2.0;</w:t>
            </w:r>
            <w:r>
              <w:rPr/>
              <w:t>）</w:t>
            </w:r>
          </w:p>
        </w:tc>
        <w:tc>
          <w:tcPr>
            <w:tcW w:type="dxa" w:w="5076"/>
          </w:tcPr>
          <w:p>
            <w:pPr>
              <w:pStyle w:val="null3"/>
              <w:jc w:val="left"/>
            </w:pPr>
            <w:r>
              <w:rPr/>
              <w:t>7）演示“问题直通车”功能，对问题反馈、核实、确认、协调、落实的过程进行展示。完全满足且优于项目需求的，得2分；完全满足项目需求的，得1分；不完全满足项目需求的，得0.5分；其他情况得0分；</w:t>
            </w:r>
          </w:p>
        </w:tc>
      </w:tr>
      <w:tr>
        <w:tc>
          <w:tcPr>
            <w:tcW w:type="dxa" w:w="922"/>
            <w:gridSpan w:val="2"/>
            <w:vMerge/>
          </w:tcPr>
          <w:p/>
        </w:tc>
        <w:tc>
          <w:tcPr>
            <w:tcW w:type="dxa" w:w="2307"/>
          </w:tcPr>
          <w:p>
            <w:pPr>
              <w:pStyle w:val="null3"/>
              <w:jc w:val="left"/>
            </w:pPr>
            <w:r>
              <w:rPr/>
              <w:t>演示8（第三方机构管理） (1.0分)</w:t>
            </w:r>
            <w:r>
              <w:rPr/>
              <w:t>，（等次分值选择：</w:t>
            </w:r>
            <w:r>
              <w:rPr/>
              <w:t>0.0;</w:t>
            </w:r>
            <w:r>
              <w:rPr/>
              <w:t>0.2;</w:t>
            </w:r>
            <w:r>
              <w:rPr/>
              <w:t>0.5;</w:t>
            </w:r>
            <w:r>
              <w:rPr/>
              <w:t>1.0;</w:t>
            </w:r>
            <w:r>
              <w:rPr/>
              <w:t>）</w:t>
            </w:r>
          </w:p>
        </w:tc>
        <w:tc>
          <w:tcPr>
            <w:tcW w:type="dxa" w:w="5076"/>
          </w:tcPr>
          <w:p>
            <w:pPr>
              <w:pStyle w:val="null3"/>
              <w:jc w:val="left"/>
            </w:pPr>
            <w:r>
              <w:rPr/>
              <w:t>8）演示“第三方机构管理”功能，对第三方机构入驻申请、审核的过程进行展示。完全满足且优于项目需求的，得1分；完全满足项目需求的，得0.5分；不完全满足项目需求的，得0.2分；其他情况得0分；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具有完善的信息化管理体系 (2.0分)</w:t>
            </w:r>
            <w:r>
              <w:rPr/>
              <w:t>，（等次分值选择：</w:t>
            </w:r>
            <w:r>
              <w:rPr/>
              <w:t>0.0;</w:t>
            </w:r>
            <w:r>
              <w:rPr/>
              <w:t>2.0;</w:t>
            </w:r>
            <w:r>
              <w:rPr/>
              <w:t>）</w:t>
            </w:r>
          </w:p>
        </w:tc>
        <w:tc>
          <w:tcPr>
            <w:tcW w:type="dxa" w:w="5076"/>
          </w:tcPr>
          <w:p>
            <w:pPr>
              <w:pStyle w:val="null3"/>
              <w:jc w:val="left"/>
            </w:pPr>
            <w:r>
              <w:rPr/>
              <w:t>投标人具有质量管理体系认证（ISO9001），得2分。 注1：提供以上证书的复印件并加盖公章，否则不得分。因企业成立时间不足三个月，导致未能取得相关认证且提供书面说明的，对应证书可得分。 注2：提供以上证书在“全国认证认可信息公共服务平台” （http://cx.cnca.cn）对体系证书的信息查询截图作为评审依据，已失效或撤销或暂停的不得分。</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2021年1月1日起至今（以合同签订日期为准）承担的投资项目管理平台相关的开发、运维或运营服务有效业绩，每提供1个得1分，最多得5分。注：提供合同关键页（含：签订合同双方的单位名称、项目名称、项目金额与双方盖章、签订日期）复印件以及项目情况简介，以合同签订时间为准。以上合同不重复计分。</w:t>
            </w:r>
          </w:p>
        </w:tc>
      </w:tr>
      <w:tr>
        <w:tc>
          <w:tcPr>
            <w:tcW w:type="dxa" w:w="922"/>
            <w:gridSpan w:val="2"/>
            <w:vMerge/>
          </w:tcPr>
          <w:p/>
        </w:tc>
        <w:tc>
          <w:tcPr>
            <w:tcW w:type="dxa" w:w="2307"/>
          </w:tcPr>
          <w:p>
            <w:pPr>
              <w:pStyle w:val="null3"/>
              <w:jc w:val="left"/>
            </w:pPr>
            <w:r>
              <w:rPr/>
              <w:t>自主知识产权情况 (10.0分)</w:t>
            </w:r>
          </w:p>
        </w:tc>
        <w:tc>
          <w:tcPr>
            <w:tcW w:type="dxa" w:w="5076"/>
          </w:tcPr>
          <w:p>
            <w:pPr>
              <w:pStyle w:val="null3"/>
              <w:jc w:val="left"/>
            </w:pPr>
            <w:r>
              <w:rPr/>
              <w:t>投标人具有： ①、投资项目管理； ②、数据资源管理； ③、数据质量管理 ④、大数据治理； ⑤、大数据集成。 相关软件著作权证书，每提供1个得2分，最多得10分。 注：提供证书复印件并加盖公章，不提供不得分。同一软件中包含上述多个功能的，可分别计分。不同软件存在同一功能的，不重复计算得分。</w:t>
            </w:r>
          </w:p>
        </w:tc>
      </w:tr>
      <w:tr>
        <w:tc>
          <w:tcPr>
            <w:tcW w:type="dxa" w:w="922"/>
            <w:gridSpan w:val="2"/>
            <w:vMerge/>
          </w:tcPr>
          <w:p/>
        </w:tc>
        <w:tc>
          <w:tcPr>
            <w:tcW w:type="dxa" w:w="2307"/>
          </w:tcPr>
          <w:p>
            <w:pPr>
              <w:pStyle w:val="null3"/>
              <w:jc w:val="left"/>
            </w:pPr>
            <w:r>
              <w:rPr/>
              <w:t>项目人员能力1（项目经理） (3.0分)</w:t>
            </w:r>
          </w:p>
        </w:tc>
        <w:tc>
          <w:tcPr>
            <w:tcW w:type="dxa" w:w="5076"/>
          </w:tcPr>
          <w:p>
            <w:pPr>
              <w:pStyle w:val="null3"/>
              <w:jc w:val="left"/>
            </w:pPr>
            <w:r>
              <w:rPr/>
              <w:t>1.项目经理1人 1）具有硕士研究生或以上毕业证书（或硕士或以上学位证书），得1分，本科或大专学历得0.5分。提供学历证明（所提供的学历证明文件如为国(境)外学历学位证书，提供中文翻译，及通过教育部学历认证的网上截图或教育部门出具的鉴定证明扫描件；如同时提供了2种不同学历水平的证明文件，按就高不就低的原则计算得分）； 2）具有系统集成项目管理工程师资质，得1分； 3）具有2021年1月至今以项目经理或技术负责人身份参与过信息化项目经验，得1分（须提供相关工作履历证明文件或证明文件，加盖投标人公章）。 本小项满分3分。 注：须提供以上人员证书扫描件，同时提供上述人员在2024年1月至今任意一个月在投标人单位缴纳的社保证明扫描件并加盖投标人公章，不提供社保不得分</w:t>
            </w:r>
          </w:p>
        </w:tc>
      </w:tr>
      <w:tr>
        <w:tc>
          <w:tcPr>
            <w:tcW w:type="dxa" w:w="922"/>
            <w:gridSpan w:val="2"/>
            <w:vMerge/>
          </w:tcPr>
          <w:p/>
        </w:tc>
        <w:tc>
          <w:tcPr>
            <w:tcW w:type="dxa" w:w="2307"/>
          </w:tcPr>
          <w:p>
            <w:pPr>
              <w:pStyle w:val="null3"/>
              <w:jc w:val="left"/>
            </w:pPr>
            <w:r>
              <w:rPr/>
              <w:t>项目人员能力2（技术负责人） (3.0分)</w:t>
            </w:r>
          </w:p>
        </w:tc>
        <w:tc>
          <w:tcPr>
            <w:tcW w:type="dxa" w:w="5076"/>
          </w:tcPr>
          <w:p>
            <w:pPr>
              <w:pStyle w:val="null3"/>
              <w:jc w:val="left"/>
            </w:pPr>
            <w:r>
              <w:rPr/>
              <w:t>2.技术负责人1人 1）具有软件设计师证书，得2分； 2）具有2021年1月至今以负责人身份或项目经理身份参与过信息化项目经验，得1分（须提供相关工作履历证明文件或证明文件，加盖投标人公章）。 本小项满分3分。 注：须提供以上人员证书扫描件，同时提供上述人员在2024年1月至今任意一个月在投标人单位缴纳的社保证明扫描件并加盖投标人公章，不提供社保不得分</w:t>
            </w:r>
          </w:p>
        </w:tc>
      </w:tr>
      <w:tr>
        <w:tc>
          <w:tcPr>
            <w:tcW w:type="dxa" w:w="922"/>
            <w:gridSpan w:val="2"/>
            <w:vMerge/>
          </w:tcPr>
          <w:p/>
        </w:tc>
        <w:tc>
          <w:tcPr>
            <w:tcW w:type="dxa" w:w="2307"/>
          </w:tcPr>
          <w:p>
            <w:pPr>
              <w:pStyle w:val="null3"/>
              <w:jc w:val="left"/>
            </w:pPr>
            <w:r>
              <w:rPr/>
              <w:t>项目人员能力3（除项目经理、技术负责人之外） (2.0分)</w:t>
            </w:r>
          </w:p>
        </w:tc>
        <w:tc>
          <w:tcPr>
            <w:tcW w:type="dxa" w:w="5076"/>
          </w:tcPr>
          <w:p>
            <w:pPr>
              <w:pStyle w:val="null3"/>
              <w:jc w:val="left"/>
            </w:pPr>
            <w:r>
              <w:rPr/>
              <w:t>3.项目团队成员（除项目经理、技术负责人之外） 1）具有硕士研究生或以上毕业证书（或硕士或以上学位证书），得1分，本科或大专学历得0.5分。提供学历证明（所提供的学历证明文件如为国(境)外学历学位证书，提供中文翻译，及通过教育部学历认证的网上截图或教育部门出具的鉴定证明扫描件；如同一人同时提供了2种不同学历水平的证明文件，按就高不就低的原则计算得分）； 2）具有系统集成项目管理工程师资质，得1分。 项目团队成员中，一人可满足以上多个条件的，可分别计算得分，本小项满分2分。 注：须提供以上人员证书扫描件，同时提供上述人员在2024年1月至今任意一个月在投标人单位缴纳的社保证明扫描件并加盖投标人公章，不提供社保不得分。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440001-2024-31590</w:t>
      </w:r>
    </w:p>
    <w:p>
      <w:pPr>
        <w:pStyle w:val="null3"/>
        <w:jc w:val="center"/>
        <w:outlineLvl w:val="3"/>
      </w:pPr>
      <w:r>
        <w:rPr>
          <w:sz w:val="24"/>
          <w:b/>
        </w:rPr>
        <w:t>采购项目编号：</w:t>
      </w:r>
      <w:r>
        <w:rPr>
          <w:sz w:val="24"/>
          <w:b/>
        </w:rPr>
        <w:t>GPCGD241104FG051F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省发展改革委重大项目前期工作服务系统开发和运营（2024年）项目</w:t>
      </w:r>
      <w:r>
        <w:rPr>
          <w:u w:val="single"/>
        </w:rPr>
        <w:t>”</w:t>
      </w:r>
      <w:r>
        <w:rPr/>
        <w:t>项目的招标[采购项目编号为：</w:t>
      </w:r>
      <w:r>
        <w:rPr>
          <w:u w:val="single"/>
        </w:rPr>
        <w:t>GPCGD241104FG051F</w:t>
      </w:r>
      <w:r>
        <w:rPr/>
        <w:t>]，我方愿参与投标。</w:t>
      </w:r>
    </w:p>
    <w:p>
      <w:pPr>
        <w:pStyle w:val="null3"/>
        <w:ind w:firstLine="480"/>
      </w:pPr>
      <w:r>
        <w:rPr/>
        <w:t>我方确认收到贵方提供的</w:t>
      </w:r>
      <w:r>
        <w:rPr>
          <w:u w:val="single"/>
        </w:rPr>
        <w:t>“</w:t>
      </w:r>
      <w:r>
        <w:rPr>
          <w:u w:val="single"/>
        </w:rPr>
        <w:t>省发展改革委重大项目前期工作服务系统开发和运营（2024年）项目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省发展改革委重大项目前期工作服务系统开发和运营（2024年）项目</w:t>
      </w:r>
      <w:r>
        <w:rPr/>
        <w:t>”项目采购[采购项目编号为</w:t>
      </w:r>
      <w:r>
        <w:rPr/>
        <w:t>GPCGD241104FG051F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广东省投资和信用中心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省发展改革委重大项目前期工作服务系统开发和运营（2024年）项目</w:t>
      </w:r>
      <w:r>
        <w:rPr/>
        <w:t>招标中获中标（采购项目编号：</w:t>
      </w:r>
      <w:r>
        <w:rPr/>
        <w:t>GPCGD241104FG051F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省发展改革委重大项目前期工作服务系统开发和运营（2024年）项目</w:t>
      </w:r>
      <w:r>
        <w:rPr/>
        <w:t>”项目（采购项目编号：</w:t>
      </w:r>
      <w:r>
        <w:rPr/>
        <w:t>GPCGD241104FG051F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