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440001-2024-12429</w:t>
      </w:r>
    </w:p>
    <w:p>
      <w:pPr>
        <w:pStyle w:val="null3"/>
        <w:jc w:val="center"/>
        <w:outlineLvl w:val="3"/>
      </w:pPr>
      <w:r>
        <w:rPr>
          <w:sz w:val="24"/>
          <w:b/>
        </w:rPr>
        <w:t>采购项目编号：</w:t>
      </w:r>
      <w:r>
        <w:rPr>
          <w:sz w:val="24"/>
          <w:b/>
        </w:rPr>
        <w:t>GPCGD243109HG059F</w:t>
      </w:r>
    </w:p>
    <w:p>
      <w:pPr>
        <w:pStyle w:val="null3"/>
        <w:jc w:val="center"/>
        <w:outlineLvl w:val="3"/>
      </w:pPr>
      <w:r>
        <w:rPr>
          <w:sz w:val="24"/>
          <w:b/>
        </w:rPr>
        <w:t>项目名称：</w:t>
      </w:r>
      <w:r>
        <w:rPr>
          <w:sz w:val="24"/>
          <w:b/>
        </w:rPr>
        <w:t>广东省海洋数据采集及应用能力提升（2024）项目——存储设备与GIS服务器软件采购项目(二次)</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广东省海洋发展规划研究中心</w:t>
      </w:r>
      <w:r>
        <w:rPr/>
        <w:t>的委托，采用</w:t>
      </w:r>
      <w:r>
        <w:rPr/>
        <w:t>公开招标</w:t>
      </w:r>
      <w:r>
        <w:rPr/>
        <w:t>方式组织采购</w:t>
      </w:r>
      <w:r>
        <w:rPr/>
        <w:t>广东省海洋数据采集及应用能力提升（2024）项目——存储设备与GIS服务器软件采购项目(二次)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广东省海洋数据采集及应用能力提升（2024）项目——存储设备与GIS服务器软件采购项目(二次)</w:t>
      </w:r>
    </w:p>
    <w:p>
      <w:pPr>
        <w:pStyle w:val="null3"/>
        <w:ind w:firstLine="480"/>
      </w:pPr>
      <w:r>
        <w:rPr/>
        <w:t>采购计划编号：</w:t>
      </w:r>
      <w:r>
        <w:rPr/>
        <w:t>440001-2024-12429</w:t>
      </w:r>
    </w:p>
    <w:p>
      <w:pPr>
        <w:pStyle w:val="null3"/>
        <w:ind w:firstLine="480"/>
      </w:pPr>
      <w:r>
        <w:rPr/>
        <w:t>采购项目编号：</w:t>
      </w:r>
      <w:r>
        <w:rPr/>
        <w:t>GPCGD243109HG059F</w:t>
      </w:r>
    </w:p>
    <w:p>
      <w:pPr>
        <w:pStyle w:val="null3"/>
        <w:ind w:firstLine="480"/>
      </w:pPr>
      <w:r>
        <w:rPr/>
        <w:t>采购方式：</w:t>
      </w:r>
      <w:r>
        <w:rPr/>
        <w:t>公开招标</w:t>
      </w:r>
    </w:p>
    <w:p>
      <w:pPr>
        <w:pStyle w:val="null3"/>
        <w:ind w:firstLine="480"/>
      </w:pPr>
      <w:r>
        <w:rPr/>
        <w:t>预算金额：</w:t>
      </w:r>
      <w:r>
        <w:rPr/>
        <w:t>600,000.00</w:t>
      </w:r>
      <w:r>
        <w:rPr/>
        <w:t>元</w:t>
      </w:r>
    </w:p>
    <w:p>
      <w:pPr>
        <w:pStyle w:val="null3"/>
        <w:outlineLvl w:val="3"/>
      </w:pPr>
      <w:r>
        <w:rPr>
          <w:sz w:val="24"/>
          <w:b/>
        </w:rPr>
        <w:t>2.项目内容及需求情况（采购项目技术规格、参数及要求）</w:t>
      </w:r>
    </w:p>
    <w:p>
      <w:pPr>
        <w:pStyle w:val="null3"/>
      </w:pPr>
      <w:r>
        <w:rPr/>
        <w:t>采购包1(GIS服务器软件):</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GIS服务器软件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合同履行期限：自合同签订之日起至质保期满之日，项目工期不超过2024年8月31日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提供以下2种证明材料之一：①2022或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采购包1（GIS服务器软件）：</w:t>
      </w:r>
    </w:p>
    <w:p>
      <w:pPr>
        <w:pStyle w:val="null3"/>
      </w:pPr>
      <w:r>
        <w:rPr/>
        <w:t>1)供应商未被列入“信用中国”网站(www.creditchina.gov.cn)“记录失信被执行人或重大税收违法案件当事人名单或政府采购严重违法失信行为”记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广东省海洋发展规划研究中心</w:t>
      </w:r>
    </w:p>
    <w:p>
      <w:pPr>
        <w:pStyle w:val="null3"/>
        <w:ind w:firstLine="480"/>
      </w:pPr>
      <w:r>
        <w:rPr/>
        <w:t xml:space="preserve"> 地址：</w:t>
      </w:r>
      <w:r>
        <w:rPr/>
        <w:t>广州市海珠区南华东路547号5-7楼</w:t>
      </w:r>
    </w:p>
    <w:p>
      <w:pPr>
        <w:pStyle w:val="null3"/>
        <w:ind w:firstLine="480"/>
      </w:pPr>
      <w:r>
        <w:rPr/>
        <w:t xml:space="preserve"> 联系方式：</w:t>
      </w:r>
      <w:r>
        <w:rPr/>
        <w:t>020-84475453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王莹莹</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　用户需求书</w:t>
      </w:r>
    </w:p>
    <w:p>
      <w:pPr>
        <w:pStyle w:val="null3"/>
        <w:jc w:val="both"/>
      </w:pPr>
      <w:r>
        <w:rPr>
          <w:sz w:val="21"/>
          <w:b/>
        </w:rPr>
        <w:t>1</w:t>
      </w:r>
      <w:r>
        <w:rPr>
          <w:sz w:val="21"/>
          <w:b/>
        </w:rPr>
        <w:t>、项目内容及需求</w:t>
      </w:r>
    </w:p>
    <w:p>
      <w:pPr>
        <w:pStyle w:val="null3"/>
        <w:ind w:firstLine="420"/>
        <w:jc w:val="both"/>
      </w:pPr>
      <w:r>
        <w:rPr>
          <w:sz w:val="21"/>
        </w:rPr>
        <w:t>供应商须对本项目为单位的货物及服务进行整体响应，任何只对本项目其中一部分内容进行的响应都被视为无效响应。</w:t>
      </w:r>
    </w:p>
    <w:p>
      <w:pPr>
        <w:pStyle w:val="null3"/>
        <w:ind w:firstLine="420"/>
        <w:jc w:val="both"/>
      </w:pPr>
      <w:r>
        <w:rPr>
          <w:sz w:val="21"/>
        </w:rPr>
        <w:t>《用户需求书》中标注有“★”号的条款必须实质性响应，负偏离任一“★”号条款（不满足要求）将导致报价无效。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2"/>
        <w:jc w:val="both"/>
      </w:pPr>
      <w:r>
        <w:rPr>
          <w:sz w:val="21"/>
          <w:b/>
        </w:rPr>
        <w:t>2</w:t>
      </w:r>
      <w:r>
        <w:rPr>
          <w:sz w:val="21"/>
          <w:b/>
        </w:rPr>
        <w:t>、供应商所投的产品，符合节能产品、环境标志产品政策要求的，按附件中《政策适用性说明》格式提供说明。</w:t>
      </w:r>
    </w:p>
    <w:p>
      <w:pPr>
        <w:pStyle w:val="null3"/>
        <w:jc w:val="both"/>
        <w:outlineLvl w:val="0"/>
      </w:pPr>
      <w:r>
        <w:rPr>
          <w:sz w:val="21"/>
          <w:b/>
        </w:rPr>
        <w:t>一、项目概况</w:t>
      </w:r>
    </w:p>
    <w:p>
      <w:pPr>
        <w:pStyle w:val="null3"/>
        <w:ind w:firstLine="420"/>
        <w:jc w:val="both"/>
      </w:pPr>
      <w:r>
        <w:rPr>
          <w:sz w:val="21"/>
        </w:rPr>
        <w:t>随着中心系统建设的不断完善，数据和服务数量不断增多，GIS平台资源已严重超负荷运转，且亟需针对大量影像服务发布和管理的扩展功能的增加。本项目主要为了增加GIS平台资源，辅助海洋影像汇集分析，提高项目里GIS平台的服务发布、服务承载、AI分析、分布式分析计算、影像服务发布与管理、基础平台稳定运行的能力。</w:t>
      </w:r>
    </w:p>
    <w:p>
      <w:pPr>
        <w:pStyle w:val="null3"/>
        <w:ind w:firstLine="420"/>
        <w:jc w:val="both"/>
      </w:pPr>
      <w:r>
        <w:rPr>
          <w:sz w:val="21"/>
        </w:rPr>
        <w:t>本次采购产品需要能保持项目整体软件技术路线及架构一致性，无缝衔接前期项目GIS资源和已有地图服务数据等资源，最大限度利旧且避免重复建设。</w:t>
      </w:r>
    </w:p>
    <w:p>
      <w:pPr>
        <w:pStyle w:val="null3"/>
        <w:jc w:val="both"/>
        <w:outlineLvl w:val="1"/>
      </w:pPr>
      <w:r>
        <w:rPr>
          <w:sz w:val="21"/>
          <w:b/>
        </w:rPr>
        <w:t>（一）包组名称</w:t>
      </w:r>
    </w:p>
    <w:p>
      <w:pPr>
        <w:pStyle w:val="null3"/>
        <w:jc w:val="both"/>
      </w:pPr>
      <w:r>
        <w:rPr>
          <w:sz w:val="21"/>
        </w:rPr>
        <w:t xml:space="preserve">  </w:t>
      </w:r>
      <w:r>
        <w:rPr>
          <w:sz w:val="21"/>
        </w:rPr>
        <w:t>广东省海洋数据采集及应用能力提升（2024）项目-GIS服务器软件采购（二次）。</w:t>
      </w:r>
    </w:p>
    <w:p>
      <w:pPr>
        <w:pStyle w:val="null3"/>
        <w:jc w:val="both"/>
        <w:outlineLvl w:val="1"/>
      </w:pPr>
      <w:r>
        <w:rPr>
          <w:sz w:val="21"/>
          <w:b/>
        </w:rPr>
        <w:t>（二）服务地点</w:t>
      </w:r>
    </w:p>
    <w:p>
      <w:pPr>
        <w:pStyle w:val="null3"/>
        <w:jc w:val="both"/>
      </w:pPr>
      <w:r>
        <w:rPr>
          <w:sz w:val="21"/>
        </w:rPr>
        <w:t xml:space="preserve">    </w:t>
      </w:r>
      <w:r>
        <w:rPr>
          <w:sz w:val="21"/>
        </w:rPr>
        <w:t>广东省广州市。</w:t>
      </w:r>
    </w:p>
    <w:p>
      <w:pPr>
        <w:pStyle w:val="null3"/>
        <w:jc w:val="both"/>
        <w:outlineLvl w:val="1"/>
      </w:pPr>
      <w:r>
        <w:rPr>
          <w:sz w:val="21"/>
          <w:b/>
        </w:rPr>
        <w:t>（三）采购预算</w:t>
      </w:r>
    </w:p>
    <w:p>
      <w:pPr>
        <w:pStyle w:val="null3"/>
        <w:jc w:val="both"/>
      </w:pPr>
      <w:r>
        <w:rPr>
          <w:sz w:val="21"/>
        </w:rPr>
        <w:t xml:space="preserve">    </w:t>
      </w:r>
      <w:r>
        <w:rPr>
          <w:sz w:val="21"/>
        </w:rPr>
        <w:t>本项目采购预算为人民币60万元。</w:t>
      </w:r>
    </w:p>
    <w:p>
      <w:pPr>
        <w:pStyle w:val="null3"/>
        <w:jc w:val="both"/>
        <w:outlineLvl w:val="1"/>
      </w:pPr>
      <w:r>
        <w:rPr>
          <w:sz w:val="21"/>
          <w:b/>
        </w:rPr>
        <w:t>（四）服务期限</w:t>
      </w:r>
    </w:p>
    <w:p>
      <w:pPr>
        <w:pStyle w:val="null3"/>
        <w:ind w:firstLine="420"/>
        <w:jc w:val="both"/>
      </w:pPr>
      <w:r>
        <w:rPr>
          <w:sz w:val="21"/>
        </w:rPr>
        <w:t>本项目服务期限为</w:t>
      </w:r>
      <w:r>
        <w:rPr>
          <w:sz w:val="21"/>
        </w:rPr>
        <w:t>自合同签订之日起至质保期满之日</w:t>
      </w:r>
      <w:r>
        <w:rPr>
          <w:sz w:val="21"/>
        </w:rPr>
        <w:t>，项目工期不超过2024年8月31日。</w:t>
      </w:r>
    </w:p>
    <w:p>
      <w:pPr>
        <w:pStyle w:val="null3"/>
        <w:jc w:val="both"/>
      </w:pPr>
      <w:r>
        <w:rPr>
          <w:sz w:val="21"/>
          <w:b/>
        </w:rPr>
        <w:t>二、采购内容与技术标准</w:t>
      </w:r>
    </w:p>
    <w:p>
      <w:pPr>
        <w:pStyle w:val="null3"/>
        <w:jc w:val="both"/>
      </w:pPr>
      <w:r>
        <w:rPr>
          <w:sz w:val="21"/>
        </w:rPr>
        <w:t xml:space="preserve">l </w:t>
      </w:r>
      <w:r>
        <w:rPr>
          <w:sz w:val="21"/>
          <w:b/>
        </w:rPr>
        <w:t>项目采购清单</w:t>
      </w:r>
    </w:p>
    <w:p>
      <w:pPr>
        <w:pStyle w:val="null3"/>
        <w:ind w:firstLine="420"/>
        <w:jc w:val="both"/>
      </w:pPr>
      <w:r>
        <w:rPr>
          <w:sz w:val="21"/>
        </w:rPr>
        <w:t>投标人所投价格不超过项目采购清单单项最高价格。</w:t>
      </w:r>
    </w:p>
    <w:tbl>
      <w:tblPr>
        <w:tblW w:w="0" w:type="auto"/>
        <w:tblBorders>
          <w:top w:val="none" w:color="000000" w:sz="4"/>
          <w:left w:val="none" w:color="000000" w:sz="4"/>
          <w:bottom w:val="none" w:color="000000" w:sz="4"/>
          <w:right w:val="none" w:color="000000" w:sz="4"/>
          <w:insideH w:val="none"/>
          <w:insideV w:val="none"/>
        </w:tblBorders>
      </w:tblPr>
      <w:tblGrid>
        <w:gridCol w:w="1102"/>
        <w:gridCol w:w="2288"/>
        <w:gridCol w:w="2034"/>
        <w:gridCol w:w="2882"/>
      </w:tblGrid>
      <w:tr>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采购内容</w:t>
            </w:r>
          </w:p>
        </w:tc>
        <w:tc>
          <w:tcPr>
            <w:tcW w:type="dxa" w:w="20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数量（项）</w:t>
            </w:r>
          </w:p>
        </w:tc>
        <w:tc>
          <w:tcPr>
            <w:tcW w:type="dxa" w:w="28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单价最高预算（万元）</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GIS</w:t>
            </w:r>
            <w:r>
              <w:rPr>
                <w:sz w:val="21"/>
              </w:rPr>
              <w:t>服务器软件</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w:t>
            </w:r>
          </w:p>
        </w:tc>
      </w:tr>
    </w:tbl>
    <w:p>
      <w:pPr>
        <w:pStyle w:val="null3"/>
        <w:ind w:firstLine="420"/>
        <w:jc w:val="both"/>
      </w:pPr>
      <w:r>
        <w:rPr>
          <w:sz w:val="21"/>
        </w:rPr>
        <w:t>★本项目不允许分包，如供应商在投标</w:t>
      </w:r>
      <w:r>
        <w:rPr>
          <w:sz w:val="21"/>
        </w:rPr>
        <w:t>/</w:t>
      </w:r>
      <w:r>
        <w:rPr>
          <w:sz w:val="21"/>
        </w:rPr>
        <w:t>响应文件中未出现《分包协议意向书》，则视为未采取分包。</w:t>
      </w:r>
    </w:p>
    <w:p>
      <w:pPr>
        <w:pStyle w:val="null3"/>
        <w:jc w:val="both"/>
      </w:pPr>
      <w:r>
        <w:rPr>
          <w:sz w:val="21"/>
        </w:rPr>
        <w:t xml:space="preserve">l </w:t>
      </w:r>
      <w:r>
        <w:rPr>
          <w:sz w:val="21"/>
          <w:b/>
        </w:rPr>
        <w:t>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参数性质</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具体技术（参数）要求</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▲1.能够无缝衔接现有的广东省智慧自然资源—海洋数据管理应用项目软件开发服务－海洋数据管理应用子系统数据及GIS服务，作为扩展资源接入现有的GIS平台，达到增加GIS资源和服务能力提升的目的。</w:t>
            </w:r>
          </w:p>
          <w:p>
            <w:pPr>
              <w:pStyle w:val="null3"/>
              <w:jc w:val="both"/>
            </w:pPr>
            <w:r>
              <w:rPr>
                <w:sz w:val="21"/>
              </w:rPr>
              <w:t xml:space="preserve">2.  </w:t>
            </w:r>
            <w:r>
              <w:rPr>
                <w:sz w:val="21"/>
              </w:rPr>
              <w:t>基于跨平台GIS内核的服务器GIS软件平台，提供地图服务、数据服务、矢量瓦片服务、几何服务、数据目录服务、Web打印服务和智能缓存技术。</w:t>
            </w:r>
          </w:p>
          <w:p>
            <w:pPr>
              <w:pStyle w:val="null3"/>
              <w:jc w:val="both"/>
            </w:pPr>
            <w:r>
              <w:rPr>
                <w:sz w:val="21"/>
              </w:rPr>
              <w:t xml:space="preserve">3.  </w:t>
            </w:r>
            <w:r>
              <w:rPr>
                <w:sz w:val="21"/>
              </w:rPr>
              <w:t>支持海量影像数据的快速发布，全面支持各种空间对象类型，支持SIT遥感影像压缩技术，支持影像和矢量数据的叠加显示。</w:t>
            </w:r>
          </w:p>
          <w:p>
            <w:pPr>
              <w:pStyle w:val="null3"/>
              <w:jc w:val="both"/>
            </w:pPr>
            <w:r>
              <w:rPr>
                <w:sz w:val="21"/>
              </w:rPr>
              <w:t xml:space="preserve">4.  </w:t>
            </w:r>
            <w:r>
              <w:rPr>
                <w:sz w:val="21"/>
              </w:rPr>
              <w:t>支持地图服务、空间数据访问与管理服务、智能缓存技术；提供高级数据服务，包括在线统计分析功能（最大值、最小值、平均值、方差、标准差、求和）；具有第三方服务分发功能。</w:t>
            </w:r>
          </w:p>
          <w:p>
            <w:pPr>
              <w:pStyle w:val="null3"/>
              <w:jc w:val="both"/>
            </w:pPr>
            <w:r>
              <w:rPr>
                <w:sz w:val="21"/>
              </w:rPr>
              <w:t xml:space="preserve">5.  </w:t>
            </w:r>
            <w:r>
              <w:rPr>
                <w:sz w:val="21"/>
              </w:rPr>
              <w:t>集群分发机制支持基于业务进行扩展，实现基于业务的智能分发。</w:t>
            </w:r>
          </w:p>
          <w:p>
            <w:pPr>
              <w:pStyle w:val="null3"/>
              <w:jc w:val="both"/>
            </w:pPr>
            <w:r>
              <w:rPr>
                <w:sz w:val="21"/>
              </w:rPr>
              <w:t xml:space="preserve">6.  </w:t>
            </w:r>
            <w:r>
              <w:rPr>
                <w:sz w:val="21"/>
              </w:rPr>
              <w:t>支持服务实例动态化管理机制，实现海量服务实例的智能掌控。</w:t>
            </w:r>
          </w:p>
          <w:p>
            <w:pPr>
              <w:pStyle w:val="null3"/>
              <w:jc w:val="both"/>
            </w:pPr>
            <w:r>
              <w:rPr>
                <w:sz w:val="21"/>
              </w:rPr>
              <w:t xml:space="preserve">7.  </w:t>
            </w:r>
            <w:r>
              <w:rPr>
                <w:sz w:val="21"/>
              </w:rPr>
              <w:t>▲提供地理处理建模框架，支持在地理处理建模中运行单机工具，包括：数据管理、影像管理、空间统计分析、栅格分析、交通分析等。地理处理模型库支持多重加密具备集中管理多个模型，支持创建子目录；支持设置密码和权限，确保模型分享安全可控；模型库支持可执行、可查看和可修改3种权限，组合使用，便于模型管理安全可控。（</w:t>
            </w:r>
            <w:r>
              <w:rPr>
                <w:sz w:val="21"/>
                <w:b/>
              </w:rPr>
              <w:t>提供软件地理处理模型库支持多重加密具备集中管理多个模型，模型库支持可执行、可查看和可修改3种权限，组合使用的功能界面的截图。</w:t>
            </w:r>
            <w:r>
              <w:rPr>
                <w:sz w:val="21"/>
              </w:rPr>
              <w:t>在相应参数或功能处作出标记（例如用红色方框标记）并注明针对的指标序号。未做标记出现漏评风险由投标人承担，评标委员会可视为不满足</w:t>
            </w:r>
            <w:r>
              <w:rPr>
                <w:sz w:val="21"/>
                <w:b/>
              </w:rPr>
              <w:t>）。</w:t>
            </w:r>
          </w:p>
          <w:p>
            <w:pPr>
              <w:pStyle w:val="null3"/>
              <w:jc w:val="both"/>
            </w:pPr>
            <w:r>
              <w:rPr>
                <w:sz w:val="21"/>
              </w:rPr>
              <w:t xml:space="preserve">8.  </w:t>
            </w:r>
            <w:r>
              <w:rPr>
                <w:sz w:val="21"/>
              </w:rPr>
              <w:t>▲支持服务器端的地图服务和数据服务的聚合，聚合后的服务可作为一个服务对外提供访问。（</w:t>
            </w:r>
            <w:r>
              <w:rPr>
                <w:sz w:val="21"/>
                <w:b/>
              </w:rPr>
              <w:t>提供软件支持服务器端地图服务和数据服务的聚合功能界面的截图。</w:t>
            </w:r>
            <w:r>
              <w:rPr>
                <w:sz w:val="21"/>
              </w:rPr>
              <w:t>在相应参数或功能处作出标记（例如用红色方框标记）并注明针对的指标序号。未做标记出现漏评风险由投标人承担，评标委员会可视为不满足）。</w:t>
            </w:r>
          </w:p>
          <w:p>
            <w:pPr>
              <w:pStyle w:val="null3"/>
              <w:jc w:val="both"/>
            </w:pPr>
            <w:r>
              <w:rPr>
                <w:sz w:val="21"/>
              </w:rPr>
              <w:t xml:space="preserve">9.  </w:t>
            </w:r>
            <w:r>
              <w:rPr>
                <w:sz w:val="21"/>
              </w:rPr>
              <w:t>▲支持对聚合后的地图进行切图。支持监控切图进度，可实时查看各个切图节点的工作状态。（</w:t>
            </w:r>
            <w:r>
              <w:rPr>
                <w:sz w:val="21"/>
                <w:b/>
              </w:rPr>
              <w:t>提供软件支持对聚合后的地图进行切图功能界面的截图。</w:t>
            </w:r>
            <w:r>
              <w:rPr>
                <w:sz w:val="21"/>
              </w:rPr>
              <w:t>在相应参数或功能处作出标记（例如用红色方框标记）并注明针对的指标序号。未做标记出现漏评风险由投标人承担，评标委员会可视为不满足）。</w:t>
            </w:r>
          </w:p>
          <w:p>
            <w:pPr>
              <w:pStyle w:val="null3"/>
              <w:jc w:val="both"/>
            </w:pPr>
            <w:r>
              <w:rPr>
                <w:sz w:val="21"/>
              </w:rPr>
              <w:t xml:space="preserve">10. </w:t>
            </w:r>
            <w:r>
              <w:rPr>
                <w:sz w:val="21"/>
              </w:rPr>
              <w:t>▲该软件应兼容ARM（飞腾）、MIPS64（龙芯）、X86（海光）架构CPU芯片。（提供飞腾、龙芯、海光等CPU芯片兼容证明证书）。</w:t>
            </w:r>
          </w:p>
          <w:p>
            <w:pPr>
              <w:pStyle w:val="null3"/>
              <w:jc w:val="both"/>
            </w:pPr>
            <w:r>
              <w:rPr>
                <w:sz w:val="21"/>
              </w:rPr>
              <w:t xml:space="preserve">11. </w:t>
            </w:r>
            <w:r>
              <w:rPr>
                <w:sz w:val="21"/>
              </w:rPr>
              <w:t>▲该软件应兼容Linux操作系统，如银河麒麟服务器操作系统v10（飞腾版、鲲鹏版、兆芯版、海光版、AMD64版）、统信服务器操作系统 UOSv20（FT-2000+/64、腾云S2500、鲲鹏916/920）、北京红旗、中科方德高可信服务器操作系统（海光版、兆芯版、AMD64版）、新支点电信级服务器操作系统。（提供银河麒麟（ARM）、统信UOS（ARM）、中科方德（ARM）、北京红旗、新支点等操作系统兼容证明证书）。</w:t>
            </w:r>
          </w:p>
          <w:p>
            <w:pPr>
              <w:pStyle w:val="null3"/>
              <w:jc w:val="both"/>
            </w:pPr>
            <w:r>
              <w:rPr>
                <w:sz w:val="21"/>
              </w:rPr>
              <w:t xml:space="preserve">12. </w:t>
            </w:r>
            <w:r>
              <w:rPr>
                <w:sz w:val="21"/>
              </w:rPr>
              <w:t>支持分布式生产WebP格式的地图瓦片。支持对切图的瓦片格式进行扩展。</w:t>
            </w:r>
          </w:p>
          <w:p>
            <w:pPr>
              <w:pStyle w:val="null3"/>
              <w:jc w:val="both"/>
            </w:pPr>
            <w:r>
              <w:rPr>
                <w:sz w:val="21"/>
              </w:rPr>
              <w:t xml:space="preserve">13. </w:t>
            </w:r>
            <w:r>
              <w:rPr>
                <w:sz w:val="21"/>
              </w:rPr>
              <w:t>▲平台底层同时支持WebGPU和WebGL两套渲染引擎，在使用层面方便在WebGPU和WebGL之间无缝切换，保持API相同，更方便进行项目迁移和渲染引擎选择。（提供支持WebGPU和WebGL两套渲染引擎的产品能力界面的截图，在相应参数或功能处作出标记（例如用红色方框标记）并注明针对的指标序号。未做标记出现漏评风险由投标人承担，评标委员会可视为不满足）。</w:t>
            </w:r>
          </w:p>
          <w:p>
            <w:pPr>
              <w:pStyle w:val="null3"/>
              <w:jc w:val="both"/>
            </w:pPr>
            <w:r>
              <w:rPr>
                <w:sz w:val="21"/>
              </w:rPr>
              <w:t xml:space="preserve">14. </w:t>
            </w:r>
            <w:r>
              <w:rPr>
                <w:sz w:val="21"/>
              </w:rPr>
              <w:t>▲支持对大体量矢量数据免切片发布，结合分布式空间存储技术，多机分布式动态出图技术以及单机多线程并行出图技术，有效提升动态出图的性能。</w:t>
            </w:r>
          </w:p>
          <w:p>
            <w:pPr>
              <w:pStyle w:val="null3"/>
              <w:jc w:val="both"/>
            </w:pPr>
            <w:r>
              <w:rPr>
                <w:sz w:val="21"/>
              </w:rPr>
              <w:t xml:space="preserve">15. </w:t>
            </w:r>
            <w:r>
              <w:rPr>
                <w:sz w:val="21"/>
              </w:rPr>
              <w:t>▲支持栅格数据分布式入库，入库后即可将分布式栅格数据发布为地图服务，栅格数据“免切片”发布可有效减少数据处理的资源投入，显著提升数据的稳定性和效率。</w:t>
            </w:r>
          </w:p>
          <w:p>
            <w:pPr>
              <w:pStyle w:val="null3"/>
              <w:jc w:val="both"/>
            </w:pPr>
            <w:r>
              <w:rPr>
                <w:sz w:val="21"/>
              </w:rPr>
              <w:t xml:space="preserve">16. </w:t>
            </w:r>
            <w:r>
              <w:rPr>
                <w:sz w:val="21"/>
              </w:rPr>
              <w:t>提供 Web 打印服务，可将 Web 应用中制作的 Web 地图输出为可打印的地图文档。支持打印成 A0/A1 图幅的 GeoPDF 文档；支持对打印结果中的空间/文本信息二次编辑；提供可扩展的交通、国土等行业布局模板；支持依照《国家基本比例尺地形图分幅和编号》 标准打印国家标准分幅地图；</w:t>
            </w:r>
          </w:p>
          <w:p>
            <w:pPr>
              <w:pStyle w:val="null3"/>
              <w:jc w:val="both"/>
            </w:pPr>
            <w:r>
              <w:rPr>
                <w:sz w:val="21"/>
              </w:rPr>
              <w:t xml:space="preserve">17. </w:t>
            </w:r>
            <w:r>
              <w:rPr>
                <w:sz w:val="21"/>
              </w:rPr>
              <w:t>支持发布地址匹配服务，提供正向地址匹配以及逆向地址匹配功能。</w:t>
            </w:r>
          </w:p>
          <w:p>
            <w:pPr>
              <w:pStyle w:val="null3"/>
              <w:jc w:val="both"/>
            </w:pPr>
            <w:r>
              <w:rPr>
                <w:sz w:val="21"/>
              </w:rPr>
              <w:t xml:space="preserve">18. </w:t>
            </w:r>
            <w:r>
              <w:rPr>
                <w:sz w:val="21"/>
              </w:rPr>
              <w:t>▲支持大规模影像的快速发布与管理功能：支持免切片快速发布，浏览性能高；支持根据属性查询匹配的影像数据；支持影像动态镶嵌。支持大规模影像的快速发布，支持监控影像数据目录，自动追加新增影像文件的能力；支持静默切片能力，在后台高效生成影像地图瓦片，使影像服务同时具备提供瓦片服务的能力。（提供软件支持监控影像数据目录，自动追加新增影像文件的能力；支持静默切片能力，在后台高效生成影像地图瓦片功能界面的截图。在相应参数或功能处作出标记（例如用红色方框标记）并注明针对的指标序号。未做标记出现漏评风险由投标人承担，评标委员会可视为不满足）</w:t>
            </w:r>
          </w:p>
          <w:p>
            <w:pPr>
              <w:pStyle w:val="null3"/>
              <w:jc w:val="both"/>
            </w:pPr>
            <w:r>
              <w:rPr>
                <w:sz w:val="21"/>
              </w:rPr>
              <w:t xml:space="preserve">19. </w:t>
            </w:r>
            <w:r>
              <w:rPr>
                <w:sz w:val="21"/>
              </w:rPr>
              <w:t>支持丰富的可视化技术，包括：麻点图、矢量图、属性图、标签图；高性能矢量渲染技术；时空数据可视化。</w:t>
            </w:r>
          </w:p>
          <w:p>
            <w:pPr>
              <w:pStyle w:val="null3"/>
              <w:jc w:val="both"/>
            </w:pPr>
            <w:r>
              <w:rPr>
                <w:sz w:val="21"/>
              </w:rPr>
              <w:t xml:space="preserve">20. </w:t>
            </w:r>
            <w:r>
              <w:rPr>
                <w:sz w:val="21"/>
              </w:rPr>
              <w:t>支持服务实例动态化管理，当存量GIS服务较多时，能够有效提升服务启动速度，并能主动销毁空闲服务实例、控制最大在线服务实例数，从而降低资源占用，提升系统可用性 。</w:t>
            </w:r>
          </w:p>
          <w:p>
            <w:pPr>
              <w:pStyle w:val="null3"/>
              <w:jc w:val="both"/>
            </w:pPr>
            <w:r>
              <w:rPr>
                <w:sz w:val="21"/>
              </w:rPr>
              <w:t xml:space="preserve">21. </w:t>
            </w:r>
            <w:r>
              <w:rPr>
                <w:sz w:val="21"/>
              </w:rPr>
              <w:t xml:space="preserve">支持监控服务器的运行状态、并发访问、热线服务。支持监控并统计服务器的当前负载、集群系统内部各节点的负载状况。支持按照用户、时间或日期统计服务访问历史。支持在系统出现错误或警告信息时通过邮件通知管理员。 </w:t>
            </w:r>
          </w:p>
          <w:p>
            <w:pPr>
              <w:pStyle w:val="null3"/>
              <w:jc w:val="both"/>
            </w:pPr>
            <w:r>
              <w:rPr>
                <w:sz w:val="21"/>
              </w:rPr>
              <w:t xml:space="preserve">22. </w:t>
            </w:r>
            <w:r>
              <w:rPr>
                <w:sz w:val="21"/>
              </w:rPr>
              <w:t>▲支持面向Web的处理自动化和面向PC的处理自动化模型文件相互复用，通过处理自动化工具构建处理自动化模型并运行，可实现空间数据处理与分析过程的自动化，也可以通过使用自定义工具构建模型进行空间数据处理与分析。</w:t>
            </w:r>
          </w:p>
          <w:p>
            <w:pPr>
              <w:pStyle w:val="null3"/>
              <w:jc w:val="both"/>
            </w:pPr>
            <w:r>
              <w:rPr>
                <w:sz w:val="21"/>
              </w:rPr>
              <w:t xml:space="preserve">23. </w:t>
            </w:r>
            <w:r>
              <w:rPr>
                <w:sz w:val="21"/>
              </w:rPr>
              <w:t>提供领域空间信息服务扩展服务，扩展包括服务能力、接口、安全、集群等、支持将扩展的服务集成到服务管理器统一管理、扩展服务可部署在GIS服务器进程中，或以微服务方式独立部署。</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p>
        </w:tc>
        <w:tc>
          <w:tcPr>
            <w:tcW w:type="dxa" w:w="55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打“★”号条款为实质性条款，若有任何一条负偏离或不满足则导致投标无效。</w:t>
            </w:r>
            <w:r>
              <w:br/>
            </w:r>
            <w:r>
              <w:rPr>
                <w:sz w:val="21"/>
              </w:rPr>
              <w:t xml:space="preserve"> 打“▲”号条款为重要技术参数，若有部分“▲”条款未响应或不满足，将导致其响应性评审加重扣分，但不作为无效投标条款。</w:t>
            </w:r>
          </w:p>
        </w:tc>
      </w:tr>
    </w:tbl>
    <w:p>
      <w:pPr>
        <w:pStyle w:val="null3"/>
        <w:jc w:val="both"/>
        <w:outlineLvl w:val="0"/>
      </w:pPr>
      <w:r>
        <w:rPr>
          <w:sz w:val="21"/>
          <w:b/>
        </w:rPr>
        <w:t>三、服务要求</w:t>
      </w:r>
    </w:p>
    <w:p>
      <w:pPr>
        <w:pStyle w:val="null3"/>
        <w:ind w:firstLine="420"/>
        <w:jc w:val="both"/>
      </w:pPr>
      <w:r>
        <w:rPr>
          <w:sz w:val="21"/>
        </w:rPr>
        <w:t>（一）安装与调试</w:t>
      </w:r>
    </w:p>
    <w:p>
      <w:pPr>
        <w:pStyle w:val="null3"/>
        <w:ind w:firstLine="420"/>
        <w:jc w:val="both"/>
      </w:pPr>
      <w:r>
        <w:rPr>
          <w:sz w:val="21"/>
        </w:rPr>
        <w:t xml:space="preserve"> 1.</w:t>
      </w:r>
      <w:r>
        <w:rPr>
          <w:sz w:val="21"/>
        </w:rPr>
        <w:t>成交供应商必须按项目进度安排计划，派出适当的技术人员到安装现场负责免费安装和调试工作。在安装期间，严格遵守采购人的有关规定。</w:t>
      </w:r>
    </w:p>
    <w:p>
      <w:pPr>
        <w:pStyle w:val="null3"/>
        <w:ind w:firstLine="420"/>
        <w:jc w:val="both"/>
      </w:pPr>
      <w:r>
        <w:rPr>
          <w:sz w:val="21"/>
        </w:rPr>
        <w:t xml:space="preserve"> 2.</w:t>
      </w:r>
      <w:r>
        <w:rPr>
          <w:sz w:val="21"/>
        </w:rPr>
        <w:t>成交供应商必须依照招标文件的要求和响应文件的承诺，将软件安装并调试至正常运行的最佳状态。</w:t>
      </w:r>
    </w:p>
    <w:p>
      <w:pPr>
        <w:pStyle w:val="null3"/>
        <w:ind w:firstLine="420"/>
        <w:jc w:val="both"/>
      </w:pPr>
      <w:r>
        <w:rPr>
          <w:sz w:val="21"/>
        </w:rPr>
        <w:t>（二）技术支持</w:t>
      </w:r>
    </w:p>
    <w:p>
      <w:pPr>
        <w:pStyle w:val="null3"/>
        <w:ind w:firstLine="420"/>
        <w:jc w:val="both"/>
      </w:pPr>
      <w:r>
        <w:rPr>
          <w:sz w:val="21"/>
        </w:rPr>
        <w:t>1.</w:t>
      </w:r>
      <w:r>
        <w:rPr>
          <w:sz w:val="21"/>
        </w:rPr>
        <w:t>产品质保期内免费提供技术指导和交流。</w:t>
      </w:r>
    </w:p>
    <w:p>
      <w:pPr>
        <w:pStyle w:val="null3"/>
        <w:ind w:firstLine="420"/>
        <w:jc w:val="both"/>
      </w:pPr>
      <w:r>
        <w:rPr>
          <w:sz w:val="21"/>
        </w:rPr>
        <w:t>（三）技术文件</w:t>
      </w:r>
    </w:p>
    <w:p>
      <w:pPr>
        <w:pStyle w:val="null3"/>
        <w:ind w:firstLine="420"/>
        <w:jc w:val="both"/>
      </w:pPr>
      <w:r>
        <w:rPr>
          <w:sz w:val="21"/>
        </w:rPr>
        <w:t>1.</w:t>
      </w:r>
      <w:r>
        <w:rPr>
          <w:sz w:val="21"/>
        </w:rPr>
        <w:t>成交供应商应提供软件的详细操作、安装及调整说明书。</w:t>
      </w:r>
    </w:p>
    <w:p>
      <w:pPr>
        <w:pStyle w:val="null3"/>
        <w:ind w:firstLine="420"/>
        <w:jc w:val="both"/>
      </w:pPr>
      <w:r>
        <w:rPr>
          <w:sz w:val="21"/>
        </w:rPr>
        <w:t>2.</w:t>
      </w:r>
      <w:r>
        <w:rPr>
          <w:sz w:val="21"/>
        </w:rPr>
        <w:t>成交供应商应提供软件的用户手册。</w:t>
      </w:r>
    </w:p>
    <w:p>
      <w:pPr>
        <w:pStyle w:val="null3"/>
        <w:ind w:firstLine="420"/>
        <w:jc w:val="both"/>
      </w:pPr>
      <w:r>
        <w:rPr>
          <w:sz w:val="21"/>
        </w:rPr>
        <w:t>（四）质保期</w:t>
      </w:r>
    </w:p>
    <w:p>
      <w:pPr>
        <w:pStyle w:val="null3"/>
        <w:ind w:firstLine="420"/>
        <w:jc w:val="both"/>
      </w:pPr>
      <w:r>
        <w:rPr>
          <w:sz w:val="21"/>
        </w:rPr>
        <w:t>1.</w:t>
      </w:r>
      <w:r>
        <w:rPr>
          <w:sz w:val="21"/>
        </w:rPr>
        <w:t>质量保证期（简称</w:t>
      </w:r>
      <w:r>
        <w:rPr>
          <w:sz w:val="21"/>
        </w:rPr>
        <w:t>“</w:t>
      </w:r>
      <w:r>
        <w:rPr>
          <w:sz w:val="21"/>
        </w:rPr>
        <w:t>质保期</w:t>
      </w:r>
      <w:r>
        <w:rPr>
          <w:sz w:val="21"/>
        </w:rPr>
        <w:t>”</w:t>
      </w:r>
      <w:r>
        <w:rPr>
          <w:sz w:val="21"/>
        </w:rPr>
        <w:t>）为双方确认项目验收合格后</w:t>
      </w:r>
      <w:r>
        <w:rPr>
          <w:sz w:val="21"/>
        </w:rPr>
        <w:t>1</w:t>
      </w:r>
      <w:r>
        <w:rPr>
          <w:sz w:val="21"/>
        </w:rPr>
        <w:t>年。质保期内，供应商提供免费的质量保证和系统维护服务。</w:t>
      </w:r>
    </w:p>
    <w:p>
      <w:pPr>
        <w:pStyle w:val="null3"/>
        <w:ind w:firstLine="420"/>
        <w:jc w:val="both"/>
      </w:pPr>
      <w:r>
        <w:rPr>
          <w:sz w:val="21"/>
        </w:rPr>
        <w:t>2.</w:t>
      </w:r>
      <w:r>
        <w:rPr>
          <w:sz w:val="21"/>
        </w:rPr>
        <w:t>对采购人的服务通知，供应商在接报后</w:t>
      </w:r>
      <w:r>
        <w:rPr>
          <w:sz w:val="21"/>
        </w:rPr>
        <w:t>2</w:t>
      </w:r>
      <w:r>
        <w:rPr>
          <w:sz w:val="21"/>
        </w:rPr>
        <w:t>小时内响应，</w:t>
      </w:r>
      <w:r>
        <w:rPr>
          <w:sz w:val="21"/>
        </w:rPr>
        <w:t>24</w:t>
      </w:r>
      <w:r>
        <w:rPr>
          <w:sz w:val="21"/>
        </w:rPr>
        <w:t>小时内到达现场，</w:t>
      </w:r>
      <w:r>
        <w:rPr>
          <w:sz w:val="21"/>
        </w:rPr>
        <w:t>48</w:t>
      </w:r>
      <w:r>
        <w:rPr>
          <w:sz w:val="21"/>
        </w:rPr>
        <w:t>小时内处理完毕。若在</w:t>
      </w:r>
      <w:r>
        <w:rPr>
          <w:sz w:val="21"/>
        </w:rPr>
        <w:t>48</w:t>
      </w:r>
      <w:r>
        <w:rPr>
          <w:sz w:val="21"/>
        </w:rPr>
        <w:t>小时内仍未能有效解决，供应商须提供相应解决方法变通处理。</w:t>
      </w:r>
    </w:p>
    <w:p>
      <w:pPr>
        <w:pStyle w:val="null3"/>
        <w:jc w:val="both"/>
      </w:pPr>
      <w:r>
        <w:rPr>
          <w:sz w:val="21"/>
          <w:b/>
        </w:rPr>
        <w:t>四、验收标准</w:t>
      </w:r>
    </w:p>
    <w:p>
      <w:pPr>
        <w:pStyle w:val="null3"/>
        <w:ind w:firstLine="420"/>
        <w:jc w:val="both"/>
      </w:pPr>
      <w:r>
        <w:rPr>
          <w:sz w:val="21"/>
        </w:rPr>
        <w:t>1.</w:t>
      </w:r>
      <w:r>
        <w:rPr>
          <w:sz w:val="21"/>
        </w:rPr>
        <w:t>交付验收标准依次序对照适用标准为：①符合中华人民共和国国家安全质量标准、环保标准或行业标准；②符合公开招标文件和投标承诺中采购人认可的合理最佳配置、参数及各项要求。</w:t>
      </w:r>
    </w:p>
    <w:p>
      <w:pPr>
        <w:pStyle w:val="null3"/>
        <w:ind w:firstLine="420"/>
        <w:jc w:val="both"/>
      </w:pPr>
      <w:r>
        <w:rPr>
          <w:sz w:val="21"/>
        </w:rPr>
        <w:t>2.</w:t>
      </w:r>
      <w:r>
        <w:rPr>
          <w:sz w:val="21"/>
        </w:rPr>
        <w:t>货物为原厂商未启封全新包装，所有随产品的附件必须齐全。</w:t>
      </w:r>
    </w:p>
    <w:p>
      <w:pPr>
        <w:pStyle w:val="null3"/>
        <w:ind w:firstLine="420"/>
        <w:jc w:val="both"/>
      </w:pPr>
      <w:r>
        <w:rPr>
          <w:sz w:val="21"/>
        </w:rPr>
        <w:t>3.</w:t>
      </w:r>
      <w:r>
        <w:rPr>
          <w:sz w:val="21"/>
        </w:rPr>
        <w:t>当出现不合格产品时，成交供应商要无条件更换合格产品。除采购人认可，否则不接受任何形式的降格处理。</w:t>
      </w:r>
    </w:p>
    <w:p>
      <w:pPr>
        <w:pStyle w:val="null3"/>
        <w:ind w:firstLine="420"/>
        <w:jc w:val="both"/>
      </w:pPr>
      <w:r>
        <w:rPr>
          <w:sz w:val="21"/>
        </w:rPr>
        <w:t>4.</w:t>
      </w:r>
      <w:r>
        <w:rPr>
          <w:sz w:val="21"/>
        </w:rPr>
        <w:t>需邀请第三方机构进行验收，由此产生的费用由成交人承担。</w:t>
      </w:r>
    </w:p>
    <w:p>
      <w:pPr>
        <w:pStyle w:val="null3"/>
        <w:jc w:val="both"/>
      </w:pPr>
      <w:r>
        <w:rPr>
          <w:sz w:val="21"/>
          <w:b/>
        </w:rPr>
        <w:t>五、违约责任</w:t>
      </w:r>
    </w:p>
    <w:p>
      <w:pPr>
        <w:pStyle w:val="null3"/>
        <w:ind w:firstLine="420"/>
        <w:jc w:val="both"/>
      </w:pPr>
      <w:r>
        <w:rPr>
          <w:sz w:val="21"/>
        </w:rPr>
        <w:t>1.</w:t>
      </w:r>
      <w:r>
        <w:rPr>
          <w:sz w:val="21"/>
        </w:rPr>
        <w:t>如成交人延期交货或采购人延期付款，每逾期一日，违约方应按合同金额3‰向对方支付违约金，但该违约金累计不超过合同金额的3‰，逾期超过5日，守约方有权解除合同，并要求违约方赔偿由此造成的损失。</w:t>
      </w:r>
    </w:p>
    <w:p>
      <w:pPr>
        <w:pStyle w:val="null3"/>
        <w:ind w:firstLine="420"/>
        <w:jc w:val="both"/>
      </w:pPr>
      <w:r>
        <w:rPr>
          <w:sz w:val="21"/>
        </w:rPr>
        <w:t>2.</w:t>
      </w:r>
      <w:r>
        <w:rPr>
          <w:sz w:val="21"/>
        </w:rPr>
        <w:t>如任何一方无故解除合同或有其他违约行为，应向对方支付合同金额5%的违约金。</w:t>
      </w:r>
    </w:p>
    <w:p>
      <w:pPr>
        <w:pStyle w:val="null3"/>
        <w:jc w:val="both"/>
      </w:pPr>
      <w:r>
        <w:rPr>
          <w:sz w:val="21"/>
          <w:b/>
        </w:rPr>
        <w:t>六、解决纠纷方式</w:t>
      </w:r>
    </w:p>
    <w:p>
      <w:pPr>
        <w:pStyle w:val="null3"/>
        <w:ind w:firstLine="420"/>
        <w:jc w:val="both"/>
      </w:pPr>
      <w:r>
        <w:rPr>
          <w:sz w:val="21"/>
        </w:rPr>
        <w:t>因本合同引起的争议，采购人与成交人双方应首先通过友好协商解决。如果协商或调解不能解决争议，则按相关法律法规处理。</w:t>
      </w:r>
    </w:p>
    <w:p>
      <w:pPr>
        <w:pStyle w:val="null3"/>
        <w:jc w:val="both"/>
        <w:outlineLvl w:val="0"/>
      </w:pPr>
      <w:r>
        <w:rPr>
          <w:sz w:val="21"/>
          <w:b/>
        </w:rPr>
        <w:t>七、进度要求</w:t>
      </w:r>
    </w:p>
    <w:p>
      <w:pPr>
        <w:pStyle w:val="null3"/>
        <w:jc w:val="both"/>
      </w:pPr>
      <w:r>
        <w:rPr>
          <w:sz w:val="21"/>
        </w:rPr>
        <w:t xml:space="preserve">    </w:t>
      </w:r>
      <w:r>
        <w:rPr>
          <w:sz w:val="21"/>
        </w:rPr>
        <w:t>本项目所采购的设备交付期限为合同签订后30个工作日内，项目工期不超过2024年8月31日。</w:t>
      </w:r>
      <w:r>
        <w:rPr>
          <w:sz w:val="21"/>
        </w:rPr>
        <w:t>交货地点为：广州市海珠区南华东路</w:t>
      </w:r>
      <w:r>
        <w:rPr>
          <w:sz w:val="21"/>
        </w:rPr>
        <w:t>547</w:t>
      </w:r>
      <w:r>
        <w:rPr>
          <w:sz w:val="21"/>
        </w:rPr>
        <w:t>号。</w:t>
      </w:r>
    </w:p>
    <w:p>
      <w:pPr>
        <w:pStyle w:val="null3"/>
        <w:jc w:val="both"/>
        <w:outlineLvl w:val="0"/>
      </w:pPr>
      <w:r>
        <w:rPr>
          <w:sz w:val="21"/>
          <w:b/>
        </w:rPr>
        <w:t>八、保密要求</w:t>
      </w:r>
    </w:p>
    <w:p>
      <w:pPr>
        <w:pStyle w:val="null3"/>
        <w:jc w:val="both"/>
      </w:pPr>
      <w:r>
        <w:rPr>
          <w:sz w:val="21"/>
        </w:rPr>
        <w:t xml:space="preserve">    </w:t>
      </w:r>
      <w:r>
        <w:rPr>
          <w:sz w:val="21"/>
        </w:rPr>
        <w:t>采购人和供应商双方在任何情况下不得将本项目涉及的有关对方的资料泄露给第三方。如一方违反本条的规定，除立即停止违约行为外，还应支付违约金以及赔偿另一方的损失。</w:t>
      </w:r>
    </w:p>
    <w:p>
      <w:pPr>
        <w:pStyle w:val="null3"/>
        <w:jc w:val="both"/>
        <w:outlineLvl w:val="0"/>
      </w:pPr>
      <w:r>
        <w:rPr>
          <w:sz w:val="21"/>
          <w:b/>
        </w:rPr>
        <w:t>九、付款方式</w:t>
      </w:r>
    </w:p>
    <w:p>
      <w:pPr>
        <w:pStyle w:val="null3"/>
        <w:ind w:firstLine="420"/>
        <w:jc w:val="both"/>
      </w:pPr>
      <w:r>
        <w:rPr>
          <w:sz w:val="21"/>
        </w:rPr>
        <w:t>（一）本项目分3期支付，具体支付方式和时间如下：</w:t>
      </w:r>
    </w:p>
    <w:p>
      <w:pPr>
        <w:pStyle w:val="null3"/>
        <w:ind w:firstLine="420"/>
        <w:jc w:val="both"/>
      </w:pPr>
      <w:r>
        <w:rPr>
          <w:sz w:val="21"/>
        </w:rPr>
        <w:t>第一期：合同生效后，采购人在收到投标人付款申请及相应正式增值税普通发票后10个工作日内向成交人支付合同总价50%的首付款；</w:t>
      </w:r>
    </w:p>
    <w:p>
      <w:pPr>
        <w:pStyle w:val="null3"/>
        <w:ind w:firstLine="420"/>
        <w:jc w:val="both"/>
      </w:pPr>
      <w:r>
        <w:rPr>
          <w:sz w:val="21"/>
        </w:rPr>
        <w:t>第二期：支付比例40%，采购人完成所有</w:t>
      </w:r>
      <w:r>
        <w:rPr>
          <w:sz w:val="21"/>
        </w:rPr>
        <w:t>货物</w:t>
      </w:r>
      <w:r>
        <w:rPr>
          <w:sz w:val="21"/>
        </w:rPr>
        <w:t>签收且收到相应正式增值税普通发票后10个工作日内支付合同总价的40%二期款；</w:t>
      </w:r>
    </w:p>
    <w:p>
      <w:pPr>
        <w:pStyle w:val="null3"/>
        <w:ind w:firstLine="420"/>
        <w:jc w:val="both"/>
      </w:pPr>
      <w:r>
        <w:rPr>
          <w:sz w:val="21"/>
        </w:rPr>
        <w:t>第三期：支付比例10%，由</w:t>
      </w:r>
      <w:r>
        <w:rPr>
          <w:sz w:val="21"/>
        </w:rPr>
        <w:t>中标</w:t>
      </w:r>
      <w:r>
        <w:rPr>
          <w:sz w:val="21"/>
        </w:rPr>
        <w:t>供应商在所有产品交付使用试运行一个月后，组织专家或第三方对所有产品进行验收无误后且收到相应正式增值税普通发票后10个工作日内支付。</w:t>
      </w:r>
    </w:p>
    <w:p>
      <w:pPr>
        <w:pStyle w:val="null3"/>
        <w:ind w:firstLine="420"/>
        <w:jc w:val="both"/>
      </w:pPr>
      <w:r>
        <w:rPr>
          <w:sz w:val="21"/>
        </w:rPr>
        <w:t>（二）若因</w:t>
      </w:r>
      <w:r>
        <w:rPr>
          <w:sz w:val="21"/>
        </w:rPr>
        <w:t>中标</w:t>
      </w:r>
      <w:r>
        <w:rPr>
          <w:sz w:val="21"/>
        </w:rPr>
        <w:t>供应商原因致使项目延期完成，从而造成采购人因财政资金回收而无法支付项目资金的情况，由此造成一切损失由中标供应商负责。</w:t>
      </w:r>
    </w:p>
    <w:p>
      <w:pPr>
        <w:pStyle w:val="null3"/>
        <w:ind w:firstLine="420"/>
        <w:jc w:val="both"/>
      </w:pPr>
      <w:r>
        <w:rPr>
          <w:sz w:val="21"/>
        </w:rPr>
        <w:t>（三）违约责任：采购人逾期支付合同款项的，除应当支付合同款项外，还应当每日按合同总价的3‰向中标供应商偿付违约金，但因</w:t>
      </w:r>
      <w:r>
        <w:rPr>
          <w:sz w:val="21"/>
        </w:rPr>
        <w:t>中标</w:t>
      </w:r>
      <w:r>
        <w:rPr>
          <w:sz w:val="21"/>
        </w:rPr>
        <w:t>供应商自身原因导致无法及时支付的除外。供应商无正当理由未能够按合同的约定交付服务成果的，供应商应从逾期之日起每日按对应服务总价3‰的数额向采购人支付违约金，并向采购人出具书面文件说明延误原因，承诺加大投入以追赶项目进度。</w:t>
      </w:r>
    </w:p>
    <w:p>
      <w:pPr>
        <w:pStyle w:val="null3"/>
        <w:ind w:firstLine="420"/>
        <w:jc w:val="both"/>
      </w:pPr>
      <w:r>
        <w:rPr>
          <w:sz w:val="21"/>
        </w:rPr>
        <w:t>（四）付款方式：可采用支票、银行汇票、电汇三种形式其一。</w:t>
      </w:r>
    </w:p>
    <w:p>
      <w:pPr>
        <w:pStyle w:val="null3"/>
        <w:jc w:val="both"/>
      </w:pPr>
      <w:r>
        <w:rPr>
          <w:sz w:val="21"/>
          <w:b/>
        </w:rPr>
        <w:t>十、其他</w:t>
      </w:r>
    </w:p>
    <w:p>
      <w:pPr>
        <w:pStyle w:val="null3"/>
        <w:ind w:firstLine="420"/>
        <w:jc w:val="both"/>
      </w:pPr>
      <w:r>
        <w:rPr>
          <w:sz w:val="21"/>
        </w:rPr>
        <w:t>l.</w:t>
      </w:r>
      <w:r>
        <w:rPr>
          <w:sz w:val="21"/>
        </w:rPr>
        <w:t>合同由采购人与成交人双方签字盖章后生效。</w:t>
      </w:r>
    </w:p>
    <w:p>
      <w:pPr>
        <w:pStyle w:val="null3"/>
        <w:ind w:firstLine="420"/>
        <w:jc w:val="both"/>
      </w:pPr>
      <w:r>
        <w:rPr>
          <w:sz w:val="21"/>
        </w:rPr>
        <w:t>2.</w:t>
      </w:r>
      <w:r>
        <w:rPr>
          <w:sz w:val="21"/>
        </w:rPr>
        <w:t xml:space="preserve">合同内容如遇国家法规及政策另行规定的，从其规定。 </w:t>
      </w:r>
    </w:p>
    <w:p>
      <w:pPr>
        <w:pStyle w:val="null3"/>
        <w:ind w:firstLine="420"/>
        <w:jc w:val="both"/>
      </w:pPr>
      <w:r>
        <w:rPr>
          <w:sz w:val="21"/>
        </w:rPr>
        <w:t>3.</w:t>
      </w:r>
      <w:r>
        <w:rPr>
          <w:sz w:val="21"/>
        </w:rPr>
        <w:t>涉及软件产品的，需采购和使用正版软件，项目中涉及计算机办公使用的，需预装正版操作系统软件（投标时提交承诺，可参照“投标文件格式”中《承诺函》格式）。</w:t>
      </w:r>
    </w:p>
    <w:p>
      <w:pPr>
        <w:pStyle w:val="null3"/>
        <w:ind w:firstLine="420"/>
        <w:jc w:val="both"/>
      </w:pPr>
      <w:r>
        <w:rPr>
          <w:sz w:val="21"/>
        </w:rPr>
        <w:t>4.</w:t>
      </w:r>
      <w:r>
        <w:rPr>
          <w:sz w:val="21"/>
        </w:rPr>
        <w:t>投标人应保证，采购人在中华人民共和国使用该货物或货物的任何一部分时，免受第三方提出的侵犯其专利权、商标权、著作权或其他知识产权的起诉。</w:t>
      </w:r>
    </w:p>
    <w:p>
      <w:pPr>
        <w:pStyle w:val="null3"/>
        <w:ind w:firstLine="420"/>
        <w:jc w:val="both"/>
      </w:pPr>
      <w:r>
        <w:rPr>
          <w:sz w:val="21"/>
        </w:rPr>
        <w:t>5.</w:t>
      </w:r>
      <w:r>
        <w:rPr>
          <w:sz w:val="21"/>
        </w:rPr>
        <w:t>中标后不得将项目转包、分包于他人。</w:t>
      </w:r>
    </w:p>
    <w:p>
      <w:pPr>
        <w:pStyle w:val="null3"/>
        <w:ind w:firstLine="420"/>
        <w:jc w:val="both"/>
      </w:pPr>
      <w:r>
        <w:rPr>
          <w:sz w:val="21"/>
        </w:rPr>
        <w:t>6.</w:t>
      </w:r>
      <w:r>
        <w:rPr>
          <w:sz w:val="21"/>
        </w:rPr>
        <w:t>供应商投标文件需包含廉洁承诺书，详见附件1。</w:t>
      </w:r>
    </w:p>
    <w:p>
      <w:pPr>
        <w:pStyle w:val="null3"/>
        <w:ind w:firstLine="420"/>
        <w:jc w:val="both"/>
      </w:pPr>
      <w:r>
        <w:rPr>
          <w:sz w:val="21"/>
        </w:rPr>
        <w:t>7.</w:t>
      </w:r>
      <w:r>
        <w:rPr>
          <w:sz w:val="21"/>
        </w:rPr>
        <w:t>投标人在广州（项目所在地）有常设技术服务团队。</w:t>
      </w:r>
    </w:p>
    <w:p>
      <w:pPr>
        <w:pStyle w:val="null3"/>
        <w:ind w:firstLine="420"/>
        <w:jc w:val="both"/>
      </w:pPr>
      <w:r>
        <w:rPr>
          <w:sz w:val="21"/>
          <w:b/>
        </w:rPr>
        <w:t>附件1: （供应商可参照以下格式提供廉洁承诺）</w:t>
      </w:r>
    </w:p>
    <w:p>
      <w:pPr>
        <w:pStyle w:val="null3"/>
        <w:jc w:val="center"/>
      </w:pPr>
      <w:r>
        <w:rPr>
          <w:sz w:val="30"/>
          <w:b/>
        </w:rPr>
        <w:t>廉洁诚信承诺书范文</w:t>
      </w:r>
    </w:p>
    <w:p>
      <w:pPr>
        <w:pStyle w:val="null3"/>
        <w:jc w:val="both"/>
      </w:pPr>
      <w:r>
        <w:rPr>
          <w:sz w:val="21"/>
        </w:rPr>
        <w:t>我单位为有效避免在该项目履行过程中的腐败现象，抵制商业贿赂和不正当竞争，保障甲乙双方的合法权益，郑重签署如下廉洁诚信承诺书：</w:t>
      </w:r>
    </w:p>
    <w:p>
      <w:pPr>
        <w:pStyle w:val="null3"/>
        <w:jc w:val="both"/>
      </w:pPr>
      <w:r>
        <w:rPr>
          <w:sz w:val="21"/>
        </w:rPr>
        <w:t>我方遵守以下条款：</w:t>
      </w:r>
    </w:p>
    <w:p>
      <w:pPr>
        <w:pStyle w:val="null3"/>
        <w:ind w:firstLine="420"/>
        <w:jc w:val="both"/>
      </w:pPr>
      <w:r>
        <w:rPr>
          <w:sz w:val="21"/>
        </w:rPr>
        <w:t>第一条</w:t>
      </w:r>
      <w:r>
        <w:rPr>
          <w:sz w:val="21"/>
        </w:rPr>
        <w:t>对于招投标过程：</w:t>
      </w:r>
    </w:p>
    <w:p>
      <w:pPr>
        <w:pStyle w:val="null3"/>
        <w:ind w:firstLine="420"/>
        <w:jc w:val="both"/>
      </w:pPr>
      <w:r>
        <w:rPr>
          <w:sz w:val="21"/>
        </w:rPr>
        <w:t>1</w:t>
      </w:r>
      <w:r>
        <w:rPr>
          <w:sz w:val="21"/>
        </w:rPr>
        <w:t>、不以不正当手段向招标人谋取资格预审及投标的不正当照顾。</w:t>
      </w:r>
    </w:p>
    <w:p>
      <w:pPr>
        <w:pStyle w:val="null3"/>
        <w:ind w:firstLine="420"/>
        <w:jc w:val="both"/>
      </w:pPr>
      <w:r>
        <w:rPr>
          <w:sz w:val="21"/>
        </w:rPr>
        <w:t>2</w:t>
      </w:r>
      <w:r>
        <w:rPr>
          <w:sz w:val="21"/>
        </w:rPr>
        <w:t>、不以提供不正当利益等方式，向标底编制、审查人员打听标底编制情况，向招标代理单位谋求不正当利益。</w:t>
      </w:r>
    </w:p>
    <w:p>
      <w:pPr>
        <w:pStyle w:val="null3"/>
        <w:ind w:firstLine="420"/>
        <w:jc w:val="both"/>
      </w:pPr>
      <w:r>
        <w:rPr>
          <w:sz w:val="21"/>
        </w:rPr>
        <w:t>3</w:t>
      </w:r>
      <w:r>
        <w:rPr>
          <w:sz w:val="21"/>
        </w:rPr>
        <w:t>、在确定成交人前，不向评标专家打招呼谋求照顾，不与招标人就投标价格、投标方案等实质性内容进行谈判。</w:t>
      </w:r>
    </w:p>
    <w:p>
      <w:pPr>
        <w:pStyle w:val="null3"/>
        <w:ind w:firstLine="420"/>
        <w:jc w:val="both"/>
      </w:pPr>
      <w:r>
        <w:rPr>
          <w:sz w:val="21"/>
        </w:rPr>
        <w:t>4</w:t>
      </w:r>
      <w:r>
        <w:rPr>
          <w:sz w:val="21"/>
        </w:rPr>
        <w:t>、不弄虚作假，不谎报业绩，不提供虚假材料谋取中标成交。在资格预审资料中，主动提供近二年信用档案情况，包括有无不良行为记录和公示期限的证明。</w:t>
      </w:r>
    </w:p>
    <w:p>
      <w:pPr>
        <w:pStyle w:val="null3"/>
        <w:ind w:firstLine="420"/>
        <w:jc w:val="both"/>
      </w:pPr>
      <w:r>
        <w:rPr>
          <w:sz w:val="21"/>
        </w:rPr>
        <w:t>5</w:t>
      </w:r>
      <w:r>
        <w:rPr>
          <w:sz w:val="21"/>
        </w:rPr>
        <w:t>、不与投标人之间相互串标，如有其他人出现上述情况，主动向相关部门反映。</w:t>
      </w:r>
    </w:p>
    <w:p>
      <w:pPr>
        <w:pStyle w:val="null3"/>
        <w:ind w:firstLine="420"/>
        <w:jc w:val="both"/>
      </w:pPr>
      <w:r>
        <w:rPr>
          <w:sz w:val="21"/>
        </w:rPr>
        <w:t>6</w:t>
      </w:r>
      <w:r>
        <w:rPr>
          <w:sz w:val="21"/>
        </w:rPr>
        <w:t>、不采用不正当手段诋毁、排挤其他投标人。</w:t>
      </w:r>
    </w:p>
    <w:p>
      <w:pPr>
        <w:pStyle w:val="null3"/>
        <w:ind w:firstLine="420"/>
        <w:jc w:val="both"/>
      </w:pPr>
      <w:r>
        <w:rPr>
          <w:sz w:val="21"/>
        </w:rPr>
        <w:t>7</w:t>
      </w:r>
      <w:r>
        <w:rPr>
          <w:sz w:val="21"/>
        </w:rPr>
        <w:t>、不以他人名义投标或者以其他方式骗取中标。</w:t>
      </w:r>
    </w:p>
    <w:p>
      <w:pPr>
        <w:pStyle w:val="null3"/>
        <w:ind w:firstLine="420"/>
        <w:jc w:val="both"/>
      </w:pPr>
      <w:r>
        <w:rPr>
          <w:sz w:val="21"/>
        </w:rPr>
        <w:t>8</w:t>
      </w:r>
      <w:r>
        <w:rPr>
          <w:sz w:val="21"/>
        </w:rPr>
        <w:t>、中标后，不将中标项目转让他人，或将中标项目肢解后分别转让他人。</w:t>
      </w:r>
    </w:p>
    <w:p>
      <w:pPr>
        <w:pStyle w:val="null3"/>
        <w:ind w:firstLine="420"/>
        <w:jc w:val="both"/>
      </w:pPr>
      <w:r>
        <w:rPr>
          <w:sz w:val="21"/>
        </w:rPr>
        <w:t>9</w:t>
      </w:r>
      <w:r>
        <w:rPr>
          <w:sz w:val="21"/>
        </w:rPr>
        <w:t>、中标后，与招标人按照招标文件和成交人的投标文件订立合同，不订立背离合同实质性内容的协议。</w:t>
      </w:r>
    </w:p>
    <w:p>
      <w:pPr>
        <w:pStyle w:val="null3"/>
        <w:ind w:firstLine="420"/>
        <w:jc w:val="both"/>
      </w:pPr>
      <w:r>
        <w:rPr>
          <w:sz w:val="21"/>
        </w:rPr>
        <w:t>第二条</w:t>
      </w:r>
      <w:r>
        <w:rPr>
          <w:sz w:val="21"/>
        </w:rPr>
        <w:t>对于合同履约过程：</w:t>
      </w:r>
    </w:p>
    <w:p>
      <w:pPr>
        <w:pStyle w:val="null3"/>
        <w:ind w:firstLine="420"/>
        <w:jc w:val="both"/>
      </w:pPr>
      <w:r>
        <w:rPr>
          <w:sz w:val="21"/>
        </w:rPr>
        <w:t>1.</w:t>
      </w:r>
      <w:r>
        <w:rPr>
          <w:sz w:val="21"/>
        </w:rPr>
        <w:t>我方遵守国家法律法规和廉洁自律规定，遵守相关行业管理的有关规定。</w:t>
      </w:r>
    </w:p>
    <w:p>
      <w:pPr>
        <w:pStyle w:val="null3"/>
        <w:ind w:firstLine="420"/>
        <w:jc w:val="both"/>
      </w:pPr>
      <w:r>
        <w:rPr>
          <w:sz w:val="21"/>
        </w:rPr>
        <w:t>2.</w:t>
      </w:r>
      <w:r>
        <w:rPr>
          <w:sz w:val="21"/>
        </w:rPr>
        <w:t>我方的经济业务活动应坚持公开、公平、公正，不得损害国家及甲乙双方的利益。</w:t>
      </w:r>
    </w:p>
    <w:p>
      <w:pPr>
        <w:pStyle w:val="null3"/>
        <w:ind w:firstLine="420"/>
        <w:jc w:val="both"/>
      </w:pPr>
      <w:r>
        <w:rPr>
          <w:sz w:val="21"/>
        </w:rPr>
        <w:t>3.</w:t>
      </w:r>
      <w:r>
        <w:rPr>
          <w:sz w:val="21"/>
        </w:rPr>
        <w:t>我方对业务人员进行廉洁从业教育，使其诚信守法，行为规范。</w:t>
      </w:r>
    </w:p>
    <w:p>
      <w:pPr>
        <w:pStyle w:val="null3"/>
        <w:ind w:firstLine="420"/>
        <w:jc w:val="both"/>
      </w:pPr>
      <w:r>
        <w:rPr>
          <w:sz w:val="21"/>
        </w:rPr>
        <w:t>4.</w:t>
      </w:r>
      <w:r>
        <w:rPr>
          <w:sz w:val="21"/>
        </w:rPr>
        <w:t>我方采取有效措施，约束本方业务人员，不发生以下行为：不邀请采购人员参加我方业务人员安排的可能对公正履行职责有影响的活动，不向采购人以任何形式馈赠的礼品、礼金、有价证券等。</w:t>
      </w:r>
    </w:p>
    <w:p>
      <w:pPr>
        <w:pStyle w:val="null3"/>
        <w:ind w:firstLine="420"/>
        <w:jc w:val="both"/>
      </w:pPr>
      <w:r>
        <w:rPr>
          <w:sz w:val="21"/>
        </w:rPr>
        <w:t>4.</w:t>
      </w:r>
      <w:r>
        <w:rPr>
          <w:sz w:val="21"/>
        </w:rPr>
        <w:t>我方不邀请采购人参与我方安排的旅游和高消费娱乐活动，不向采购人员其配偶、子女安排工作以及为其提供应由个人支付的各种费用。</w:t>
      </w:r>
    </w:p>
    <w:p>
      <w:pPr>
        <w:pStyle w:val="null3"/>
        <w:ind w:firstLine="420"/>
        <w:jc w:val="both"/>
      </w:pPr>
      <w:r>
        <w:rPr>
          <w:sz w:val="21"/>
        </w:rPr>
        <w:t>5.</w:t>
      </w:r>
      <w:r>
        <w:rPr>
          <w:sz w:val="21"/>
        </w:rPr>
        <w:t>不向采购人业务人员馈赠或提供本条前三项所指的内容。</w:t>
      </w:r>
    </w:p>
    <w:p>
      <w:pPr>
        <w:pStyle w:val="null3"/>
        <w:ind w:firstLine="420"/>
        <w:jc w:val="both"/>
      </w:pPr>
      <w:r>
        <w:rPr>
          <w:sz w:val="21"/>
        </w:rPr>
        <w:t>6.</w:t>
      </w:r>
      <w:r>
        <w:rPr>
          <w:sz w:val="21"/>
        </w:rPr>
        <w:t>及时依法依规处理采购人反馈的我方业务人员的违规行为。</w:t>
      </w:r>
    </w:p>
    <w:p>
      <w:pPr>
        <w:pStyle w:val="null3"/>
        <w:ind w:firstLine="420"/>
        <w:jc w:val="both"/>
      </w:pPr>
      <w:r>
        <w:rPr>
          <w:sz w:val="21"/>
        </w:rPr>
        <w:t>我方自愿接受监督。</w:t>
      </w:r>
    </w:p>
    <w:p>
      <w:pPr>
        <w:pStyle w:val="null3"/>
        <w:ind w:firstLine="420"/>
        <w:jc w:val="both"/>
      </w:pPr>
      <w:r>
        <w:rPr>
          <w:sz w:val="21"/>
        </w:rPr>
        <w:t>本承诺书一式四份，甲乙双方各执两份。本承诺书作为甲乙双方签订合同之必备附件，与合同正文具有同等法律效力。</w:t>
      </w:r>
    </w:p>
    <w:p>
      <w:pPr>
        <w:pStyle w:val="null3"/>
        <w:jc w:val="both"/>
      </w:pPr>
      <w:r>
        <w:rPr>
          <w:sz w:val="21"/>
        </w:rPr>
        <w:t xml:space="preserve">                                          </w:t>
      </w:r>
      <w:r>
        <w:rPr>
          <w:sz w:val="21"/>
        </w:rPr>
        <w:t>承诺人：</w:t>
      </w:r>
    </w:p>
    <w:p>
      <w:pPr>
        <w:pStyle w:val="null3"/>
        <w:jc w:val="both"/>
      </w:pPr>
      <w:r>
        <w:rPr>
          <w:sz w:val="21"/>
        </w:rPr>
        <w:t xml:space="preserve">                                          </w:t>
      </w:r>
      <w:r>
        <w:rPr>
          <w:sz w:val="21"/>
        </w:rPr>
        <w:t>代表签字：</w:t>
      </w:r>
    </w:p>
    <w:p>
      <w:pPr>
        <w:pStyle w:val="null3"/>
        <w:jc w:val="both"/>
      </w:pP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7"/>
          <w:b/>
        </w:rPr>
        <w:t>附件2：政策适用性说明</w:t>
      </w:r>
    </w:p>
    <w:p>
      <w:pPr>
        <w:pStyle w:val="null3"/>
        <w:jc w:val="center"/>
      </w:pPr>
      <w:r>
        <w:rPr>
          <w:sz w:val="21"/>
          <w:shd w:fill="FFFFFF" w:val="clear"/>
        </w:rPr>
        <w:t xml:space="preserve"> </w:t>
      </w:r>
    </w:p>
    <w:p>
      <w:pPr>
        <w:pStyle w:val="null3"/>
        <w:jc w:val="center"/>
      </w:pPr>
      <w:r>
        <w:rPr>
          <w:sz w:val="21"/>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43"/>
        <w:gridCol w:w="1627"/>
        <w:gridCol w:w="1798"/>
        <w:gridCol w:w="2654"/>
        <w:gridCol w:w="1884"/>
      </w:tblGrid>
      <w:tr>
        <w:tc>
          <w:tcPr>
            <w:tcW w:type="dxa" w:w="34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9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5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88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4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5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8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4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5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8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4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5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8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42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8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jc w:val="both"/>
      </w:pPr>
      <w:r>
        <w:rPr/>
        <w:t>采购包1（GIS服务器软件）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自合同签订之日起至质保期满之日，项目工期不超过2024年8月31日</w:t>
            </w:r>
          </w:p>
        </w:tc>
      </w:tr>
      <w:tr>
        <w:tc>
          <w:tcPr>
            <w:tcW w:type="dxa" w:w="4153"/>
          </w:tcPr>
          <w:p>
            <w:pPr>
              <w:pStyle w:val="null3"/>
            </w:pPr>
            <w:r>
              <w:rPr/>
              <w:t>标的提供的地点</w:t>
            </w:r>
          </w:p>
        </w:tc>
        <w:tc>
          <w:tcPr>
            <w:tcW w:type="dxa" w:w="4153"/>
          </w:tcPr>
          <w:p>
            <w:pPr>
              <w:pStyle w:val="null3"/>
            </w:pPr>
            <w:r>
              <w:rPr/>
              <w:t>广东省广州市</w:t>
            </w:r>
          </w:p>
        </w:tc>
      </w:tr>
      <w:tr>
        <w:tc>
          <w:tcPr>
            <w:tcW w:type="dxa" w:w="4153"/>
          </w:tcPr>
          <w:p>
            <w:pPr>
              <w:pStyle w:val="null3"/>
            </w:pPr>
            <w:r>
              <w:rPr/>
              <w:t>付款方式</w:t>
            </w:r>
          </w:p>
        </w:tc>
        <w:tc>
          <w:tcPr>
            <w:tcW w:type="dxa" w:w="4153"/>
          </w:tcPr>
          <w:p>
            <w:pPr>
              <w:pStyle w:val="null3"/>
            </w:pPr>
            <w:r>
              <w:rPr/>
              <w:t>1期：支付比例50%,第一期：合同生效后，采购人在收到投标人付款申请及相应正式增值税普通发票后10个工作日内向成交人支付合同总价50%的首付款；</w:t>
            </w:r>
          </w:p>
          <w:p>
            <w:pPr>
              <w:pStyle w:val="null3"/>
            </w:pPr>
            <w:r>
              <w:rPr/>
              <w:t>2期：支付比例40%,第二期：支付比例40%，采购人完成所有货物签收且收到相应正式增值税普通发票后10个工作日内支付合同总价的40%二期款；</w:t>
            </w:r>
          </w:p>
          <w:p>
            <w:pPr>
              <w:pStyle w:val="null3"/>
            </w:pPr>
            <w:r>
              <w:rPr/>
              <w:t>3期：支付比例10%,第三期：支付比例10%，由中标供应商在所有产品交付使用试运行一个月后，组织专家或第三方对所有产品进行验收无误后且收到相应正式增值税普通发票后10个工作日内支付。</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1期：1.交付验收标准依次序对照适用标准为：①符合中华人民共和国国家安全质量标准、环保标准或行业标准；②符合公开招标文件和投标承诺中采购人认可的合理最佳配置、参数及各项要求。 2.货物为原厂商未启封全新包装，所有随产品的附件必须齐全。 3.当出现不合格产品时，成交供应商要无条件更换合格产品。除采购人认可，否则不接受任何形式的降格处理。 4.需邀请第三方机构进行验收，由此产生的费用由成交人承担。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GIS服务器软件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软件和信息技术服务业</w:t>
            </w:r>
          </w:p>
        </w:tc>
        <w:tc>
          <w:tcPr>
            <w:tcW w:type="dxa" w:w="831"/>
          </w:tcPr>
          <w:p>
            <w:pPr>
              <w:pStyle w:val="null3"/>
            </w:pPr>
            <w:r>
              <w:rPr/>
              <w:t>详见附表一</w:t>
            </w:r>
          </w:p>
        </w:tc>
      </w:tr>
    </w:tbl>
    <w:p>
      <w:pPr>
        <w:pStyle w:val="null3"/>
      </w:pPr>
      <w:r>
        <w:rPr>
          <w:b/>
        </w:rPr>
        <w:t>附表</w:t>
      </w:r>
      <w:r>
        <w:rPr>
          <w:b/>
        </w:rPr>
        <w:t>一</w:t>
      </w:r>
      <w:r>
        <w:rPr>
          <w:b/>
        </w:rPr>
        <w:t>：</w:t>
      </w:r>
      <w:r>
        <w:rPr>
          <w:b/>
        </w:rPr>
        <w:t>GIS服务器软件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b/>
              </w:rPr>
              <w:t>能够无缝衔接现有的广东省智慧自然资源—海洋数据管理应用项目软件开发服务－海洋数据管理应用子系统数据及GIS服务，作为扩展资源接入现有的GIS平台，达到增加GIS资源和服务能力提升的目的。</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提供地理处理建模框架，支持在地理处理建模中运行单机工具，包括：数据管理、影像管理、空间统计分析、栅格分析、交通分析等。地理处理模型库支持多重加密具备集中管理多个模型，支持创建子目录；支持设置密码和权限，确保模型分享安全可控；模型库支持可执行、可查看和可修改3种权限，组合使用，便于模型管理安全可控。（</w:t>
            </w:r>
            <w:r>
              <w:rPr>
                <w:sz w:val="21"/>
                <w:b/>
              </w:rPr>
              <w:t>提供软件地理处理模型库支持多重加密具备集中管理多个模型，模型库支持可执行、可查看和可修改3种权限，组合使用的功能界面的截图。</w:t>
            </w:r>
            <w:r>
              <w:rPr>
                <w:sz w:val="21"/>
              </w:rPr>
              <w:t>在相应参数或功能处作出标记（例如用红色方框标记）并注明针对的指标序号。未做标记出现漏评风险由投标人承担，评标委员会可视为不满足</w:t>
            </w:r>
            <w:r>
              <w:rPr>
                <w:sz w:val="21"/>
                <w:b/>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支持服务器端的地图服务和数据服务的聚合，聚合后的服务可作为一个服务对外提供访问。（</w:t>
            </w:r>
            <w:r>
              <w:rPr>
                <w:sz w:val="21"/>
                <w:b/>
              </w:rPr>
              <w:t>提供软件支持服务器端地图服务和数据服务的聚合功能界面的截图。</w:t>
            </w:r>
            <w:r>
              <w:rPr>
                <w:sz w:val="21"/>
              </w:rPr>
              <w:t>在相应参数或功能处作出标记（例如用红色方框标记）并注明针对的指标序号。未做标记出现漏评风险由投标人承担，评标委员会可视为不满足）。</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支持对聚合后的地图进行切图。支持监控切图进度，可实时查看各个切图节点的工作状态。（</w:t>
            </w:r>
            <w:r>
              <w:rPr>
                <w:sz w:val="21"/>
                <w:b/>
              </w:rPr>
              <w:t>提供软件支持对聚合后的地图进行切图功能界面的截图。</w:t>
            </w:r>
            <w:r>
              <w:rPr>
                <w:sz w:val="21"/>
              </w:rPr>
              <w:t>在相应参数或功能处作出标记（例如用红色方框标记）并注明针对的指标序号。未做标记出现漏评风险由投标人承担，评标委员会可视为不满足）。</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该软件应兼容ARM（飞腾）、MIPS64（龙芯）、X86（海光）架构CPU芯片。（提供飞腾、龙芯、海光等CPU芯片兼容证明证书）。</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软件应兼容Linux操作系统，如银河麒麟服务器操作系统v10（飞腾版、鲲鹏版、兆芯版、海光版、AMD64版）、统信服务器操作系统 UOSv20（FT-2000+/64、腾云S2500、鲲鹏916/920）、北京红旗、中科方德高可信服务器操作系统（海光版、兆芯版、AMD64版）、新支点电信级服务器操作系统。（提供银河麒麟（ARM）、统信UOS（ARM）、中科方德（ARM）、北京红旗、新支点等操作系统兼容证明证书）。</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平台底层同时支持WebGPU和WebGL两套渲染引擎，在使用层面方便在WebGPU和WebGL之间无缝切换，保持API相同，更方便进行项目迁移和渲染引擎选择。（提供支持WebGPU和WebGL两套渲染引擎的产品能力界面的截图，在相应参数或功能处作出标记（例如用红色方框标记）并注明针对的指标序号。未做标记出现漏评风险由投标人承担，评标委员会可视为不满足）。</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支持对大体量矢量数据免切片发布，结合分布式空间存储技术，多机分布式动态出图技术以及单机多线程并行出图技术，有效提升动态出图的性能。</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支持栅格数据分布式入库，入库后即可将分布式栅格数据发布为地图服务，栅格数据“免切片”发布可有效减少数据处理的资源投入，显著提升数据的稳定性和效率。</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支持大规模影像的快速发布与管理功能：支持免切片快速发布，浏览性能高；支持根据属性查询匹配的影像数据；支持影像动态镶嵌。支持大规模影像的快速发布，支持监控影像数据目录，自动追加新增影像文件的能力；支持静默切片能力，在后台高效生成影像地图瓦片，使影像服务同时具备提供瓦片服务的能力。（提供软件支持监控影像数据目录，自动追加新增影像文件的能力；支持静默切片能力，在后台高效生成影像地图瓦片功能界面的截图。在相应参数或功能处作出标记（例如用红色方框标记）并注明针对的指标序号。未做标记出现漏评风险由投标人承担，评标委员会可视为不满足）</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支持面向Web的处理自动化和面向PC的处理自动化模型文件相互复用，通过处理自动化工具构建处理自动化模型并运行，可实现空间数据处理与分析过程的自动化，也可以通过使用自定义工具构建模型进行空间数据处理与分析。</w:t>
            </w:r>
          </w:p>
        </w:tc>
      </w:tr>
      <w:tr>
        <w:tc>
          <w:tcPr>
            <w:tcW w:type="dxa" w:w="2076"/>
          </w:tcPr>
          <w:p/>
        </w:tc>
        <w:tc>
          <w:tcPr>
            <w:tcW w:type="dxa" w:w="415"/>
          </w:tcPr>
          <w:p>
            <w:pPr>
              <w:pStyle w:val="null3"/>
            </w:pPr>
            <w:r>
              <w:rPr/>
              <w:t>12</w:t>
            </w:r>
          </w:p>
        </w:tc>
        <w:tc>
          <w:tcPr>
            <w:tcW w:type="dxa" w:w="5814"/>
          </w:tcPr>
          <w:p>
            <w:pPr>
              <w:pStyle w:val="null3"/>
            </w:pPr>
            <w:r>
              <w:rPr/>
              <w:t>其他参数要求详见用户需求书。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采购包1(GIS服务器软件)：综合评分法,是指投标文件满足招标文件全部实质性要求，且按照评审因素的量化指标评审得分最高的投标人为中标候选人的评标方法。（最低报价不是中标的唯一依据。）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采购包1（GIS服务器软件）：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采购包1（GIS服务器软件）：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以下2种证明材料之一：①2022或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Pr>
        <w:pStyle w:val="null3"/>
        <w:ind w:firstLine="480"/>
      </w:pPr>
      <w:r>
        <w:rPr/>
        <w:t>表二符合性审查表：</w:t>
      </w:r>
    </w:p>
    <w:p>
      <w:pPr>
        <w:pStyle w:val="null3"/>
      </w:pPr>
      <w:r>
        <w:rPr/>
        <w:t>采购包1（GIS服务器软件）：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投标（报价）总金额是固定价且是唯一的，未超过本项目采购预算，各分项单价报价是固定且唯一的，且未超过其对应的单价采购预算。</w:t>
            </w:r>
          </w:p>
        </w:tc>
        <w:tc>
          <w:tcPr>
            <w:tcW w:type="dxa" w:w="4238"/>
          </w:tcPr>
          <w:p>
            <w:pPr>
              <w:pStyle w:val="null3"/>
            </w:pPr>
            <w:r>
              <w:rPr/>
              <w:t>投标（报价）总金额是固定价且是唯一的，未超过本项目采购预算，各分项单价报价是固定且唯一的，且未超过其对应的单价采购预算。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13</w:t>
            </w:r>
          </w:p>
        </w:tc>
        <w:tc>
          <w:tcPr>
            <w:tcW w:type="dxa" w:w="3178"/>
          </w:tcPr>
          <w:p>
            <w:pPr>
              <w:pStyle w:val="null3"/>
            </w:pPr>
            <w:r>
              <w:rPr/>
              <w:t>未成为广东省海洋数据采集及应用能力提升（2024）项目——存储设备与GIS服务器软件采购项目包1的成交人（广东省海洋数据采集及应用能力提升（2024）项目——存储设备与GIS服务器软件采购项目为兼投不兼中项目）。</w:t>
            </w:r>
          </w:p>
        </w:tc>
        <w:tc>
          <w:tcPr>
            <w:tcW w:type="dxa" w:w="4238"/>
          </w:tcPr>
          <w:p>
            <w:pPr>
              <w:pStyle w:val="null3"/>
            </w:pPr>
            <w:r>
              <w:rPr/>
              <w:t>未成为广东省海洋数据采集及应用能力提升（2024）项目——存储设备与GIS服务器软件采购项目包1的成交人（广东省海洋数据采集及应用能力提升（2024）项目——存储设备与GIS服务器软件采购项目为兼投不兼中项目）。</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采购包1(GIS服务器软件):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(34.0分)</w:t>
            </w:r>
          </w:p>
        </w:tc>
        <w:tc>
          <w:tcPr>
            <w:tcW w:type="dxa" w:w="5076"/>
          </w:tcPr>
          <w:p>
            <w:pPr>
              <w:pStyle w:val="null3"/>
              <w:jc w:val="left"/>
            </w:pPr>
            <w:r>
              <w:rPr/>
              <w:t>（1）一般技术参数（非▲非★条款）（共12条）条款：每有一个满足要求得1分，共12分。 （2）标有“▲”的技术参数（共11条）条款：每有一个满足要求得2分，共22分。 注：技术参数需求中有明确要求提供的证明资料，则以用户需求中要求的为准，无提供或未按要求提供证明材料的不得分；如用户需求中无明确证明材料的，以投标人投标文件中的《技术参数响应表》中的投标人填写的“是否偏离”为准，未填写或未响应的视为负偏离。</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根据用户需求书“（四）质保期”相关要求，对投标人提供的方案进行评价： （1）方案完全满足且优于项目要求的，得6分； （2）方案完全满足项目要求的，得3分；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体系认证情况 (4.0分)</w:t>
            </w:r>
          </w:p>
        </w:tc>
        <w:tc>
          <w:tcPr>
            <w:tcW w:type="dxa" w:w="5076"/>
          </w:tcPr>
          <w:p>
            <w:pPr>
              <w:pStyle w:val="null3"/>
              <w:jc w:val="left"/>
            </w:pPr>
            <w:r>
              <w:rPr/>
              <w:t>供应商具有有效的质量管理体系认证证书，得4分，其他情况不得分。 注：提供证书扫描件，不提供不得分。 需提供上述在有效期内的认证证书扫描件及“国家认证认可监督管理委员会（http://www.cnca.gov.cn）”的全国认证认可信息公共服务平台上查询到的在有效期的官网截图。已暂停、失效或撤消或不提供的不得分；新设立企业成立时间不足3个月导致无法获得上述证书的，对应项得分。</w:t>
            </w:r>
          </w:p>
        </w:tc>
      </w:tr>
      <w:tr>
        <w:tc>
          <w:tcPr>
            <w:tcW w:type="dxa" w:w="922"/>
            <w:gridSpan w:val="2"/>
            <w:vMerge/>
          </w:tcPr>
          <w:p/>
        </w:tc>
        <w:tc>
          <w:tcPr>
            <w:tcW w:type="dxa" w:w="2307"/>
          </w:tcPr>
          <w:p>
            <w:pPr>
              <w:pStyle w:val="null3"/>
              <w:jc w:val="left"/>
            </w:pPr>
            <w:r>
              <w:rPr/>
              <w:t>服务响应人员资质 (10.0分)</w:t>
            </w:r>
          </w:p>
        </w:tc>
        <w:tc>
          <w:tcPr>
            <w:tcW w:type="dxa" w:w="5076"/>
          </w:tcPr>
          <w:p>
            <w:pPr>
              <w:pStyle w:val="null3"/>
              <w:jc w:val="left"/>
            </w:pPr>
            <w:r>
              <w:rPr/>
              <w:t>（1）服务响应人员具有计算机相关专业学历的，每人1分，最高得4分； 注：提供学历证书复印件及投标人自2023年10月以来任意1个月为其缴纳社保的证明材料的复印件为证明材料，未按要求提供相关材料或复印件不清晰导致无法识别的不计得分。供应商如提供国外学位证书的，须同时提供中文翻译及教育部留学服务中心出具的“国外学历学位认证书”，否则不得分。 （2）服务团队项目经理具有高级信息系统项目管理师证书，得2分； 注：提供有效证书复印件及投标人自2023年10月以来任意1个月为其缴纳社保的证明材料的复印件为证明材料，未按要求提供相关材料或复印件不清晰导致无法识别的不计得分。 （3）服务响应人员具有地理信息等系统集成经验，每人1分，最高得4分； 注：提供工作履历表加盖投标人公章以及投标人自2023年10月以来任意1个月为其缴纳社保的证明材料的复印件为证明材料，未按要求提供相关材料或复印件不清晰导致无法识别的对应项不计得分。</w:t>
            </w:r>
          </w:p>
        </w:tc>
      </w:tr>
      <w:tr>
        <w:tc>
          <w:tcPr>
            <w:tcW w:type="dxa" w:w="922"/>
            <w:gridSpan w:val="2"/>
            <w:vMerge/>
          </w:tcPr>
          <w:p/>
        </w:tc>
        <w:tc>
          <w:tcPr>
            <w:tcW w:type="dxa" w:w="2307"/>
          </w:tcPr>
          <w:p>
            <w:pPr>
              <w:pStyle w:val="null3"/>
              <w:jc w:val="left"/>
            </w:pPr>
            <w:r>
              <w:rPr/>
              <w:t>服务保障 (16.0分)</w:t>
            </w:r>
          </w:p>
        </w:tc>
        <w:tc>
          <w:tcPr>
            <w:tcW w:type="dxa" w:w="5076"/>
          </w:tcPr>
          <w:p>
            <w:pPr>
              <w:pStyle w:val="null3"/>
              <w:jc w:val="left"/>
            </w:pPr>
            <w:r>
              <w:rPr/>
              <w:t>（1）投标人2021年（合同签订时间为准）至今承担过的地理信息软件相关业绩项目,每个得2分，最高得10分。 注：提供业绩项目合同关键页扫描件及完工证明材料。（合同关键页包括具体内容页和签章页，完工证明材料可以提供验收单或用户评价。） （2）投标人承诺提供原厂售后服务，得3分。（投标时提交承诺，可参照“投标文件格式”中《承诺函》格式） （3）投标人具备在项目所在地（广州）有常设技术服务团队的能力，得3分。 注：提供以下任一资料均可得分： a.提供的技术服务人员自2023年10月以来任意1个月在项目所在地（广州）缴纳社保的证明材料的复印件为证明材料，未按要求提供相关材料或复印件不清晰导致无法识别的不计得分。 b.提供承诺函，承诺签订合同后7个工作日内在项目所在地配备常设技术服务团队。承诺函须明确到位时间。</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r>
              <w:rPr>
                <w:sz w:val="21"/>
                <w:u w:val="single"/>
              </w:rPr>
              <w:t>广东省海洋数据采集及应用能力提升（2024）项目-GIS服务器软件采购</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广东省海洋发展规划研究中心　　　　　　　　　</w:t>
      </w:r>
    </w:p>
    <w:p>
      <w:pPr>
        <w:pStyle w:val="null3"/>
        <w:jc w:val="both"/>
      </w:pPr>
      <w:r>
        <w:rPr>
          <w:sz w:val="21"/>
        </w:rPr>
        <w:t>电　　话：</w:t>
      </w:r>
      <w:r>
        <w:rPr>
          <w:sz w:val="21"/>
          <w:b/>
          <w:u w:val="single"/>
        </w:rPr>
        <w:t>　80923295　　　　　</w:t>
      </w:r>
      <w:r>
        <w:rPr>
          <w:sz w:val="21"/>
        </w:rPr>
        <w:t>　　传　　真：</w:t>
      </w:r>
      <w:r>
        <w:rPr>
          <w:sz w:val="21"/>
          <w:b/>
          <w:u w:val="single"/>
        </w:rPr>
        <w:t>　　　/　　　</w:t>
      </w:r>
      <w:r>
        <w:rPr>
          <w:sz w:val="21"/>
        </w:rPr>
        <w:t>　　地　　址：</w:t>
      </w:r>
      <w:r>
        <w:rPr>
          <w:sz w:val="21"/>
          <w:b/>
          <w:u w:val="single"/>
        </w:rPr>
        <w:t>　广州市海珠区南华东路547号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 xml:space="preserve">根据 </w:t>
      </w:r>
      <w:r>
        <w:rPr>
          <w:sz w:val="21"/>
          <w:u w:val="single"/>
        </w:rPr>
        <w:t>广东省海洋数据采集及应用能力提升（2024）项目-GIS服务器软件采购</w:t>
      </w:r>
      <w:r>
        <w:rPr>
          <w:sz w:val="21"/>
        </w:rPr>
        <w:t>的采购结果，按照《中华人民共和国政府采购法》《中华人民共和国民法典合同编》的规定，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   货物内容</w:t>
      </w:r>
    </w:p>
    <w:tbl>
      <w:tblPr>
        <w:tblW w:w="0" w:type="auto"/>
        <w:tblBorders>
          <w:top w:val="none" w:color="000000" w:sz="4"/>
          <w:left w:val="none" w:color="000000" w:sz="4"/>
          <w:bottom w:val="none" w:color="000000" w:sz="4"/>
          <w:right w:val="none" w:color="000000" w:sz="4"/>
          <w:insideH w:val="none"/>
          <w:insideV w:val="none"/>
        </w:tblBorders>
      </w:tblPr>
      <w:tblGrid>
        <w:gridCol w:w="1199"/>
        <w:gridCol w:w="1884"/>
        <w:gridCol w:w="1284"/>
        <w:gridCol w:w="1798"/>
        <w:gridCol w:w="2141"/>
      </w:tblGrid>
      <w:tr>
        <w:tc>
          <w:tcPr>
            <w:tcW w:type="dxa" w:w="11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采购内容</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数量（套）</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21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总价（元）</w:t>
            </w:r>
          </w:p>
        </w:tc>
      </w:tr>
      <w:tr>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GIS</w:t>
            </w:r>
            <w:r>
              <w:rPr>
                <w:sz w:val="21"/>
              </w:rPr>
              <w:t>服务器软件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600,000</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600,000</w:t>
            </w:r>
          </w:p>
        </w:tc>
      </w:tr>
    </w:tbl>
    <w:p>
      <w:pPr>
        <w:pStyle w:val="null3"/>
        <w:ind w:firstLine="420"/>
        <w:jc w:val="both"/>
      </w:pPr>
      <w:r>
        <w:rPr>
          <w:sz w:val="21"/>
        </w:rPr>
        <w:t>合同总额包括乙方设计、安装、调试、培训、质保期服务、各项税费及合同实施过程中不可预见费用等。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ind w:left="855"/>
        <w:jc w:val="both"/>
      </w:pPr>
      <w:r>
        <w:rPr>
          <w:sz w:val="21"/>
          <w:b/>
        </w:rPr>
        <w:t>二、   合同金额</w:t>
      </w:r>
    </w:p>
    <w:p>
      <w:pPr>
        <w:pStyle w:val="null3"/>
        <w:ind w:left="855"/>
        <w:jc w:val="both"/>
      </w:pPr>
      <w:r>
        <w:rPr>
          <w:sz w:val="21"/>
        </w:rPr>
        <w:t xml:space="preserve">              </w:t>
      </w:r>
      <w:r>
        <w:rPr>
          <w:sz w:val="21"/>
        </w:rPr>
        <w:t>合同金额为（大写）：</w:t>
      </w:r>
      <w:r>
        <w:rPr>
          <w:sz w:val="21"/>
        </w:rPr>
        <w:t>_______</w:t>
      </w:r>
      <w:r>
        <w:rPr>
          <w:sz w:val="21"/>
        </w:rPr>
        <w:t>/</w:t>
      </w:r>
      <w:r>
        <w:rPr>
          <w:sz w:val="21"/>
        </w:rPr>
        <w:t>__________</w:t>
      </w:r>
      <w:r>
        <w:rPr>
          <w:sz w:val="21"/>
        </w:rPr>
        <w:t>元（￥</w:t>
      </w:r>
      <w:r>
        <w:rPr>
          <w:sz w:val="21"/>
        </w:rPr>
        <w:t>________</w:t>
      </w:r>
      <w:r>
        <w:rPr>
          <w:sz w:val="21"/>
        </w:rPr>
        <w:t>/</w:t>
      </w:r>
      <w:r>
        <w:rPr>
          <w:sz w:val="21"/>
        </w:rPr>
        <w:t>_______</w:t>
      </w:r>
      <w:r>
        <w:rPr>
          <w:sz w:val="21"/>
        </w:rPr>
        <w:t>元）人民币。</w:t>
      </w:r>
    </w:p>
    <w:p>
      <w:pPr>
        <w:pStyle w:val="null3"/>
        <w:ind w:left="855"/>
        <w:jc w:val="both"/>
      </w:pPr>
      <w:r>
        <w:rPr>
          <w:sz w:val="21"/>
          <w:b/>
        </w:rPr>
        <w:t>三、   交货期、交货方式及交货地点</w:t>
      </w:r>
    </w:p>
    <w:p>
      <w:pPr>
        <w:pStyle w:val="null3"/>
        <w:ind w:left="855"/>
        <w:jc w:val="both"/>
      </w:pPr>
      <w:r>
        <w:rPr>
          <w:sz w:val="21"/>
        </w:rPr>
        <w:t xml:space="preserve">1.      </w:t>
      </w:r>
      <w:r>
        <w:rPr>
          <w:sz w:val="21"/>
        </w:rPr>
        <w:t>交货期：合同签订后三十个工作日内完成。</w:t>
      </w:r>
    </w:p>
    <w:p>
      <w:pPr>
        <w:pStyle w:val="null3"/>
        <w:ind w:left="855"/>
        <w:jc w:val="both"/>
      </w:pPr>
      <w:r>
        <w:rPr>
          <w:sz w:val="21"/>
        </w:rPr>
        <w:t xml:space="preserve">2.      </w:t>
      </w:r>
      <w:r>
        <w:rPr>
          <w:sz w:val="21"/>
        </w:rPr>
        <w:t>交货方式：实物交付。</w:t>
      </w:r>
    </w:p>
    <w:p>
      <w:pPr>
        <w:pStyle w:val="null3"/>
        <w:ind w:left="855"/>
        <w:jc w:val="both"/>
      </w:pPr>
      <w:r>
        <w:rPr>
          <w:sz w:val="21"/>
        </w:rPr>
        <w:t xml:space="preserve">3.      </w:t>
      </w:r>
      <w:r>
        <w:rPr>
          <w:sz w:val="21"/>
        </w:rPr>
        <w:t>交货地点： 广州市海珠区南华东路547号</w:t>
      </w:r>
    </w:p>
    <w:p>
      <w:pPr>
        <w:pStyle w:val="null3"/>
        <w:ind w:left="855"/>
        <w:jc w:val="both"/>
      </w:pPr>
      <w:r>
        <w:rPr>
          <w:sz w:val="21"/>
          <w:b/>
        </w:rPr>
        <w:t>四、   付款方式</w:t>
      </w:r>
    </w:p>
    <w:p>
      <w:pPr>
        <w:pStyle w:val="null3"/>
        <w:ind w:left="855"/>
        <w:jc w:val="both"/>
      </w:pPr>
      <w:r>
        <w:rPr>
          <w:sz w:val="21"/>
        </w:rPr>
        <w:t xml:space="preserve">        </w:t>
      </w:r>
      <w:r>
        <w:rPr>
          <w:sz w:val="21"/>
        </w:rPr>
        <w:t>由甲方按下列程序在</w:t>
      </w:r>
      <w:r>
        <w:rPr>
          <w:sz w:val="21"/>
          <w:u w:val="single"/>
        </w:rPr>
        <w:t xml:space="preserve">    十个工作日    </w:t>
      </w:r>
      <w:r>
        <w:rPr>
          <w:sz w:val="21"/>
        </w:rPr>
        <w:t>内付款：</w:t>
      </w:r>
    </w:p>
    <w:p>
      <w:pPr>
        <w:pStyle w:val="null3"/>
        <w:ind w:left="855"/>
        <w:jc w:val="both"/>
      </w:pPr>
      <w:r>
        <w:rPr>
          <w:sz w:val="21"/>
        </w:rPr>
        <w:t xml:space="preserve">1.      </w:t>
      </w:r>
      <w:r>
        <w:rPr>
          <w:sz w:val="21"/>
        </w:rPr>
        <w:t>第一期：合同生效后，采购人在收到投标人付款申请及相应正式增值税普通发票后5个工作日内启动向成交人支付合同总价50%的首付款流程；</w:t>
      </w:r>
    </w:p>
    <w:p>
      <w:pPr>
        <w:pStyle w:val="null3"/>
        <w:ind w:left="855"/>
        <w:jc w:val="both"/>
      </w:pPr>
      <w:r>
        <w:rPr>
          <w:sz w:val="21"/>
        </w:rPr>
        <w:t xml:space="preserve">2.      </w:t>
      </w:r>
      <w:r>
        <w:rPr>
          <w:sz w:val="21"/>
        </w:rPr>
        <w:t>第二期：支付比例40%，采购人完成所有货物签收且收到相应正式增值税普通发票后5个工作日内启动支付合同总价的40%二期款流程；</w:t>
      </w:r>
    </w:p>
    <w:p>
      <w:pPr>
        <w:pStyle w:val="null3"/>
        <w:ind w:left="855"/>
        <w:jc w:val="both"/>
      </w:pPr>
      <w:r>
        <w:rPr>
          <w:sz w:val="21"/>
        </w:rPr>
        <w:t xml:space="preserve">3.     </w:t>
      </w:r>
      <w:r>
        <w:rPr>
          <w:sz w:val="21"/>
        </w:rPr>
        <w:t>第三期：支付比例10%，由中标供应商在所有产品交付使用试运行一个月后，组织专家或第三方对所有产品进行验收无误后且收到相应正式增值税普通发票后5个工作日内启动支付流程。</w:t>
      </w:r>
    </w:p>
    <w:p>
      <w:pPr>
        <w:pStyle w:val="null3"/>
        <w:ind w:left="855"/>
        <w:jc w:val="both"/>
      </w:pPr>
      <w:r>
        <w:rPr>
          <w:sz w:val="21"/>
          <w:b/>
        </w:rPr>
        <w:t>五、   售后服务要求</w:t>
      </w:r>
    </w:p>
    <w:p>
      <w:pPr>
        <w:pStyle w:val="null3"/>
        <w:ind w:left="855"/>
        <w:jc w:val="both"/>
      </w:pPr>
      <w:r>
        <w:rPr>
          <w:sz w:val="21"/>
        </w:rPr>
        <w:t xml:space="preserve">1.      </w:t>
      </w:r>
      <w:r>
        <w:rPr>
          <w:sz w:val="21"/>
        </w:rPr>
        <w:t>本合同的质量保证期（简称“质保期”）为</w:t>
      </w:r>
      <w:r>
        <w:rPr>
          <w:sz w:val="21"/>
          <w:u w:val="single"/>
        </w:rPr>
        <w:t>1</w:t>
      </w:r>
      <w:r>
        <w:rPr>
          <w:sz w:val="21"/>
        </w:rPr>
        <w:t>年，质保期内乙方对所供货物实行包修、包换、包退及合同约定的其他事项，期满后可同时提供终身维修保养服务。</w:t>
      </w:r>
    </w:p>
    <w:p>
      <w:pPr>
        <w:pStyle w:val="null3"/>
        <w:ind w:left="855"/>
        <w:jc w:val="both"/>
      </w:pPr>
      <w:r>
        <w:rPr>
          <w:sz w:val="21"/>
        </w:rPr>
        <w:t xml:space="preserve">2.      </w:t>
      </w:r>
      <w:r>
        <w:rPr>
          <w:sz w:val="21"/>
        </w:rPr>
        <w:t>质保期内，如设备或零部件因质量原因出现故障而造成短期停用时，则质保期和免费维修期相应顺延。如停用时间累计超过60天则质保期重新计算。</w:t>
      </w:r>
    </w:p>
    <w:p>
      <w:pPr>
        <w:pStyle w:val="null3"/>
        <w:ind w:left="855"/>
        <w:jc w:val="both"/>
      </w:pPr>
      <w:r>
        <w:rPr>
          <w:sz w:val="21"/>
        </w:rPr>
        <w:t xml:space="preserve">3.      </w:t>
      </w:r>
      <w:r>
        <w:rPr>
          <w:sz w:val="21"/>
        </w:rPr>
        <w:t>对甲方的服务通知，乙方在接报后1小时内响应，4小时内到达现场，48小时内处理完毕。若在48小时内仍未能有效解决，乙方须免费提供同级别的设备予甲方临时使用。</w:t>
      </w:r>
    </w:p>
    <w:p>
      <w:pPr>
        <w:pStyle w:val="null3"/>
        <w:ind w:left="855"/>
        <w:jc w:val="both"/>
      </w:pPr>
      <w:r>
        <w:rPr>
          <w:sz w:val="21"/>
          <w:b/>
        </w:rPr>
        <w:t>六、   安装与调试</w:t>
      </w:r>
    </w:p>
    <w:p>
      <w:pPr>
        <w:pStyle w:val="null3"/>
        <w:ind w:left="855"/>
        <w:jc w:val="both"/>
      </w:pPr>
      <w:r>
        <w:rPr>
          <w:sz w:val="21"/>
        </w:rPr>
        <w:t xml:space="preserve">1.      </w:t>
      </w:r>
      <w:r>
        <w:rPr>
          <w:sz w:val="21"/>
        </w:rPr>
        <w:t>乙方必须依照招标文件的要求和报价文件的承诺，将设备、系统安装并调试至正常运行的最佳状态。</w:t>
      </w:r>
    </w:p>
    <w:p>
      <w:pPr>
        <w:pStyle w:val="null3"/>
        <w:ind w:left="855"/>
        <w:jc w:val="both"/>
      </w:pPr>
      <w:r>
        <w:rPr>
          <w:sz w:val="21"/>
          <w:b/>
        </w:rPr>
        <w:t>七、   验收：</w:t>
      </w:r>
    </w:p>
    <w:p>
      <w:pPr>
        <w:pStyle w:val="null3"/>
        <w:ind w:left="855"/>
        <w:jc w:val="both"/>
      </w:pPr>
      <w:r>
        <w:rPr>
          <w:sz w:val="21"/>
        </w:rPr>
        <w:t xml:space="preserve">1.      </w:t>
      </w:r>
      <w:r>
        <w:rPr>
          <w:sz w:val="21"/>
        </w:rPr>
        <w:t>交付验收标准</w:t>
      </w:r>
      <w:r>
        <w:rPr>
          <w:sz w:val="21"/>
        </w:rPr>
        <w:t>依次序对照适用</w:t>
      </w:r>
      <w:r>
        <w:rPr>
          <w:sz w:val="21"/>
        </w:rPr>
        <w:t>标准</w:t>
      </w:r>
      <w:r>
        <w:rPr>
          <w:sz w:val="21"/>
        </w:rPr>
        <w:t>为：</w:t>
      </w:r>
      <w:r>
        <w:rPr>
          <w:sz w:val="21"/>
        </w:rPr>
        <w:t>①符合中华人民共和国国家安全质量标准、环保标准或行业标准；②符合招标文件和相应承诺中甲方认可的合理最佳配置、参数及各项要求；③货物来源国官方标准。</w:t>
      </w:r>
    </w:p>
    <w:p>
      <w:pPr>
        <w:pStyle w:val="null3"/>
        <w:ind w:left="855"/>
        <w:jc w:val="both"/>
      </w:pPr>
      <w:r>
        <w:rPr>
          <w:sz w:val="21"/>
        </w:rPr>
        <w:t xml:space="preserve">2.      </w:t>
      </w:r>
      <w:r>
        <w:rPr>
          <w:sz w:val="21"/>
        </w:rPr>
        <w:t>进口产品必须具备原产地证明和商检局的检验证明及合法进货渠道证明。</w:t>
      </w:r>
    </w:p>
    <w:p>
      <w:pPr>
        <w:pStyle w:val="null3"/>
        <w:ind w:left="855"/>
        <w:jc w:val="both"/>
      </w:pPr>
      <w:r>
        <w:rPr>
          <w:sz w:val="21"/>
        </w:rPr>
        <w:t xml:space="preserve">3.      </w:t>
      </w:r>
      <w:r>
        <w:rPr>
          <w:sz w:val="21"/>
        </w:rPr>
        <w:t>货物为原厂商未启封全新包装，具出厂合格证，序列号、包装箱号与出厂批号一致，并可追溯查阅。所有随设备的附件必须齐全。</w:t>
      </w:r>
    </w:p>
    <w:p>
      <w:pPr>
        <w:pStyle w:val="null3"/>
        <w:ind w:left="855"/>
        <w:jc w:val="both"/>
      </w:pPr>
      <w:r>
        <w:rPr>
          <w:sz w:val="21"/>
        </w:rPr>
        <w:t xml:space="preserve">4.      </w:t>
      </w:r>
      <w:r>
        <w:rPr>
          <w:sz w:val="21"/>
        </w:rPr>
        <w:t>乙方应将关键主机设备的用户手册、保修手册、有关单证资料及配备件、随机工具等交付给甲方，使用操作及安全须知等重要资料应附有中文说明。</w:t>
      </w:r>
    </w:p>
    <w:p>
      <w:pPr>
        <w:pStyle w:val="null3"/>
        <w:ind w:left="855"/>
        <w:jc w:val="both"/>
      </w:pPr>
      <w:r>
        <w:rPr>
          <w:sz w:val="21"/>
        </w:rPr>
        <w:t xml:space="preserve">5.      </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855"/>
        <w:jc w:val="both"/>
      </w:pPr>
      <w:r>
        <w:rPr>
          <w:sz w:val="21"/>
          <w:b/>
        </w:rPr>
        <w:t>八、   违约责任与赔偿损失</w:t>
      </w:r>
    </w:p>
    <w:p>
      <w:pPr>
        <w:pStyle w:val="null3"/>
        <w:ind w:left="855"/>
        <w:jc w:val="both"/>
      </w:pPr>
      <w:r>
        <w:rPr>
          <w:sz w:val="21"/>
        </w:rPr>
        <w:t xml:space="preserve">1.      </w:t>
      </w:r>
      <w:r>
        <w:rPr>
          <w:sz w:val="21"/>
        </w:rPr>
        <w:t>乙方交付的货物、工程/提供的服务不符合本合同规定的，甲方有权拒收，并且乙方须向甲方支付本合同总价5%的违约金。</w:t>
      </w:r>
    </w:p>
    <w:p>
      <w:pPr>
        <w:pStyle w:val="null3"/>
        <w:ind w:left="855"/>
        <w:jc w:val="both"/>
      </w:pPr>
      <w:r>
        <w:rPr>
          <w:sz w:val="21"/>
        </w:rPr>
        <w:t xml:space="preserve">2.      </w:t>
      </w:r>
      <w:r>
        <w:rPr>
          <w:sz w:val="21"/>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left="855"/>
        <w:jc w:val="both"/>
      </w:pPr>
      <w:r>
        <w:rPr>
          <w:sz w:val="21"/>
        </w:rPr>
        <w:t xml:space="preserve">3.      </w:t>
      </w:r>
      <w:r>
        <w:rPr>
          <w:sz w:val="21"/>
        </w:rPr>
        <w:t>甲方无正当理由拒收货物/接受服务，到期拒付货物/服务款项的，甲方向乙方偿付本合同总额的5%的违约金。甲方逾期付款，则每日按本合同总价的3‰向乙方偿付违约金。</w:t>
      </w:r>
    </w:p>
    <w:p>
      <w:pPr>
        <w:pStyle w:val="null3"/>
        <w:ind w:left="855"/>
        <w:jc w:val="both"/>
      </w:pPr>
      <w:r>
        <w:rPr>
          <w:sz w:val="21"/>
        </w:rPr>
        <w:t xml:space="preserve">4.      </w:t>
      </w:r>
      <w:r>
        <w:rPr>
          <w:sz w:val="21"/>
        </w:rPr>
        <w:t>对于因甲方原因导致变更、终止或者终止政府采购合同的，甲方应当依照以下合同约定对供应商受到的损失予以赔偿或者补偿：</w:t>
      </w:r>
    </w:p>
    <w:p>
      <w:pPr>
        <w:pStyle w:val="null3"/>
        <w:ind w:left="855"/>
        <w:jc w:val="both"/>
      </w:pPr>
      <w:r>
        <w:rPr>
          <w:sz w:val="21"/>
        </w:rPr>
        <w:t xml:space="preserve">5.      </w:t>
      </w:r>
      <w:r>
        <w:rPr>
          <w:sz w:val="21"/>
        </w:rPr>
        <w:t>其他违约责任按《中华人民共和国民法典合同编》处理。</w:t>
      </w:r>
    </w:p>
    <w:p>
      <w:pPr>
        <w:pStyle w:val="null3"/>
        <w:ind w:left="855"/>
        <w:jc w:val="both"/>
      </w:pPr>
      <w:r>
        <w:rPr>
          <w:sz w:val="21"/>
          <w:b/>
        </w:rPr>
        <w:t>九、   争议的解决</w:t>
      </w:r>
    </w:p>
    <w:p>
      <w:pPr>
        <w:pStyle w:val="null3"/>
        <w:ind w:left="360"/>
        <w:jc w:val="both"/>
      </w:pPr>
      <w:r>
        <w:rPr>
          <w:sz w:val="21"/>
        </w:rPr>
        <w:t xml:space="preserve">2. </w:t>
      </w:r>
      <w:r>
        <w:rPr>
          <w:sz w:val="21"/>
        </w:rPr>
        <w:t>合同执行过程中发生的任何争议，如双方不能通过友好协商解决，按相关法律法规处理。</w:t>
      </w:r>
    </w:p>
    <w:p>
      <w:pPr>
        <w:pStyle w:val="null3"/>
        <w:ind w:left="855"/>
        <w:jc w:val="both"/>
      </w:pPr>
      <w:r>
        <w:rPr>
          <w:sz w:val="21"/>
          <w:b/>
        </w:rPr>
        <w:t>十、   不可抗力</w:t>
      </w:r>
    </w:p>
    <w:p>
      <w:pPr>
        <w:pStyle w:val="null3"/>
        <w:ind w:left="855"/>
        <w:jc w:val="both"/>
      </w:pPr>
      <w:r>
        <w:rPr>
          <w:sz w:val="21"/>
        </w:rPr>
        <w:t xml:space="preserve">1.      </w:t>
      </w: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十一、  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十二、  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十三、  合同生效</w:t>
      </w:r>
    </w:p>
    <w:p>
      <w:pPr>
        <w:pStyle w:val="null3"/>
        <w:ind w:left="855"/>
        <w:jc w:val="both"/>
      </w:pPr>
      <w:r>
        <w:rPr>
          <w:sz w:val="21"/>
        </w:rPr>
        <w:t xml:space="preserve">1.      </w:t>
      </w:r>
      <w:r>
        <w:rPr>
          <w:sz w:val="21"/>
        </w:rPr>
        <w:t>本合同在甲乙双方法定代表人或其授权代表签字盖章后生效。</w:t>
      </w:r>
    </w:p>
    <w:p>
      <w:pPr>
        <w:pStyle w:val="null3"/>
        <w:ind w:left="855"/>
        <w:jc w:val="both"/>
      </w:pPr>
      <w:r>
        <w:rPr>
          <w:sz w:val="21"/>
        </w:rPr>
        <w:t xml:space="preserve">2.      </w:t>
      </w:r>
      <w:r>
        <w:rPr>
          <w:sz w:val="21"/>
        </w:rPr>
        <w:t>合同一式</w:t>
      </w:r>
      <w:r>
        <w:rPr>
          <w:sz w:val="21"/>
          <w:u w:val="single"/>
        </w:rPr>
        <w:t xml:space="preserve">  六  </w:t>
      </w:r>
      <w:r>
        <w:rPr>
          <w:sz w:val="21"/>
        </w:rPr>
        <w:t>份。</w:t>
      </w:r>
    </w:p>
    <w:p>
      <w:pPr>
        <w:pStyle w:val="null3"/>
        <w:jc w:val="both"/>
      </w:pPr>
      <w:r>
        <w:rPr>
          <w:sz w:val="21"/>
          <w:b/>
        </w:rPr>
        <w:t>甲方（盖章）：                        乙方（盖章）：</w:t>
      </w:r>
    </w:p>
    <w:p>
      <w:pPr>
        <w:pStyle w:val="null3"/>
        <w:jc w:val="both"/>
      </w:pPr>
      <w:r>
        <w:rPr>
          <w:sz w:val="21"/>
          <w:b/>
        </w:rPr>
        <w:t>代表：                               代表：</w:t>
      </w:r>
    </w:p>
    <w:p>
      <w:pPr>
        <w:pStyle w:val="null3"/>
        <w:jc w:val="both"/>
      </w:pPr>
      <w:r>
        <w:rPr>
          <w:sz w:val="21"/>
        </w:rPr>
        <w:t>签订地点：                                签订地点：</w:t>
      </w:r>
    </w:p>
    <w:p>
      <w:pPr>
        <w:pStyle w:val="null3"/>
        <w:jc w:val="both"/>
      </w:pPr>
      <w:r>
        <w:rPr>
          <w:sz w:val="21"/>
        </w:rPr>
        <w:t>签订日期：　　　年　　月　　日            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1"/>
        </w:rPr>
        <w:t>开 户 行：</w:t>
      </w:r>
    </w:p>
    <w:p>
      <w:pPr>
        <w:pStyle w:val="null3"/>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440001-2024-12429</w:t>
      </w:r>
    </w:p>
    <w:p>
      <w:pPr>
        <w:pStyle w:val="null3"/>
        <w:jc w:val="center"/>
        <w:outlineLvl w:val="3"/>
      </w:pPr>
      <w:r>
        <w:rPr>
          <w:sz w:val="24"/>
          <w:b/>
        </w:rPr>
        <w:t>采购项目编号：</w:t>
      </w:r>
      <w:r>
        <w:rPr>
          <w:sz w:val="24"/>
          <w:b/>
        </w:rPr>
        <w:t>GPCGD243109HG059F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广东省海洋数据采集及应用能力提升（2024）项目——存储设备与GIS服务器软件采购项目(二次)</w:t>
      </w:r>
      <w:r>
        <w:rPr>
          <w:u w:val="single"/>
        </w:rPr>
        <w:t>”</w:t>
      </w:r>
      <w:r>
        <w:rPr/>
        <w:t>项目的招标[采购项目编号为：</w:t>
      </w:r>
      <w:r>
        <w:rPr>
          <w:u w:val="single"/>
        </w:rPr>
        <w:t>GPCGD243109HG059F</w:t>
      </w:r>
      <w:r>
        <w:rPr/>
        <w:t>]，我方愿参与投标。</w:t>
      </w:r>
    </w:p>
    <w:p>
      <w:pPr>
        <w:pStyle w:val="null3"/>
        <w:ind w:firstLine="480"/>
      </w:pPr>
      <w:r>
        <w:rPr/>
        <w:t>我方确认收到贵方提供的</w:t>
      </w:r>
      <w:r>
        <w:rPr>
          <w:u w:val="single"/>
        </w:rPr>
        <w:t>“</w:t>
      </w:r>
      <w:r>
        <w:rPr>
          <w:u w:val="single"/>
        </w:rPr>
        <w:t>广东省海洋数据采集及应用能力提升（2024）项目——存储设备与GIS服务器软件采购项目(二次)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广东省海洋数据采集及应用能力提升（2024）项目——存储设备与GIS服务器软件采购项目(二次)</w:t>
      </w:r>
      <w:r>
        <w:rPr/>
        <w:t>”项目采购[采购项目编号为</w:t>
      </w:r>
      <w:r>
        <w:rPr/>
        <w:t>GPCGD243109HG059F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广东省海洋数据采集及应用能力提升（2024）项目——存储设备与GIS服务器软件采购项目(二次)</w:t>
      </w:r>
      <w:r>
        <w:rPr/>
        <w:t>招标中获中标（采购项目编号：</w:t>
      </w:r>
      <w:r>
        <w:rPr/>
        <w:t>GPCGD243109HG059F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广东省海洋数据采集及应用能力提升（2024）项目——存储设备与GIS服务器软件采购项目(二次)</w:t>
      </w:r>
      <w:r>
        <w:rPr/>
        <w:t>”项目（采购项目编号：</w:t>
      </w:r>
      <w:r>
        <w:rPr/>
        <w:t>GPCGD243109HG059F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