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440001-2024-03417</w:t>
      </w:r>
    </w:p>
    <w:p>
      <w:pPr>
        <w:jc w:val="center"/>
      </w:pPr>
      <w:r>
        <w:rPr>
          <w:b/>
          <w:sz w:val="24"/>
        </w:rPr>
        <w:t>采购项目编号：</w:t>
      </w:r>
      <w:r>
        <w:rPr>
          <w:b/>
          <w:sz w:val="24"/>
        </w:rPr>
        <w:t>GPCGD233185HG178F</w:t>
      </w:r>
    </w:p>
    <w:p>
      <w:pPr>
        <w:jc w:val="center"/>
      </w:pPr>
      <w:r>
        <w:rPr>
          <w:b/>
          <w:sz w:val="24"/>
        </w:rPr>
        <w:t>项目名称：</w:t>
      </w:r>
      <w:r>
        <w:rPr>
          <w:b/>
          <w:sz w:val="24"/>
        </w:rPr>
        <w:t>越秀山电视塔低压配电系统改造项目（二次）</w:t>
      </w:r>
    </w:p>
    <w:p>
      <w:pPr>
        <w:jc w:val="center"/>
      </w:pPr>
      <w:r>
        <w:rPr>
          <w:b/>
          <w:sz w:val="24"/>
        </w:rPr>
        <w:t>采购人：</w:t>
      </w:r>
      <w:r>
        <w:rPr>
          <w:b/>
          <w:sz w:val="24"/>
        </w:rPr>
        <w:t>广东省广播电视技术中心</w:t>
      </w:r>
    </w:p>
    <w:p>
      <w:pPr>
        <w:jc w:val="center"/>
      </w:pPr>
      <w:r>
        <w:rPr>
          <w:b/>
          <w:sz w:val="24"/>
        </w:rPr>
        <w:t>采购代理机构：</w:t>
      </w:r>
      <w:r>
        <w:rPr>
          <w:b/>
          <w:sz w:val="24"/>
        </w:rPr>
        <w:t>广东省政府采购中心</w:t>
      </w:r>
    </w:p>
    <w:p>
      <w:pPr>
        <w:ind w:firstLine="480"/>
      </w:pPr>
    </w:p>
    <w:p>
      <w:r>
        <w:rPr/>
        <w:t xml:space="preserve"> </w:t>
      </w:r>
    </w:p>
    <w:p/>
    <w:p>
      <w:pPr>
        <w:jc w:val="center"/>
      </w:pPr>
      <w:r>
        <w:rPr>
          <w:b/>
          <w:sz w:val="36"/>
        </w:rPr>
        <w:t>第一章投标邀请</w:t>
      </w:r>
    </w:p>
    <w:p>
      <w:pPr>
        <w:ind w:firstLine="480"/>
      </w:pPr>
      <w:r>
        <w:rPr/>
        <w:t>广东省政府采购中心</w:t>
      </w:r>
      <w:r>
        <w:rPr/>
        <w:t>受</w:t>
      </w:r>
      <w:r>
        <w:rPr/>
        <w:t>广东省广播电视技术中心</w:t>
      </w:r>
      <w:r>
        <w:rPr/>
        <w:t>的委托，采用</w:t>
      </w:r>
      <w:r>
        <w:rPr/>
        <w:t>公开招标</w:t>
      </w:r>
      <w:r>
        <w:rPr/>
        <w:t>方式组织采购</w:t>
      </w:r>
      <w:r>
        <w:rPr/>
        <w:t>越秀山电视塔低压配电系统改造项目（二次）</w:t>
      </w:r>
      <w:r>
        <w:rPr/>
        <w:t>。欢迎符合资格条件的国内供应商参加投标。</w:t>
      </w:r>
    </w:p>
    <w:p>
      <w:r>
        <w:rPr>
          <w:b/>
          <w:sz w:val="28"/>
        </w:rPr>
        <w:t>一.项目概述</w:t>
      </w:r>
    </w:p>
    <w:p>
      <w:r>
        <w:rPr>
          <w:b/>
          <w:sz w:val="24"/>
        </w:rPr>
        <w:t>1.名称与编号</w:t>
      </w:r>
    </w:p>
    <w:p>
      <w:pPr>
        <w:ind w:firstLine="480"/>
      </w:pPr>
      <w:r>
        <w:rPr/>
        <w:t>项目名称：</w:t>
      </w:r>
      <w:r>
        <w:rPr/>
        <w:t>越秀山电视塔低压配电系统改造项目（二次）</w:t>
      </w:r>
    </w:p>
    <w:p>
      <w:pPr>
        <w:ind w:firstLine="480"/>
      </w:pPr>
      <w:r>
        <w:rPr/>
        <w:t>采购计划编号：</w:t>
      </w:r>
      <w:r>
        <w:rPr/>
        <w:t>440001-2024-03417</w:t>
      </w:r>
    </w:p>
    <w:p>
      <w:pPr>
        <w:ind w:firstLine="480"/>
      </w:pPr>
      <w:r>
        <w:rPr/>
        <w:t>采购项目编号：</w:t>
      </w:r>
      <w:r>
        <w:rPr/>
        <w:t>GPCGD233185HG178F</w:t>
      </w:r>
    </w:p>
    <w:p>
      <w:pPr>
        <w:ind w:firstLine="480"/>
      </w:pPr>
      <w:r>
        <w:rPr/>
        <w:t>采购方式：</w:t>
      </w:r>
      <w:r>
        <w:rPr/>
        <w:t>公开招标</w:t>
      </w:r>
    </w:p>
    <w:p>
      <w:pPr>
        <w:ind w:firstLine="480"/>
      </w:pPr>
      <w:r>
        <w:rPr/>
        <w:t>预算金额：</w:t>
      </w:r>
      <w:r>
        <w:rPr/>
        <w:t>1,486,500.00</w:t>
      </w:r>
      <w:r>
        <w:rPr/>
        <w:t>元</w:t>
      </w:r>
    </w:p>
    <w:p>
      <w:r>
        <w:rPr>
          <w:b/>
          <w:sz w:val="24"/>
        </w:rPr>
        <w:t>2.项目内容及需求情况（采购项目技术规格、参数及要求）</w:t>
      </w:r>
    </w:p>
    <w:p>
      <w:pPr>
        <w:ind w:firstLine="480"/>
      </w:pPr>
    </w:p>
    <w:p/>
    <w:p>
      <w:r>
        <w:rPr/>
        <w:t>采购包1(越秀山电视塔低压配电系统改造项目（二次）):</w:t>
      </w:r>
    </w:p>
    <w:p>
      <w:r>
        <w:rPr/>
        <w:t>采购包预算金额：1,486,500.00元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不间断电源</w:t>
            </w:r>
          </w:p>
        </w:tc>
        <w:tc>
          <w:tcPr>
            <w:tcW w:type="dxa" w:w="2136"/>
          </w:tcPr>
          <w:p>
            <w:r>
              <w:rPr/>
              <w:t>低压配电系统改造</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合同履行期限：合同签订之日起150个日历天内。</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报价的，须提供总公司和分公司营业执照副本复印件，总公司出具给分支机构的授权书。</w:t>
      </w:r>
    </w:p>
    <w:p/>
    <w:p>
      <w:r>
        <w:rPr/>
        <w:t>2）有依法缴纳税收和社会保障资金的良好记录：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以下2种证明材料之一：①2022年度或2023年度经会计师事务所审计的财务状况报告；②基本开户行出具的资信证明和《基本存款账号信息》）。</w:t>
      </w:r>
    </w:p>
    <w:p/>
    <w:p>
      <w:r>
        <w:rPr/>
        <w:t>4）履行合同所必需的设备和专业技术能力：按投标（响应）文件格式填报设备及专业技术能力情况。</w:t>
      </w:r>
    </w:p>
    <w:p/>
    <w:p>
      <w:r>
        <w:rPr/>
        <w:t>5）参加采购活动前3年内，在经营活动中没有重大违法记录：供应商参加政府采购活动前三年内，在经营活动中没有重大违法记录（可参照投标函相关承诺格式内容）。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p/>
    <w:p>
      <w:r>
        <w:rPr>
          <w:b/>
          <w:sz w:val="24"/>
        </w:rPr>
        <w:t>3.本项目特定的资格要求：</w:t>
      </w:r>
    </w:p>
    <w:p>
      <w:pPr>
        <w:ind w:firstLine="480"/>
      </w:pPr>
    </w:p>
    <w:p/>
    <w:p>
      <w:r>
        <w:rPr/>
        <w:t>采购包1（越秀山电视塔低压配电系统改造项目（二次））：</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投标人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3)投标人应具备承装（修、试）电力设施许可证。（提供有效期内的证书复印件）</w:t>
      </w:r>
    </w:p>
    <w:p/>
    <w:p>
      <w:r>
        <w:rPr/>
        <w:t>4)供应商须符合下列情形之一： ①供应商具备乙级或以上电力行业（送电工程专业或变电工程专业或送变电工程专业）设计资质。（提供有效期内的证书复印件） ②如供应商将需求中允许分包的内容全部进行分包，接受分包的供应商具备乙级或以上电力行业（送电工程专业或变电工程专业或送变电工程专业）设计资质。投标时须按格式提供《分包意向协议书》（见需求书附件）和接受分包供应商的资质证书复印件。</w:t>
      </w:r>
    </w:p>
    <w:p/>
    <w:p>
      <w:r>
        <w:rPr/>
        <w:t>5)本项目不接受联合体投标，不允许转包。</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广东省政府采购中心网(http://gpcgd.gd.gov.cn)</w:t>
      </w:r>
    </w:p>
    <w:p>
      <w:r>
        <w:rPr>
          <w:b/>
          <w:sz w:val="28"/>
        </w:rPr>
        <w:t>六.本项目联系方式：</w:t>
      </w:r>
    </w:p>
    <w:p>
      <w:r>
        <w:rPr>
          <w:b/>
          <w:sz w:val="24"/>
        </w:rPr>
        <w:t>1.采购人信息</w:t>
      </w:r>
    </w:p>
    <w:p>
      <w:pPr>
        <w:ind w:firstLine="480"/>
      </w:pPr>
      <w:r>
        <w:rPr/>
        <w:t>名称：</w:t>
      </w:r>
      <w:r>
        <w:rPr/>
        <w:t>广东省广播电视技术中心</w:t>
      </w:r>
    </w:p>
    <w:p>
      <w:pPr>
        <w:ind w:firstLine="480"/>
      </w:pPr>
      <w:r>
        <w:rPr/>
        <w:t>地址：</w:t>
      </w:r>
      <w:r>
        <w:rPr/>
        <w:t>广州市环市东路331号广东电视中心</w:t>
      </w:r>
    </w:p>
    <w:p>
      <w:pPr>
        <w:ind w:firstLine="480"/>
      </w:pPr>
      <w:r>
        <w:rPr/>
        <w:t>联系方式：</w:t>
      </w:r>
      <w:r>
        <w:rPr/>
        <w:t>020-83558048</w:t>
      </w:r>
    </w:p>
    <w:p>
      <w:r>
        <w:rPr>
          <w:b/>
          <w:sz w:val="24"/>
        </w:rPr>
        <w:t>2.采购代理机构信息</w:t>
      </w:r>
    </w:p>
    <w:p>
      <w:pPr>
        <w:ind w:firstLine="480"/>
      </w:pPr>
      <w:r>
        <w:rPr/>
        <w:t>名称：</w:t>
      </w:r>
      <w:r>
        <w:rPr/>
        <w:t>广东省政府采购中心</w:t>
      </w:r>
    </w:p>
    <w:p>
      <w:pPr>
        <w:ind w:firstLine="480"/>
      </w:pPr>
      <w:r>
        <w:rPr/>
        <w:t>地址：</w:t>
      </w:r>
      <w:r>
        <w:rPr/>
        <w:t>广东省广州市越秀区越华路112号珠江国际大厦3楼</w:t>
      </w:r>
    </w:p>
    <w:p>
      <w:pPr>
        <w:ind w:firstLine="480"/>
      </w:pPr>
      <w:r>
        <w:rPr/>
        <w:t>联系方式：</w:t>
      </w:r>
      <w:r>
        <w:rPr/>
        <w:t>020-83187196（sczx3@gd.gov.cn）</w:t>
      </w:r>
    </w:p>
    <w:p>
      <w:r>
        <w:rPr>
          <w:b/>
          <w:sz w:val="24"/>
        </w:rPr>
        <w:t>3.项目联系方式</w:t>
      </w:r>
    </w:p>
    <w:p>
      <w:pPr>
        <w:ind w:firstLine="480"/>
      </w:pPr>
      <w:r>
        <w:rPr/>
        <w:t>项目联系人：</w:t>
      </w:r>
      <w:r>
        <w:rPr/>
        <w:t>龙工</w:t>
      </w:r>
    </w:p>
    <w:p>
      <w:pPr>
        <w:ind w:firstLine="480"/>
      </w:pPr>
      <w:r>
        <w:rPr/>
        <w:t>电话：</w:t>
      </w:r>
      <w:r>
        <w:rPr/>
        <w:t>020-83187196（sczx3@gd.gov.cn）</w:t>
      </w:r>
    </w:p>
    <w:p>
      <w:r>
        <w:rPr>
          <w:b/>
          <w:sz w:val="24"/>
        </w:rPr>
        <w:t>4.技术支持联系方式</w:t>
      </w:r>
    </w:p>
    <w:p>
      <w:pPr>
        <w:ind w:firstLine="480"/>
      </w:pPr>
      <w:r>
        <w:rPr/>
        <w:t>云平台联系方式：020-88696588</w:t>
      </w:r>
    </w:p>
    <w:p>
      <w:r>
        <w:rPr/>
        <w:t>采购代理机构：</w:t>
      </w:r>
      <w:r>
        <w:rPr/>
        <w:t>广东省政府采购中心</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sz w:val="21"/>
        </w:rPr>
        <w:t>一、采购</w:t>
      </w:r>
      <w:r>
        <w:rPr>
          <w:sz w:val="21"/>
        </w:rPr>
        <w:t>项目</w:t>
      </w:r>
      <w:r>
        <w:rPr>
          <w:sz w:val="21"/>
        </w:rPr>
        <w:t>编号：GPCGD233185HG178F</w:t>
      </w:r>
    </w:p>
    <w:p>
      <w:pPr>
        <w:ind w:firstLine="420"/>
        <w:jc w:val="both"/>
      </w:pPr>
      <w:r>
        <w:rPr>
          <w:sz w:val="21"/>
        </w:rPr>
        <w:t>二、采购项目名称：</w:t>
      </w:r>
      <w:r>
        <w:rPr>
          <w:sz w:val="21"/>
        </w:rPr>
        <w:t>越秀山电视塔低压配电系统改造项目（二次）</w:t>
      </w:r>
    </w:p>
    <w:p>
      <w:pPr>
        <w:ind w:firstLine="420"/>
        <w:jc w:val="both"/>
      </w:pPr>
      <w:r>
        <w:rPr>
          <w:sz w:val="21"/>
        </w:rPr>
        <w:t>三、采购预算：148.65万元</w:t>
      </w:r>
    </w:p>
    <w:p>
      <w:pPr>
        <w:ind w:firstLine="420"/>
        <w:jc w:val="both"/>
      </w:pPr>
      <w:r>
        <w:rPr>
          <w:sz w:val="21"/>
        </w:rPr>
        <w:t>四、</w:t>
      </w:r>
      <w:r>
        <w:rPr>
          <w:sz w:val="21"/>
        </w:rPr>
        <w:t>项目内容及需求：(采购项目技术规格、参数及要求、</w:t>
      </w:r>
      <w:r>
        <w:rPr>
          <w:sz w:val="21"/>
        </w:rPr>
        <w:t>需要落实的政府采购政策</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976"/>
        <w:gridCol w:w="1740"/>
        <w:gridCol w:w="2674"/>
        <w:gridCol w:w="1457"/>
        <w:gridCol w:w="1457"/>
      </w:tblGrid>
      <w:tr>
        <w:tc>
          <w:tcPr>
            <w:tcW w:type="dxa" w:w="976"/>
            <w:tcBorders>
              <w:top w:val="single" w:color="000000" w:sz="4"/>
              <w:left w:val="single" w:color="000000" w:sz="4"/>
              <w:bottom w:val="single" w:color="000000" w:sz="4"/>
              <w:right w:val="single" w:color="000000" w:sz="4"/>
            </w:tcBorders>
          </w:tcPr>
          <w:p>
            <w:pPr>
              <w:jc w:val="center"/>
            </w:pPr>
            <w:r>
              <w:rPr>
                <w:sz w:val="21"/>
              </w:rPr>
              <w:t>序号</w:t>
            </w:r>
          </w:p>
        </w:tc>
        <w:tc>
          <w:tcPr>
            <w:tcW w:type="dxa" w:w="1740"/>
            <w:tcBorders>
              <w:top w:val="single" w:color="000000" w:sz="4"/>
              <w:left w:val="none" w:color="000000" w:sz="4"/>
              <w:bottom w:val="single" w:color="000000" w:sz="4"/>
              <w:right w:val="single" w:color="000000" w:sz="4"/>
            </w:tcBorders>
          </w:tcPr>
          <w:p>
            <w:pPr>
              <w:jc w:val="center"/>
            </w:pPr>
            <w:r>
              <w:rPr>
                <w:sz w:val="21"/>
              </w:rPr>
              <w:t>采购内容</w:t>
            </w:r>
          </w:p>
        </w:tc>
        <w:tc>
          <w:tcPr>
            <w:tcW w:type="dxa" w:w="2674"/>
            <w:tcBorders>
              <w:top w:val="single" w:color="000000" w:sz="4"/>
              <w:left w:val="none" w:color="000000" w:sz="4"/>
              <w:bottom w:val="single" w:color="000000" w:sz="4"/>
              <w:right w:val="single" w:color="000000" w:sz="4"/>
            </w:tcBorders>
          </w:tcPr>
          <w:p>
            <w:pPr>
              <w:jc w:val="center"/>
            </w:pPr>
            <w:r>
              <w:rPr>
                <w:sz w:val="21"/>
              </w:rPr>
              <w:t>服务期限</w:t>
            </w:r>
          </w:p>
        </w:tc>
        <w:tc>
          <w:tcPr>
            <w:tcW w:type="dxa" w:w="1457"/>
            <w:tcBorders>
              <w:top w:val="single" w:color="000000" w:sz="4"/>
              <w:left w:val="none" w:color="000000" w:sz="4"/>
              <w:bottom w:val="single" w:color="000000" w:sz="4"/>
              <w:right w:val="single" w:color="000000" w:sz="4"/>
            </w:tcBorders>
          </w:tcPr>
          <w:p>
            <w:pPr>
              <w:jc w:val="center"/>
            </w:pPr>
            <w:r>
              <w:rPr>
                <w:sz w:val="21"/>
              </w:rPr>
              <w:t>采购预算</w:t>
            </w:r>
          </w:p>
          <w:p>
            <w:pPr>
              <w:jc w:val="center"/>
            </w:pPr>
            <w:r>
              <w:rPr>
                <w:sz w:val="21"/>
              </w:rPr>
              <w:t>（万元）</w:t>
            </w:r>
          </w:p>
        </w:tc>
        <w:tc>
          <w:tcPr>
            <w:tcW w:type="dxa" w:w="1457"/>
            <w:tcBorders>
              <w:top w:val="single" w:color="000000" w:sz="4"/>
              <w:left w:val="none" w:color="000000" w:sz="4"/>
              <w:bottom w:val="single" w:color="000000" w:sz="4"/>
              <w:right w:val="single" w:color="000000" w:sz="4"/>
            </w:tcBorders>
          </w:tcPr>
          <w:p>
            <w:pPr>
              <w:jc w:val="center"/>
            </w:pPr>
            <w:r>
              <w:rPr>
                <w:sz w:val="21"/>
              </w:rPr>
              <w:t>是否允许进口产品投标</w:t>
            </w:r>
          </w:p>
        </w:tc>
      </w:tr>
      <w:tr>
        <w:tc>
          <w:tcPr>
            <w:tcW w:type="dxa" w:w="976"/>
            <w:tcBorders>
              <w:top w:val="none" w:color="000000" w:sz="4"/>
              <w:left w:val="single" w:color="000000" w:sz="4"/>
              <w:bottom w:val="single" w:color="000000" w:sz="4"/>
              <w:right w:val="single" w:color="000000" w:sz="4"/>
            </w:tcBorders>
          </w:tcPr>
          <w:p>
            <w:pPr>
              <w:jc w:val="center"/>
            </w:pPr>
            <w:r>
              <w:rPr>
                <w:sz w:val="21"/>
              </w:rPr>
              <w:t>1</w:t>
            </w:r>
          </w:p>
        </w:tc>
        <w:tc>
          <w:tcPr>
            <w:tcW w:type="dxa" w:w="1740"/>
            <w:tcBorders>
              <w:top w:val="none" w:color="000000" w:sz="4"/>
              <w:left w:val="none" w:color="000000" w:sz="4"/>
              <w:bottom w:val="single" w:color="000000" w:sz="4"/>
              <w:right w:val="single" w:color="000000" w:sz="4"/>
            </w:tcBorders>
          </w:tcPr>
          <w:p>
            <w:pPr>
              <w:jc w:val="center"/>
            </w:pPr>
            <w:r>
              <w:rPr>
                <w:sz w:val="21"/>
              </w:rPr>
              <w:t>越秀山电视塔低压配电系统改造项目（二次）</w:t>
            </w:r>
          </w:p>
        </w:tc>
        <w:tc>
          <w:tcPr>
            <w:tcW w:type="dxa" w:w="2674"/>
            <w:tcBorders>
              <w:top w:val="none" w:color="000000" w:sz="4"/>
              <w:left w:val="none" w:color="000000" w:sz="4"/>
              <w:bottom w:val="single" w:color="000000" w:sz="4"/>
              <w:right w:val="single" w:color="000000" w:sz="4"/>
            </w:tcBorders>
          </w:tcPr>
          <w:p>
            <w:pPr>
              <w:jc w:val="center"/>
            </w:pPr>
            <w:r>
              <w:rPr>
                <w:sz w:val="21"/>
              </w:rPr>
              <w:t>合同签订之日起150个日历天内完成设计、供货、安装、调试、试验、旧设备拆除、试运行直至验收合格交付采购人使用。</w:t>
            </w:r>
          </w:p>
        </w:tc>
        <w:tc>
          <w:tcPr>
            <w:tcW w:type="dxa" w:w="1457"/>
            <w:tcBorders>
              <w:top w:val="none" w:color="000000" w:sz="4"/>
              <w:left w:val="none" w:color="000000" w:sz="4"/>
              <w:bottom w:val="single" w:color="000000" w:sz="4"/>
              <w:right w:val="single" w:color="000000" w:sz="4"/>
            </w:tcBorders>
          </w:tcPr>
          <w:p>
            <w:pPr>
              <w:jc w:val="center"/>
            </w:pPr>
            <w:r>
              <w:rPr>
                <w:sz w:val="21"/>
              </w:rPr>
              <w:t>148.65</w:t>
            </w:r>
          </w:p>
        </w:tc>
        <w:tc>
          <w:tcPr>
            <w:tcW w:type="dxa" w:w="1457"/>
            <w:tcBorders>
              <w:top w:val="none" w:color="000000" w:sz="4"/>
              <w:left w:val="none" w:color="000000" w:sz="4"/>
              <w:bottom w:val="single" w:color="000000" w:sz="4"/>
              <w:right w:val="single" w:color="000000" w:sz="4"/>
            </w:tcBorders>
          </w:tcPr>
          <w:p>
            <w:pPr>
              <w:jc w:val="center"/>
            </w:pPr>
            <w:r>
              <w:rPr>
                <w:sz w:val="21"/>
              </w:rPr>
              <w:t>否</w:t>
            </w:r>
          </w:p>
        </w:tc>
      </w:tr>
    </w:tbl>
    <w:p>
      <w:pPr>
        <w:ind w:firstLine="420"/>
        <w:jc w:val="both"/>
      </w:pPr>
    </w:p>
    <w:p>
      <w:pPr>
        <w:ind w:firstLine="441"/>
        <w:jc w:val="both"/>
      </w:pPr>
      <w:r>
        <w:rPr>
          <w:sz w:val="21"/>
        </w:rPr>
        <w:t>需要落实的政府采购政策：《政府采购促进中小企业发展管理办法》（财库〔2020〕46号）、《关于政府采购支持监狱企业发展有关问题的通知》(财库〔2014〕68号)、《关于促进残疾人就业政府采购政策的通知》（财库〔2017〕141号)</w:t>
      </w:r>
      <w:r>
        <w:rPr>
          <w:sz w:val="21"/>
        </w:rPr>
        <w:t>、《关于环境标志产品政府采购实施的意见》（财库〔2006〕90号）、《节能产品政府采购实施意见》的通知（财库〔2004〕185号）、《关于调整优化节能产品、环境标志产品政府采购执行机制的通知》（财库〔2019〕9号）等</w:t>
      </w:r>
      <w:r>
        <w:rPr>
          <w:sz w:val="21"/>
        </w:rPr>
        <w:t>。</w:t>
      </w:r>
    </w:p>
    <w:p>
      <w:pPr>
        <w:ind w:firstLine="441"/>
        <w:jc w:val="both"/>
      </w:pPr>
      <w:r>
        <w:rPr>
          <w:sz w:val="21"/>
        </w:rPr>
        <w:t>本项目属于货物类项目，中小企业划分标准所属行业为：工业。</w:t>
      </w:r>
    </w:p>
    <w:p>
      <w:pPr>
        <w:ind w:firstLine="441"/>
        <w:jc w:val="both"/>
      </w:pPr>
      <w:r>
        <w:rPr>
          <w:sz w:val="21"/>
        </w:rPr>
        <w:t>本项目属于非专门面向中小企业采购项目。</w:t>
      </w:r>
    </w:p>
    <w:p>
      <w:pPr>
        <w:jc w:val="center"/>
      </w:pPr>
      <w:r>
        <w:rPr>
          <w:b/>
          <w:sz w:val="28"/>
        </w:rPr>
        <w:t>用户需求书</w:t>
      </w:r>
    </w:p>
    <w:p>
      <w:pPr>
        <w:jc w:val="both"/>
      </w:pPr>
    </w:p>
    <w:p>
      <w:pPr>
        <w:ind w:firstLine="420"/>
        <w:jc w:val="both"/>
      </w:pPr>
      <w:r>
        <w:rPr>
          <w:sz w:val="21"/>
        </w:rPr>
        <w:t>1</w:t>
      </w:r>
      <w:r>
        <w:rPr>
          <w:sz w:val="21"/>
        </w:rPr>
        <w:t>、用户需求书说明</w:t>
      </w:r>
    </w:p>
    <w:p>
      <w:pPr>
        <w:ind w:firstLine="424"/>
        <w:jc w:val="both"/>
      </w:pPr>
      <w:r>
        <w:rPr>
          <w:sz w:val="21"/>
        </w:rPr>
        <w:t>（1）</w:t>
      </w:r>
      <w:r>
        <w:rPr>
          <w:sz w:val="21"/>
        </w:rPr>
        <w:t>供应商须对本项目为单位的货物及服务进行整体响应，任何只对本项目其中一部分内容进行的响应都被视为无效响应。</w:t>
      </w:r>
    </w:p>
    <w:p>
      <w:pPr>
        <w:ind w:firstLine="424"/>
        <w:jc w:val="both"/>
      </w:pPr>
      <w:r>
        <w:rPr>
          <w:sz w:val="21"/>
        </w:rPr>
        <w:t>（2）</w:t>
      </w:r>
      <w:r>
        <w:rPr>
          <w:sz w:val="21"/>
        </w:rPr>
        <w:t>需求书如有标注“★”号条款为实质性条款，供应商若有任何一条不响应或负偏离则导致响应无效。</w:t>
      </w:r>
    </w:p>
    <w:p>
      <w:pPr>
        <w:ind w:firstLine="424"/>
        <w:jc w:val="both"/>
      </w:pPr>
      <w:r>
        <w:rPr>
          <w:sz w:val="21"/>
        </w:rPr>
        <w:t>（3）</w:t>
      </w:r>
      <w:r>
        <w:rPr>
          <w:sz w:val="21"/>
        </w:rPr>
        <w:t>需求书中如有标注“▲”号条款为重要指标，供应商若有部分“▲”条款未响应或不满足，将导致失分，但不作为无效响应条款。</w:t>
      </w:r>
    </w:p>
    <w:p>
      <w:pPr>
        <w:ind w:firstLine="420"/>
        <w:jc w:val="both"/>
      </w:pPr>
      <w:r>
        <w:rPr>
          <w:sz w:val="21"/>
        </w:rPr>
        <w:t>2</w:t>
      </w:r>
      <w:r>
        <w:rPr>
          <w:sz w:val="21"/>
        </w:rPr>
        <w:t>、</w:t>
      </w:r>
      <w:r>
        <w:rPr>
          <w:b/>
          <w:sz w:val="21"/>
        </w:rPr>
        <w:t>按照政府采购有关政策的要求，在本次项目中，如采用符合政策的节能产品、环境标志产品，须按照响应文件格式《政策适用性说明》要求填写。</w:t>
      </w:r>
    </w:p>
    <w:p>
      <w:pPr>
        <w:ind w:firstLine="420"/>
        <w:jc w:val="both"/>
      </w:pPr>
    </w:p>
    <w:p>
      <w:pPr>
        <w:jc w:val="both"/>
      </w:pPr>
      <w:r>
        <w:rPr>
          <w:b/>
          <w:sz w:val="21"/>
        </w:rPr>
        <w:t>一、项目概况</w:t>
      </w:r>
    </w:p>
    <w:p>
      <w:pPr>
        <w:ind w:firstLine="420"/>
        <w:jc w:val="both"/>
      </w:pPr>
      <w:r>
        <w:rPr>
          <w:sz w:val="21"/>
        </w:rPr>
        <w:t>1.</w:t>
      </w:r>
      <w:r>
        <w:rPr>
          <w:sz w:val="21"/>
        </w:rPr>
        <w:t>广东省广播电视技术中心越秀山电视塔位于广州市越秀区环市中路越秀公园内，主要业务为调频、电视广播信号传输及覆盖，主要设备为调频、电视广播信号处理前端、发射机等，对供配电质量要求较高。越秀山低压配电系统改造项目计划采购一套容量不低于500kVA的UPS电源（含电池组）及其配套设备和服务。其中，UPS电源（含电池组）安装在电视塔的低压二级配电房内，接入电视塔低压配电系统后将部分重要播出负载迁移至UPS系统进行供电。本项目应配套安装一套蓄电池在线监测系统对UPS蓄电池组进行实时在线监测，配套安装一套动力环境监控系统对UPS主机、蓄电池组、发电机、各高低压配电设备等全配电链路以及各个配电房的环境温湿度等进行集中在线监控，在二级低压配电房内配套安装一套新风系统。</w:t>
      </w:r>
    </w:p>
    <w:p>
      <w:pPr>
        <w:ind w:firstLine="420"/>
        <w:jc w:val="both"/>
      </w:pPr>
      <w:r>
        <w:rPr>
          <w:sz w:val="21"/>
        </w:rPr>
        <w:t>2.</w:t>
      </w:r>
      <w:r>
        <w:rPr>
          <w:sz w:val="21"/>
        </w:rPr>
        <w:t>本项目总预算金额为人民币148.65万元。</w:t>
      </w:r>
    </w:p>
    <w:p>
      <w:pPr>
        <w:ind w:firstLine="420"/>
        <w:jc w:val="both"/>
      </w:pPr>
      <w:r>
        <w:rPr>
          <w:sz w:val="21"/>
        </w:rPr>
        <w:t>3.</w:t>
      </w:r>
      <w:r>
        <w:rPr>
          <w:sz w:val="21"/>
        </w:rPr>
        <w:t>设备交付时间：合同签订之日起150个日历天内完成设计、供货、安装、调试、试验、旧设备拆除、试运行直至验收合格交付采购人使用。</w:t>
      </w:r>
    </w:p>
    <w:p>
      <w:pPr>
        <w:ind w:firstLine="420"/>
        <w:jc w:val="both"/>
      </w:pPr>
      <w:r>
        <w:rPr>
          <w:sz w:val="21"/>
        </w:rPr>
        <w:t>4.</w:t>
      </w:r>
      <w:r>
        <w:rPr>
          <w:sz w:val="21"/>
        </w:rPr>
        <w:t>交付及安装地点：广州市越秀区越秀山电视塔。</w:t>
      </w:r>
    </w:p>
    <w:p>
      <w:pPr>
        <w:ind w:firstLine="420"/>
        <w:jc w:val="both"/>
      </w:pPr>
      <w:r>
        <w:rPr>
          <w:sz w:val="21"/>
        </w:rPr>
        <w:t>★5.投标人必须承诺，本项目需求书中凡属于《节能产品政府采购品目清单》中标有“★”的产品，均已具有国家确定的认证机构出具的有效的《节能产品认证证书》，供货时提供相关证书复印件（投标时提交承诺，可参照“格式”中《承诺函》格式）。</w:t>
      </w:r>
    </w:p>
    <w:p>
      <w:pPr>
        <w:ind w:firstLine="420"/>
        <w:jc w:val="both"/>
      </w:pPr>
      <w:r>
        <w:rPr>
          <w:sz w:val="21"/>
        </w:rPr>
        <w:t>★6.投标人必须承诺，</w:t>
      </w:r>
      <w:r>
        <w:rPr>
          <w:sz w:val="21"/>
        </w:rPr>
        <w:t>本项目</w:t>
      </w:r>
      <w:r>
        <w:rPr>
          <w:sz w:val="21"/>
        </w:rPr>
        <w:t>需求书</w:t>
      </w:r>
      <w:r>
        <w:rPr>
          <w:sz w:val="21"/>
        </w:rPr>
        <w:t>中凡属于市场监管总局发布的《强制性产品认证目录》中的产品，均已通过国家指定认证机构的3C国家强制性产品认证，并在供货时提交相关认证证书复印件</w:t>
      </w:r>
      <w:r>
        <w:rPr>
          <w:sz w:val="21"/>
        </w:rPr>
        <w:t>（投标时提交承诺，可参照“格式”中《承诺函》格式）。</w:t>
      </w:r>
    </w:p>
    <w:p>
      <w:pPr>
        <w:ind w:firstLine="420"/>
        <w:jc w:val="both"/>
      </w:pPr>
    </w:p>
    <w:p>
      <w:pPr>
        <w:jc w:val="both"/>
      </w:pPr>
      <w:r>
        <w:rPr>
          <w:b/>
          <w:sz w:val="21"/>
        </w:rPr>
        <w:t>二、项目总体要求</w:t>
      </w:r>
    </w:p>
    <w:p>
      <w:pPr>
        <w:ind w:firstLine="420"/>
        <w:jc w:val="both"/>
      </w:pPr>
      <w:r>
        <w:rPr>
          <w:sz w:val="21"/>
        </w:rPr>
        <w:t>1.</w:t>
      </w:r>
      <w:r>
        <w:rPr>
          <w:sz w:val="21"/>
        </w:rPr>
        <w:t>投标人所投的所有设备应是制造商原装、全新的产品，符合国家及行业的出厂标准。</w:t>
      </w:r>
    </w:p>
    <w:p>
      <w:pPr>
        <w:ind w:firstLine="420"/>
        <w:jc w:val="both"/>
      </w:pPr>
      <w:r>
        <w:rPr>
          <w:sz w:val="21"/>
        </w:rPr>
        <w:t>2.</w:t>
      </w:r>
      <w:r>
        <w:rPr>
          <w:sz w:val="21"/>
        </w:rPr>
        <w:t>设备规格应符合广播电视行业标准，适应事业发展的要求。</w:t>
      </w:r>
    </w:p>
    <w:p>
      <w:pPr>
        <w:ind w:firstLine="420"/>
        <w:jc w:val="both"/>
      </w:pPr>
      <w:r>
        <w:rPr>
          <w:sz w:val="21"/>
        </w:rPr>
        <w:t>3.</w:t>
      </w:r>
      <w:r>
        <w:rPr>
          <w:sz w:val="21"/>
        </w:rPr>
        <w:t>系统设备应具备稳定、成熟的先进技术和完善的功能，系统运行安全可靠，维护管理方便。</w:t>
      </w:r>
    </w:p>
    <w:p>
      <w:pPr>
        <w:ind w:firstLine="420"/>
        <w:jc w:val="both"/>
      </w:pPr>
      <w:r>
        <w:rPr>
          <w:sz w:val="21"/>
        </w:rPr>
        <w:t>4.</w:t>
      </w:r>
      <w:r>
        <w:rPr>
          <w:sz w:val="21"/>
        </w:rPr>
        <w:t>中标人应为采购人提供设备及设计、配套、运输、装卸、集成、安装、调试、试验直至最终验收合格，以及培训、售后保修、定期维护等一系列服务。</w:t>
      </w:r>
    </w:p>
    <w:p>
      <w:pPr>
        <w:ind w:firstLine="420"/>
        <w:jc w:val="both"/>
      </w:pPr>
      <w:r>
        <w:rPr>
          <w:sz w:val="21"/>
        </w:rPr>
        <w:t>5.</w:t>
      </w:r>
      <w:r>
        <w:rPr>
          <w:sz w:val="21"/>
        </w:rPr>
        <w:t>中标人需为采购人提供良好的售后技术服务。</w:t>
      </w:r>
    </w:p>
    <w:p>
      <w:pPr>
        <w:ind w:firstLine="420"/>
        <w:jc w:val="both"/>
      </w:pPr>
      <w:r>
        <w:rPr>
          <w:sz w:val="21"/>
        </w:rPr>
        <w:t>6.</w:t>
      </w:r>
      <w:r>
        <w:rPr>
          <w:sz w:val="21"/>
        </w:rPr>
        <w:t>投标人提供的核心设备、蓄电池及其他设备，其制造商应有完善的质量检测手段和质量保证体系，设备符合国家标准和行业标准。投标人在投标文件中应对质量保证体系做出说明。</w:t>
      </w:r>
    </w:p>
    <w:p>
      <w:pPr>
        <w:ind w:firstLine="420"/>
        <w:jc w:val="both"/>
      </w:pPr>
      <w:r>
        <w:rPr>
          <w:sz w:val="21"/>
        </w:rPr>
        <w:t>7.</w:t>
      </w:r>
      <w:r>
        <w:rPr>
          <w:sz w:val="21"/>
        </w:rPr>
        <w:t>投标人提供的所有产品所采用软件均应具有完备的自主知识产权。</w:t>
      </w:r>
    </w:p>
    <w:p>
      <w:pPr>
        <w:ind w:firstLine="420"/>
        <w:jc w:val="both"/>
      </w:pPr>
      <w:r>
        <w:rPr>
          <w:sz w:val="21"/>
        </w:rPr>
        <w:t>8.</w:t>
      </w:r>
      <w:r>
        <w:rPr>
          <w:sz w:val="21"/>
        </w:rPr>
        <w:t>投标人提供的所有技术文件中的技术指标应与实际相符合，测试方法均应符合相应的行业标准、国家标准和国际标准。</w:t>
      </w:r>
    </w:p>
    <w:p>
      <w:pPr>
        <w:ind w:firstLine="420"/>
        <w:jc w:val="both"/>
      </w:pPr>
      <w:r>
        <w:rPr>
          <w:sz w:val="21"/>
        </w:rPr>
        <w:t>9.</w:t>
      </w:r>
      <w:r>
        <w:rPr>
          <w:sz w:val="21"/>
        </w:rPr>
        <w:t>投标人所提供货物的设计、制造、产品性能、材料的选择和材料的检验及产品的测试等，都应按国内、国际公认的现行标准和相应的技术规范执行。这些标准和技术规范应为合同签字日为止最新公布发行的标准和技术规范。</w:t>
      </w:r>
    </w:p>
    <w:p>
      <w:pPr>
        <w:ind w:firstLine="420"/>
        <w:jc w:val="both"/>
      </w:pPr>
      <w:r>
        <w:rPr>
          <w:sz w:val="21"/>
        </w:rPr>
        <w:t>10.</w:t>
      </w:r>
      <w:r>
        <w:rPr>
          <w:sz w:val="21"/>
        </w:rPr>
        <w:t>提供货物所使用的度量衡单位除技术规格中另有规定外，应统一用公制单位。</w:t>
      </w:r>
    </w:p>
    <w:p>
      <w:pPr>
        <w:ind w:firstLine="441"/>
        <w:jc w:val="both"/>
      </w:pPr>
    </w:p>
    <w:p>
      <w:pPr>
        <w:jc w:val="both"/>
      </w:pPr>
      <w:r>
        <w:rPr>
          <w:b/>
          <w:sz w:val="21"/>
        </w:rPr>
        <w:t>三、项目需求清单</w:t>
      </w:r>
    </w:p>
    <w:tbl>
      <w:tblPr>
        <w:tblW w:w="0" w:type="auto"/>
        <w:tblInd w:type="dxa" w:w="225"/>
        <w:tblBorders>
          <w:top w:val="none" w:color="000000" w:sz="4"/>
          <w:left w:val="none" w:color="000000" w:sz="4"/>
          <w:bottom w:val="none" w:color="000000" w:sz="4"/>
          <w:right w:val="none" w:color="000000" w:sz="4"/>
          <w:insideH w:val="none"/>
          <w:insideV w:val="none"/>
        </w:tblBorders>
      </w:tblPr>
      <w:tblGrid>
        <w:gridCol w:w="851"/>
        <w:gridCol w:w="476"/>
        <w:gridCol w:w="714"/>
        <w:gridCol w:w="4021"/>
        <w:gridCol w:w="476"/>
        <w:gridCol w:w="476"/>
        <w:gridCol w:w="588"/>
        <w:gridCol w:w="714"/>
      </w:tblGrid>
      <w:tr>
        <w:tc>
          <w:tcPr>
            <w:tcW w:type="dxa" w:w="851"/>
            <w:tcBorders>
              <w:top w:val="single" w:color="000000" w:sz="4"/>
              <w:left w:val="single" w:color="000000" w:sz="4"/>
              <w:bottom w:val="single" w:color="000000" w:sz="4"/>
              <w:right w:val="single" w:color="000000" w:sz="4"/>
            </w:tcBorders>
          </w:tcPr>
          <w:p>
            <w:pPr>
              <w:jc w:val="center"/>
            </w:pPr>
            <w:r>
              <w:rPr>
                <w:b/>
                <w:sz w:val="21"/>
              </w:rPr>
              <w:t>设备/服务种类</w:t>
            </w:r>
          </w:p>
        </w:tc>
        <w:tc>
          <w:tcPr>
            <w:tcW w:type="dxa" w:w="476"/>
            <w:tcBorders>
              <w:top w:val="single" w:color="000000" w:sz="4"/>
              <w:left w:val="none" w:color="000000" w:sz="4"/>
              <w:bottom w:val="single" w:color="000000" w:sz="4"/>
              <w:right w:val="single" w:color="000000" w:sz="4"/>
            </w:tcBorders>
          </w:tcPr>
          <w:p>
            <w:pPr>
              <w:jc w:val="center"/>
            </w:pPr>
            <w:r>
              <w:rPr>
                <w:b/>
                <w:sz w:val="21"/>
              </w:rPr>
              <w:t>序号</w:t>
            </w:r>
          </w:p>
        </w:tc>
        <w:tc>
          <w:tcPr>
            <w:tcW w:type="dxa" w:w="714"/>
            <w:tcBorders>
              <w:top w:val="single" w:color="000000" w:sz="4"/>
              <w:left w:val="none" w:color="000000" w:sz="4"/>
              <w:bottom w:val="single" w:color="000000" w:sz="4"/>
              <w:right w:val="single" w:color="000000" w:sz="4"/>
            </w:tcBorders>
          </w:tcPr>
          <w:p>
            <w:pPr>
              <w:jc w:val="center"/>
            </w:pPr>
            <w:r>
              <w:rPr>
                <w:b/>
                <w:sz w:val="21"/>
              </w:rPr>
              <w:t>设备/材料/服务名称</w:t>
            </w:r>
          </w:p>
        </w:tc>
        <w:tc>
          <w:tcPr>
            <w:tcW w:type="dxa" w:w="4021"/>
            <w:tcBorders>
              <w:top w:val="single" w:color="000000" w:sz="4"/>
              <w:left w:val="none" w:color="000000" w:sz="4"/>
              <w:bottom w:val="single" w:color="000000" w:sz="4"/>
              <w:right w:val="single" w:color="000000" w:sz="4"/>
            </w:tcBorders>
          </w:tcPr>
          <w:p>
            <w:pPr>
              <w:jc w:val="center"/>
            </w:pPr>
            <w:r>
              <w:rPr>
                <w:b/>
                <w:sz w:val="21"/>
              </w:rPr>
              <w:t>说明</w:t>
            </w:r>
          </w:p>
        </w:tc>
        <w:tc>
          <w:tcPr>
            <w:tcW w:type="dxa" w:w="476"/>
            <w:tcBorders>
              <w:top w:val="single" w:color="000000" w:sz="4"/>
              <w:left w:val="none" w:color="000000" w:sz="4"/>
              <w:bottom w:val="single" w:color="000000" w:sz="4"/>
              <w:right w:val="single" w:color="000000" w:sz="4"/>
            </w:tcBorders>
          </w:tcPr>
          <w:p>
            <w:pPr>
              <w:jc w:val="center"/>
            </w:pPr>
            <w:r>
              <w:rPr>
                <w:b/>
                <w:sz w:val="21"/>
              </w:rPr>
              <w:t>数量</w:t>
            </w:r>
          </w:p>
        </w:tc>
        <w:tc>
          <w:tcPr>
            <w:tcW w:type="dxa" w:w="476"/>
            <w:tcBorders>
              <w:top w:val="single" w:color="000000" w:sz="4"/>
              <w:left w:val="none" w:color="000000" w:sz="4"/>
              <w:bottom w:val="single" w:color="000000" w:sz="4"/>
              <w:right w:val="single" w:color="000000" w:sz="4"/>
            </w:tcBorders>
          </w:tcPr>
          <w:p>
            <w:pPr>
              <w:jc w:val="center"/>
            </w:pPr>
            <w:r>
              <w:rPr>
                <w:b/>
                <w:sz w:val="21"/>
              </w:rPr>
              <w:t>单位</w:t>
            </w:r>
          </w:p>
        </w:tc>
        <w:tc>
          <w:tcPr>
            <w:tcW w:type="dxa" w:w="588"/>
            <w:tcBorders>
              <w:top w:val="single" w:color="000000" w:sz="4"/>
              <w:left w:val="none" w:color="000000" w:sz="4"/>
              <w:bottom w:val="single" w:color="000000" w:sz="4"/>
              <w:right w:val="single" w:color="000000" w:sz="4"/>
            </w:tcBorders>
          </w:tcPr>
          <w:p>
            <w:pPr>
              <w:jc w:val="center"/>
            </w:pPr>
            <w:r>
              <w:rPr>
                <w:b/>
                <w:sz w:val="21"/>
              </w:rPr>
              <w:t>是否允许分包</w:t>
            </w:r>
          </w:p>
        </w:tc>
        <w:tc>
          <w:tcPr>
            <w:tcW w:type="dxa" w:w="714"/>
            <w:tcBorders>
              <w:top w:val="single" w:color="000000" w:sz="4"/>
              <w:left w:val="none" w:color="000000" w:sz="4"/>
              <w:bottom w:val="single" w:color="000000" w:sz="4"/>
              <w:right w:val="single" w:color="000000" w:sz="4"/>
            </w:tcBorders>
          </w:tcPr>
          <w:p>
            <w:pPr>
              <w:jc w:val="center"/>
            </w:pPr>
            <w:r>
              <w:rPr>
                <w:b/>
                <w:sz w:val="21"/>
              </w:rPr>
              <w:t>分项预算金额</w:t>
            </w:r>
          </w:p>
        </w:tc>
      </w:tr>
      <w:tr>
        <w:tc>
          <w:tcPr>
            <w:tcW w:type="dxa" w:w="7014"/>
            <w:gridSpan w:val="6"/>
            <w:tcBorders>
              <w:top w:val="none" w:color="000000" w:sz="4"/>
              <w:left w:val="single" w:color="000000" w:sz="4"/>
              <w:bottom w:val="single" w:color="000000" w:sz="4"/>
              <w:right w:val="single" w:color="000000" w:sz="4"/>
            </w:tcBorders>
          </w:tcPr>
          <w:p>
            <w:pPr>
              <w:jc w:val="both"/>
            </w:pPr>
            <w:r>
              <w:rPr>
                <w:b/>
                <w:sz w:val="21"/>
              </w:rPr>
              <w:t>（一）低压配电系统施工图纸设计</w:t>
            </w:r>
          </w:p>
        </w:tc>
        <w:tc>
          <w:tcPr>
            <w:tcW w:type="dxa" w:w="588"/>
            <w:tcBorders>
              <w:top w:val="none" w:color="000000" w:sz="4"/>
              <w:left w:val="none" w:color="000000" w:sz="4"/>
              <w:bottom w:val="single" w:color="000000" w:sz="4"/>
              <w:right w:val="single" w:color="000000" w:sz="4"/>
            </w:tcBorders>
          </w:tcPr>
          <w:p>
            <w:pPr>
              <w:jc w:val="center"/>
            </w:pPr>
            <w:r>
              <w:rPr>
                <w:b/>
                <w:sz w:val="21"/>
              </w:rPr>
              <w:t>是</w:t>
            </w:r>
          </w:p>
        </w:tc>
        <w:tc>
          <w:tcPr>
            <w:tcW w:type="dxa" w:w="714"/>
            <w:tcBorders>
              <w:top w:val="none" w:color="000000" w:sz="4"/>
              <w:left w:val="none" w:color="000000" w:sz="4"/>
              <w:bottom w:val="single" w:color="000000" w:sz="4"/>
              <w:right w:val="single" w:color="000000" w:sz="4"/>
            </w:tcBorders>
          </w:tcPr>
          <w:p>
            <w:pPr>
              <w:jc w:val="center"/>
            </w:pPr>
            <w:r>
              <w:rPr>
                <w:b/>
                <w:sz w:val="21"/>
              </w:rPr>
              <w:t>4.3</w:t>
            </w:r>
          </w:p>
          <w:p>
            <w:pPr>
              <w:jc w:val="center"/>
            </w:pPr>
            <w:r>
              <w:rPr>
                <w:b/>
                <w:sz w:val="21"/>
              </w:rPr>
              <w:t>万元</w:t>
            </w:r>
          </w:p>
        </w:tc>
      </w:tr>
      <w:tr>
        <w:tc>
          <w:tcPr>
            <w:tcW w:type="dxa" w:w="851"/>
            <w:tcBorders>
              <w:top w:val="none" w:color="000000" w:sz="4"/>
              <w:left w:val="single" w:color="000000" w:sz="4"/>
              <w:bottom w:val="single" w:color="000000" w:sz="4"/>
              <w:right w:val="single" w:color="000000" w:sz="4"/>
            </w:tcBorders>
          </w:tcPr>
          <w:p>
            <w:pPr>
              <w:jc w:val="center"/>
            </w:pPr>
            <w:r>
              <w:rPr>
                <w:b/>
                <w:sz w:val="21"/>
              </w:rPr>
              <w:t>1</w:t>
            </w:r>
          </w:p>
          <w:p>
            <w:pPr>
              <w:jc w:val="center"/>
            </w:pPr>
            <w:r>
              <w:rPr>
                <w:b/>
                <w:sz w:val="21"/>
              </w:rPr>
              <w:t>低压配电系统施工图纸设计</w:t>
            </w:r>
          </w:p>
        </w:tc>
        <w:tc>
          <w:tcPr>
            <w:tcW w:type="dxa" w:w="476"/>
            <w:tcBorders>
              <w:top w:val="none" w:color="000000" w:sz="4"/>
              <w:left w:val="none" w:color="000000" w:sz="4"/>
              <w:bottom w:val="single" w:color="000000" w:sz="4"/>
              <w:right w:val="single" w:color="000000" w:sz="4"/>
            </w:tcBorders>
          </w:tcPr>
          <w:p>
            <w:pPr>
              <w:jc w:val="center"/>
            </w:pPr>
            <w:r>
              <w:rPr>
                <w:sz w:val="21"/>
              </w:rPr>
              <w:t>1.1</w:t>
            </w:r>
          </w:p>
        </w:tc>
        <w:tc>
          <w:tcPr>
            <w:tcW w:type="dxa" w:w="714"/>
            <w:tcBorders>
              <w:top w:val="none" w:color="000000" w:sz="4"/>
              <w:left w:val="none" w:color="000000" w:sz="4"/>
              <w:bottom w:val="single" w:color="000000" w:sz="4"/>
              <w:right w:val="single" w:color="000000" w:sz="4"/>
            </w:tcBorders>
          </w:tcPr>
          <w:p>
            <w:pPr>
              <w:jc w:val="center"/>
            </w:pPr>
            <w:r>
              <w:rPr>
                <w:sz w:val="21"/>
              </w:rPr>
              <w:t>低压配电系统施工图纸设计服务</w:t>
            </w:r>
          </w:p>
        </w:tc>
        <w:tc>
          <w:tcPr>
            <w:tcW w:type="dxa" w:w="4021"/>
            <w:tcBorders>
              <w:top w:val="none" w:color="000000" w:sz="4"/>
              <w:left w:val="none" w:color="000000" w:sz="4"/>
              <w:bottom w:val="single" w:color="000000" w:sz="4"/>
              <w:right w:val="single" w:color="000000" w:sz="4"/>
            </w:tcBorders>
          </w:tcPr>
          <w:p>
            <w:pPr>
              <w:jc w:val="center"/>
            </w:pPr>
            <w:r>
              <w:rPr>
                <w:sz w:val="21"/>
              </w:rPr>
              <w:t>由具备乙级或以上电力行业（送电工程专业或变电工程专业或送变电工程专业）设计资质的单位编制的低压配电系统设计施工图纸（含从越秀山电视塔高压配电房的两台10/0.4kV变压器低压侧出口至各终端配电柜的一次结线图、布置图等，当图纸要求的系统方案或设备规格与本需求书要求不一致时，按较高要求实施）。</w:t>
            </w:r>
          </w:p>
        </w:tc>
        <w:tc>
          <w:tcPr>
            <w:tcW w:type="dxa" w:w="476"/>
            <w:tcBorders>
              <w:top w:val="none" w:color="000000" w:sz="4"/>
              <w:left w:val="none" w:color="000000" w:sz="4"/>
              <w:bottom w:val="single" w:color="000000" w:sz="4"/>
              <w:right w:val="single" w:color="000000" w:sz="4"/>
            </w:tcBorders>
          </w:tcPr>
          <w:p>
            <w:pPr>
              <w:jc w:val="center"/>
            </w:pPr>
            <w:r>
              <w:rPr>
                <w:sz w:val="21"/>
              </w:rPr>
              <w:t>1</w:t>
            </w:r>
          </w:p>
        </w:tc>
        <w:tc>
          <w:tcPr>
            <w:tcW w:type="dxa" w:w="476"/>
            <w:tcBorders>
              <w:top w:val="none" w:color="000000" w:sz="4"/>
              <w:left w:val="none" w:color="000000" w:sz="4"/>
              <w:bottom w:val="single" w:color="000000" w:sz="4"/>
              <w:right w:val="single" w:color="000000" w:sz="4"/>
            </w:tcBorders>
          </w:tcPr>
          <w:p>
            <w:pPr>
              <w:jc w:val="center"/>
            </w:pPr>
            <w:r>
              <w:rPr>
                <w:sz w:val="21"/>
              </w:rPr>
              <w:t>项</w:t>
            </w:r>
          </w:p>
        </w:tc>
        <w:tc>
          <w:tcPr>
            <w:tcW w:type="dxa" w:w="588"/>
            <w:tcBorders>
              <w:top w:val="none" w:color="000000" w:sz="4"/>
              <w:left w:val="none" w:color="000000" w:sz="4"/>
              <w:bottom w:val="single" w:color="000000" w:sz="4"/>
              <w:right w:val="single" w:color="000000" w:sz="4"/>
            </w:tcBorders>
          </w:tcPr>
          <w:p>
            <w:pPr>
              <w:jc w:val="center"/>
            </w:pPr>
            <w:r>
              <w:rPr>
                <w:sz w:val="21"/>
              </w:rPr>
              <w:t>是</w:t>
            </w:r>
          </w:p>
        </w:tc>
        <w:tc>
          <w:tcPr>
            <w:tcW w:type="dxa" w:w="714"/>
            <w:tcBorders>
              <w:top w:val="none" w:color="000000" w:sz="4"/>
              <w:left w:val="none" w:color="000000" w:sz="4"/>
              <w:bottom w:val="single" w:color="000000" w:sz="4"/>
              <w:right w:val="single" w:color="000000" w:sz="4"/>
            </w:tcBorders>
          </w:tcPr>
          <w:p>
            <w:pPr>
              <w:jc w:val="center"/>
            </w:pPr>
          </w:p>
        </w:tc>
      </w:tr>
      <w:tr>
        <w:tc>
          <w:tcPr>
            <w:tcW w:type="dxa" w:w="7014"/>
            <w:gridSpan w:val="6"/>
            <w:tcBorders>
              <w:top w:val="none" w:color="000000" w:sz="4"/>
              <w:left w:val="single" w:color="000000" w:sz="4"/>
              <w:bottom w:val="single" w:color="000000" w:sz="4"/>
              <w:right w:val="single" w:color="000000" w:sz="4"/>
            </w:tcBorders>
          </w:tcPr>
          <w:p>
            <w:pPr>
              <w:jc w:val="both"/>
            </w:pPr>
            <w:r>
              <w:rPr>
                <w:b/>
                <w:sz w:val="21"/>
              </w:rPr>
              <w:t>（二）设备供货及安装、调试等服务</w:t>
            </w:r>
          </w:p>
        </w:tc>
        <w:tc>
          <w:tcPr>
            <w:tcW w:type="dxa" w:w="588"/>
            <w:tcBorders>
              <w:top w:val="none" w:color="000000" w:sz="4"/>
              <w:left w:val="none" w:color="000000" w:sz="4"/>
              <w:bottom w:val="single" w:color="000000" w:sz="4"/>
              <w:right w:val="single" w:color="000000" w:sz="4"/>
            </w:tcBorders>
          </w:tcPr>
          <w:p>
            <w:pPr>
              <w:jc w:val="center"/>
            </w:pPr>
            <w:r>
              <w:rPr>
                <w:b/>
                <w:sz w:val="21"/>
              </w:rPr>
              <w:t>否</w:t>
            </w:r>
          </w:p>
        </w:tc>
        <w:tc>
          <w:tcPr>
            <w:tcW w:type="dxa" w:w="714"/>
            <w:tcBorders>
              <w:top w:val="none" w:color="000000" w:sz="4"/>
              <w:left w:val="none" w:color="000000" w:sz="4"/>
              <w:bottom w:val="single" w:color="000000" w:sz="4"/>
              <w:right w:val="single" w:color="000000" w:sz="4"/>
            </w:tcBorders>
            <w:vAlign w:val="top"/>
          </w:tcPr>
          <w:p>
            <w:pPr>
              <w:jc w:val="center"/>
            </w:pPr>
            <w:r>
              <w:rPr>
                <w:b/>
                <w:sz w:val="21"/>
              </w:rPr>
              <w:t>144.35</w:t>
            </w:r>
            <w:r>
              <w:rPr>
                <w:b/>
                <w:sz w:val="21"/>
              </w:rPr>
              <w:t>万元</w:t>
            </w:r>
          </w:p>
        </w:tc>
      </w:tr>
      <w:tr>
        <w:tc>
          <w:tcPr>
            <w:tcW w:type="dxa" w:w="851"/>
            <w:vMerge w:val="restart"/>
            <w:tcBorders>
              <w:top w:val="none" w:color="000000" w:sz="4"/>
              <w:left w:val="single" w:color="000000" w:sz="4"/>
              <w:bottom w:val="single" w:color="000000" w:sz="4"/>
              <w:right w:val="single" w:color="000000" w:sz="4"/>
            </w:tcBorders>
          </w:tcPr>
          <w:p>
            <w:pPr>
              <w:jc w:val="center"/>
            </w:pPr>
            <w:r>
              <w:rPr>
                <w:b/>
                <w:sz w:val="21"/>
              </w:rPr>
              <w:t>1</w:t>
            </w:r>
          </w:p>
          <w:p>
            <w:pPr>
              <w:jc w:val="center"/>
            </w:pPr>
            <w:r>
              <w:rPr>
                <w:b/>
                <w:sz w:val="21"/>
              </w:rPr>
              <w:t>UPS</w:t>
            </w:r>
            <w:r>
              <w:rPr>
                <w:b/>
                <w:sz w:val="21"/>
              </w:rPr>
              <w:t>不间断电源</w:t>
            </w:r>
          </w:p>
        </w:tc>
        <w:tc>
          <w:tcPr>
            <w:tcW w:type="dxa" w:w="476"/>
            <w:tcBorders>
              <w:top w:val="none" w:color="000000" w:sz="4"/>
              <w:left w:val="none" w:color="000000" w:sz="4"/>
              <w:bottom w:val="single" w:color="000000" w:sz="4"/>
              <w:right w:val="single" w:color="000000" w:sz="4"/>
            </w:tcBorders>
          </w:tcPr>
          <w:p>
            <w:pPr>
              <w:jc w:val="center"/>
            </w:pPr>
            <w:r>
              <w:rPr>
                <w:sz w:val="21"/>
              </w:rPr>
              <w:t>1.1</w:t>
            </w:r>
          </w:p>
        </w:tc>
        <w:tc>
          <w:tcPr>
            <w:tcW w:type="dxa" w:w="714"/>
            <w:tcBorders>
              <w:top w:val="none" w:color="000000" w:sz="4"/>
              <w:left w:val="none" w:color="000000" w:sz="4"/>
              <w:bottom w:val="single" w:color="000000" w:sz="4"/>
              <w:right w:val="single" w:color="000000" w:sz="4"/>
            </w:tcBorders>
          </w:tcPr>
          <w:p>
            <w:pPr>
              <w:jc w:val="center"/>
            </w:pPr>
            <w:r>
              <w:rPr>
                <w:sz w:val="21"/>
              </w:rPr>
              <w:t>UPS</w:t>
            </w:r>
            <w:r>
              <w:rPr>
                <w:sz w:val="21"/>
              </w:rPr>
              <w:t>不间断电源主机（核心产品）</w:t>
            </w:r>
          </w:p>
        </w:tc>
        <w:tc>
          <w:tcPr>
            <w:tcW w:type="dxa" w:w="4021"/>
            <w:tcBorders>
              <w:top w:val="none" w:color="000000" w:sz="4"/>
              <w:left w:val="none" w:color="000000" w:sz="4"/>
              <w:bottom w:val="single" w:color="000000" w:sz="4"/>
              <w:right w:val="single" w:color="000000" w:sz="4"/>
            </w:tcBorders>
          </w:tcPr>
          <w:p>
            <w:pPr>
              <w:jc w:val="left"/>
            </w:pPr>
            <w:r>
              <w:rPr>
                <w:sz w:val="21"/>
              </w:rPr>
              <w:t>见“五、（三）产品技术要求”。</w:t>
            </w:r>
          </w:p>
        </w:tc>
        <w:tc>
          <w:tcPr>
            <w:tcW w:type="dxa" w:w="476"/>
            <w:tcBorders>
              <w:top w:val="none" w:color="000000" w:sz="4"/>
              <w:left w:val="none" w:color="000000" w:sz="4"/>
              <w:bottom w:val="single" w:color="000000" w:sz="4"/>
              <w:right w:val="single" w:color="000000" w:sz="4"/>
            </w:tcBorders>
          </w:tcPr>
          <w:p>
            <w:pPr>
              <w:jc w:val="center"/>
            </w:pPr>
            <w:r>
              <w:rPr>
                <w:sz w:val="21"/>
              </w:rPr>
              <w:t>1</w:t>
            </w:r>
          </w:p>
        </w:tc>
        <w:tc>
          <w:tcPr>
            <w:tcW w:type="dxa" w:w="476"/>
            <w:tcBorders>
              <w:top w:val="none" w:color="000000" w:sz="4"/>
              <w:left w:val="none" w:color="000000" w:sz="4"/>
              <w:bottom w:val="single" w:color="000000" w:sz="4"/>
              <w:right w:val="single" w:color="000000" w:sz="4"/>
            </w:tcBorders>
          </w:tcPr>
          <w:p>
            <w:pPr>
              <w:jc w:val="center"/>
            </w:pPr>
            <w:r>
              <w:rPr>
                <w:sz w:val="21"/>
              </w:rPr>
              <w:t>台</w:t>
            </w:r>
          </w:p>
        </w:tc>
        <w:tc>
          <w:tcPr>
            <w:tcW w:type="dxa" w:w="588"/>
            <w:tcBorders>
              <w:top w:val="none" w:color="000000" w:sz="4"/>
              <w:left w:val="none" w:color="000000" w:sz="4"/>
              <w:bottom w:val="single" w:color="000000" w:sz="4"/>
              <w:right w:val="single" w:color="000000" w:sz="4"/>
            </w:tcBorders>
          </w:tcPr>
          <w:p>
            <w:pPr>
              <w:jc w:val="center"/>
            </w:pPr>
            <w:r>
              <w:rPr>
                <w:sz w:val="21"/>
              </w:rPr>
              <w:t>否</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851"/>
            <w:vMerge/>
            <w:tcBorders>
              <w:top w:val="none" w:color="000000" w:sz="4"/>
              <w:left w:val="singl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Pr>
          <w:p>
            <w:pPr>
              <w:jc w:val="center"/>
            </w:pPr>
            <w:r>
              <w:rPr>
                <w:sz w:val="21"/>
              </w:rPr>
              <w:t>1.2</w:t>
            </w:r>
          </w:p>
        </w:tc>
        <w:tc>
          <w:tcPr>
            <w:tcW w:type="dxa" w:w="714"/>
            <w:tcBorders>
              <w:top w:val="none" w:color="000000" w:sz="4"/>
              <w:left w:val="none" w:color="000000" w:sz="4"/>
              <w:bottom w:val="single" w:color="000000" w:sz="4"/>
              <w:right w:val="single" w:color="000000" w:sz="4"/>
            </w:tcBorders>
          </w:tcPr>
          <w:p>
            <w:pPr>
              <w:jc w:val="center"/>
            </w:pPr>
            <w:r>
              <w:rPr>
                <w:sz w:val="21"/>
              </w:rPr>
              <w:t>辅材</w:t>
            </w:r>
          </w:p>
        </w:tc>
        <w:tc>
          <w:tcPr>
            <w:tcW w:type="dxa" w:w="4021"/>
            <w:tcBorders>
              <w:top w:val="none" w:color="000000" w:sz="4"/>
              <w:left w:val="none" w:color="000000" w:sz="4"/>
              <w:bottom w:val="single" w:color="000000" w:sz="4"/>
              <w:right w:val="single" w:color="000000" w:sz="4"/>
            </w:tcBorders>
          </w:tcPr>
          <w:p>
            <w:pPr>
              <w:jc w:val="left"/>
            </w:pPr>
            <w:r>
              <w:rPr>
                <w:sz w:val="21"/>
              </w:rPr>
              <w:t>包括但不限于UPS进出线电缆、负载电缆、接线铜线耳、热缩管、互感器、通讯线、消防器材、照明器具、标识牌等。</w:t>
            </w:r>
          </w:p>
          <w:p>
            <w:pPr>
              <w:jc w:val="left"/>
            </w:pPr>
            <w:r>
              <w:rPr>
                <w:sz w:val="21"/>
              </w:rPr>
              <w:t>技术要求详见</w:t>
            </w:r>
            <w:r>
              <w:rPr>
                <w:sz w:val="21"/>
              </w:rPr>
              <w:t>“五、（三）产品技术要求”。</w:t>
            </w:r>
          </w:p>
        </w:tc>
        <w:tc>
          <w:tcPr>
            <w:tcW w:type="dxa" w:w="476"/>
            <w:tcBorders>
              <w:top w:val="none" w:color="000000" w:sz="4"/>
              <w:left w:val="none" w:color="000000" w:sz="4"/>
              <w:bottom w:val="single" w:color="000000" w:sz="4"/>
              <w:right w:val="single" w:color="000000" w:sz="4"/>
            </w:tcBorders>
          </w:tcPr>
          <w:p>
            <w:pPr>
              <w:jc w:val="center"/>
            </w:pPr>
            <w:r>
              <w:rPr>
                <w:sz w:val="21"/>
              </w:rPr>
              <w:t>1</w:t>
            </w:r>
          </w:p>
        </w:tc>
        <w:tc>
          <w:tcPr>
            <w:tcW w:type="dxa" w:w="476"/>
            <w:tcBorders>
              <w:top w:val="none" w:color="000000" w:sz="4"/>
              <w:left w:val="none" w:color="000000" w:sz="4"/>
              <w:bottom w:val="single" w:color="000000" w:sz="4"/>
              <w:right w:val="single" w:color="000000" w:sz="4"/>
            </w:tcBorders>
          </w:tcPr>
          <w:p>
            <w:pPr>
              <w:jc w:val="center"/>
            </w:pPr>
            <w:r>
              <w:rPr>
                <w:sz w:val="21"/>
              </w:rPr>
              <w:t>批</w:t>
            </w:r>
          </w:p>
        </w:tc>
        <w:tc>
          <w:tcPr>
            <w:tcW w:type="dxa" w:w="588"/>
            <w:tcBorders>
              <w:top w:val="none" w:color="000000" w:sz="4"/>
              <w:left w:val="none" w:color="000000" w:sz="4"/>
              <w:bottom w:val="single" w:color="000000" w:sz="4"/>
              <w:right w:val="single" w:color="000000" w:sz="4"/>
            </w:tcBorders>
          </w:tcPr>
          <w:p>
            <w:pPr>
              <w:jc w:val="center"/>
            </w:pPr>
            <w:r>
              <w:rPr>
                <w:sz w:val="21"/>
              </w:rPr>
              <w:t>否</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851"/>
            <w:vMerge/>
            <w:tcBorders>
              <w:top w:val="none" w:color="000000" w:sz="4"/>
              <w:left w:val="single" w:color="000000" w:sz="4"/>
              <w:bottom w:val="single" w:color="000000" w:sz="4"/>
              <w:right w:val="single" w:color="000000" w:sz="4"/>
            </w:tcBorders>
          </w:tcPr>
          <w:p/>
        </w:tc>
        <w:tc>
          <w:tcPr>
            <w:tcW w:type="dxa" w:w="476"/>
            <w:tcBorders>
              <w:top w:val="none" w:color="000000" w:sz="4"/>
              <w:left w:val="none" w:color="000000" w:sz="4"/>
              <w:bottom w:val="double" w:color="000000" w:sz="8"/>
              <w:right w:val="single" w:color="000000" w:sz="4"/>
            </w:tcBorders>
          </w:tcPr>
          <w:p>
            <w:pPr>
              <w:jc w:val="center"/>
            </w:pPr>
            <w:r>
              <w:rPr>
                <w:sz w:val="21"/>
              </w:rPr>
              <w:t>1.3</w:t>
            </w:r>
          </w:p>
        </w:tc>
        <w:tc>
          <w:tcPr>
            <w:tcW w:type="dxa" w:w="714"/>
            <w:tcBorders>
              <w:top w:val="none" w:color="000000" w:sz="4"/>
              <w:left w:val="none" w:color="000000" w:sz="4"/>
              <w:bottom w:val="double" w:color="000000" w:sz="8"/>
              <w:right w:val="single" w:color="000000" w:sz="4"/>
            </w:tcBorders>
          </w:tcPr>
          <w:p>
            <w:pPr>
              <w:jc w:val="center"/>
            </w:pPr>
            <w:r>
              <w:rPr>
                <w:sz w:val="21"/>
              </w:rPr>
              <w:t>配套安装施工调试等服务</w:t>
            </w:r>
          </w:p>
        </w:tc>
        <w:tc>
          <w:tcPr>
            <w:tcW w:type="dxa" w:w="4021"/>
            <w:tcBorders>
              <w:top w:val="none" w:color="000000" w:sz="4"/>
              <w:left w:val="none" w:color="000000" w:sz="4"/>
              <w:bottom w:val="double" w:color="000000" w:sz="8"/>
              <w:right w:val="single" w:color="000000" w:sz="4"/>
            </w:tcBorders>
          </w:tcPr>
          <w:p>
            <w:pPr>
              <w:jc w:val="left"/>
            </w:pPr>
            <w:r>
              <w:rPr>
                <w:sz w:val="21"/>
              </w:rPr>
              <w:t>包括但不限于地面承重加固、设备保护接地、设备二次搬运、就位、安装、电缆敷设与连接、机务施工、设备试验、系统集成、改造、调试、负载接入、投运、验收，旧设备拆除、搬运、装卸、运输以及与产品安装、投运、使用相关的系统改造等。</w:t>
            </w:r>
          </w:p>
          <w:p>
            <w:pPr>
              <w:jc w:val="left"/>
            </w:pPr>
            <w:r>
              <w:rPr>
                <w:sz w:val="21"/>
              </w:rPr>
              <w:t>技术要求详见</w:t>
            </w:r>
            <w:r>
              <w:rPr>
                <w:sz w:val="21"/>
              </w:rPr>
              <w:t>“五、（三）产品技术要求”。</w:t>
            </w:r>
          </w:p>
        </w:tc>
        <w:tc>
          <w:tcPr>
            <w:tcW w:type="dxa" w:w="476"/>
            <w:tcBorders>
              <w:top w:val="none" w:color="000000" w:sz="4"/>
              <w:left w:val="none" w:color="000000" w:sz="4"/>
              <w:bottom w:val="double" w:color="000000" w:sz="8"/>
              <w:right w:val="single" w:color="000000" w:sz="4"/>
            </w:tcBorders>
          </w:tcPr>
          <w:p>
            <w:pPr>
              <w:jc w:val="center"/>
            </w:pPr>
            <w:r>
              <w:rPr>
                <w:sz w:val="21"/>
              </w:rPr>
              <w:t>1</w:t>
            </w:r>
          </w:p>
        </w:tc>
        <w:tc>
          <w:tcPr>
            <w:tcW w:type="dxa" w:w="476"/>
            <w:tcBorders>
              <w:top w:val="none" w:color="000000" w:sz="4"/>
              <w:left w:val="none" w:color="000000" w:sz="4"/>
              <w:bottom w:val="double" w:color="000000" w:sz="8"/>
              <w:right w:val="single" w:color="000000" w:sz="4"/>
            </w:tcBorders>
          </w:tcPr>
          <w:p>
            <w:pPr>
              <w:jc w:val="center"/>
            </w:pPr>
            <w:r>
              <w:rPr>
                <w:sz w:val="21"/>
              </w:rPr>
              <w:t>项</w:t>
            </w:r>
          </w:p>
        </w:tc>
        <w:tc>
          <w:tcPr>
            <w:tcW w:type="dxa" w:w="588"/>
            <w:tcBorders>
              <w:top w:val="none" w:color="000000" w:sz="4"/>
              <w:left w:val="none" w:color="000000" w:sz="4"/>
              <w:bottom w:val="double" w:color="000000" w:sz="8"/>
              <w:right w:val="single" w:color="000000" w:sz="4"/>
            </w:tcBorders>
          </w:tcPr>
          <w:p>
            <w:pPr>
              <w:jc w:val="center"/>
            </w:pPr>
            <w:r>
              <w:rPr>
                <w:sz w:val="21"/>
              </w:rPr>
              <w:t>否</w:t>
            </w:r>
          </w:p>
        </w:tc>
        <w:tc>
          <w:tcPr>
            <w:tcW w:type="dxa" w:w="714"/>
            <w:tcBorders>
              <w:top w:val="none" w:color="000000" w:sz="4"/>
              <w:left w:val="none" w:color="000000" w:sz="4"/>
              <w:bottom w:val="double" w:color="000000" w:sz="8"/>
              <w:right w:val="single" w:color="000000" w:sz="4"/>
            </w:tcBorders>
            <w:vAlign w:val="top"/>
          </w:tcPr>
          <w:p>
            <w:pPr>
              <w:jc w:val="center"/>
            </w:pPr>
          </w:p>
        </w:tc>
      </w:tr>
      <w:tr>
        <w:tc>
          <w:tcPr>
            <w:tcW w:type="dxa" w:w="851"/>
            <w:vMerge w:val="restart"/>
            <w:tcBorders>
              <w:top w:val="none" w:color="000000" w:sz="4"/>
              <w:left w:val="single" w:color="000000" w:sz="4"/>
              <w:bottom w:val="double" w:color="000000" w:sz="8"/>
              <w:right w:val="single" w:color="000000" w:sz="4"/>
            </w:tcBorders>
          </w:tcPr>
          <w:p>
            <w:pPr>
              <w:jc w:val="center"/>
            </w:pPr>
            <w:r>
              <w:rPr>
                <w:b/>
                <w:sz w:val="21"/>
              </w:rPr>
              <w:t>2</w:t>
            </w:r>
          </w:p>
          <w:p>
            <w:pPr>
              <w:jc w:val="center"/>
            </w:pPr>
            <w:r>
              <w:rPr>
                <w:b/>
                <w:sz w:val="21"/>
              </w:rPr>
              <w:t>高倍率阀控式密封铅酸免维护蓄电池</w:t>
            </w:r>
          </w:p>
        </w:tc>
        <w:tc>
          <w:tcPr>
            <w:tcW w:type="dxa" w:w="476"/>
            <w:tcBorders>
              <w:top w:val="none" w:color="000000" w:sz="4"/>
              <w:left w:val="none" w:color="000000" w:sz="4"/>
              <w:bottom w:val="single" w:color="000000" w:sz="4"/>
              <w:right w:val="single" w:color="000000" w:sz="4"/>
            </w:tcBorders>
          </w:tcPr>
          <w:p>
            <w:pPr>
              <w:jc w:val="center"/>
            </w:pPr>
            <w:r>
              <w:rPr>
                <w:sz w:val="21"/>
              </w:rPr>
              <w:t>2.1</w:t>
            </w:r>
          </w:p>
        </w:tc>
        <w:tc>
          <w:tcPr>
            <w:tcW w:type="dxa" w:w="714"/>
            <w:tcBorders>
              <w:top w:val="none" w:color="000000" w:sz="4"/>
              <w:left w:val="none" w:color="000000" w:sz="4"/>
              <w:bottom w:val="single" w:color="000000" w:sz="4"/>
              <w:right w:val="single" w:color="000000" w:sz="4"/>
            </w:tcBorders>
          </w:tcPr>
          <w:p>
            <w:pPr>
              <w:jc w:val="center"/>
            </w:pPr>
            <w:r>
              <w:rPr>
                <w:sz w:val="21"/>
              </w:rPr>
              <w:t>高倍率阀控式密封铅酸免维护蓄电池</w:t>
            </w:r>
          </w:p>
        </w:tc>
        <w:tc>
          <w:tcPr>
            <w:tcW w:type="dxa" w:w="4021"/>
            <w:tcBorders>
              <w:top w:val="none" w:color="000000" w:sz="4"/>
              <w:left w:val="none" w:color="000000" w:sz="4"/>
              <w:bottom w:val="single" w:color="000000" w:sz="4"/>
              <w:right w:val="single" w:color="000000" w:sz="4"/>
            </w:tcBorders>
          </w:tcPr>
          <w:p>
            <w:pPr>
              <w:jc w:val="left"/>
            </w:pPr>
            <w:r>
              <w:rPr>
                <w:sz w:val="21"/>
              </w:rPr>
              <w:t>12V</w:t>
            </w:r>
            <w:r>
              <w:rPr>
                <w:sz w:val="21"/>
              </w:rPr>
              <w:t>，200AH。</w:t>
            </w:r>
          </w:p>
          <w:p>
            <w:pPr>
              <w:jc w:val="left"/>
            </w:pPr>
            <w:r>
              <w:rPr>
                <w:sz w:val="21"/>
              </w:rPr>
              <w:t>技术要求详见“五、（三）产品技术要求”。</w:t>
            </w:r>
          </w:p>
        </w:tc>
        <w:tc>
          <w:tcPr>
            <w:tcW w:type="dxa" w:w="476"/>
            <w:tcBorders>
              <w:top w:val="none" w:color="000000" w:sz="4"/>
              <w:left w:val="none" w:color="000000" w:sz="4"/>
              <w:bottom w:val="single" w:color="000000" w:sz="4"/>
              <w:right w:val="single" w:color="000000" w:sz="4"/>
            </w:tcBorders>
          </w:tcPr>
          <w:p>
            <w:pPr>
              <w:jc w:val="center"/>
            </w:pPr>
            <w:r>
              <w:rPr>
                <w:sz w:val="21"/>
              </w:rPr>
              <w:t>132</w:t>
            </w:r>
          </w:p>
        </w:tc>
        <w:tc>
          <w:tcPr>
            <w:tcW w:type="dxa" w:w="476"/>
            <w:tcBorders>
              <w:top w:val="none" w:color="000000" w:sz="4"/>
              <w:left w:val="none" w:color="000000" w:sz="4"/>
              <w:bottom w:val="single" w:color="000000" w:sz="4"/>
              <w:right w:val="single" w:color="000000" w:sz="4"/>
            </w:tcBorders>
          </w:tcPr>
          <w:p>
            <w:pPr>
              <w:jc w:val="center"/>
            </w:pPr>
            <w:r>
              <w:rPr>
                <w:sz w:val="21"/>
              </w:rPr>
              <w:t>只</w:t>
            </w:r>
          </w:p>
        </w:tc>
        <w:tc>
          <w:tcPr>
            <w:tcW w:type="dxa" w:w="588"/>
            <w:tcBorders>
              <w:top w:val="none" w:color="000000" w:sz="4"/>
              <w:left w:val="none" w:color="000000" w:sz="4"/>
              <w:bottom w:val="single" w:color="000000" w:sz="4"/>
              <w:right w:val="single" w:color="000000" w:sz="4"/>
            </w:tcBorders>
          </w:tcPr>
          <w:p>
            <w:pPr>
              <w:jc w:val="center"/>
            </w:pPr>
            <w:r>
              <w:rPr>
                <w:sz w:val="21"/>
              </w:rPr>
              <w:t>否</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851"/>
            <w:vMerge/>
            <w:tcBorders>
              <w:top w:val="none" w:color="000000" w:sz="4"/>
              <w:left w:val="single" w:color="000000" w:sz="4"/>
              <w:bottom w:val="double" w:color="000000" w:sz="8"/>
              <w:right w:val="single" w:color="000000" w:sz="4"/>
            </w:tcBorders>
          </w:tcPr>
          <w:p/>
        </w:tc>
        <w:tc>
          <w:tcPr>
            <w:tcW w:type="dxa" w:w="476"/>
            <w:tcBorders>
              <w:top w:val="none" w:color="000000" w:sz="4"/>
              <w:left w:val="none" w:color="000000" w:sz="4"/>
              <w:bottom w:val="single" w:color="000000" w:sz="4"/>
              <w:right w:val="single" w:color="000000" w:sz="4"/>
            </w:tcBorders>
          </w:tcPr>
          <w:p>
            <w:pPr>
              <w:jc w:val="center"/>
            </w:pPr>
            <w:r>
              <w:rPr>
                <w:sz w:val="21"/>
              </w:rPr>
              <w:t>2.2</w:t>
            </w:r>
          </w:p>
        </w:tc>
        <w:tc>
          <w:tcPr>
            <w:tcW w:type="dxa" w:w="714"/>
            <w:tcBorders>
              <w:top w:val="none" w:color="000000" w:sz="4"/>
              <w:left w:val="none" w:color="000000" w:sz="4"/>
              <w:bottom w:val="single" w:color="000000" w:sz="4"/>
              <w:right w:val="single" w:color="000000" w:sz="4"/>
            </w:tcBorders>
          </w:tcPr>
          <w:p>
            <w:pPr>
              <w:jc w:val="center"/>
            </w:pPr>
            <w:r>
              <w:rPr>
                <w:sz w:val="21"/>
              </w:rPr>
              <w:t>蓄电池在线监测系统</w:t>
            </w:r>
          </w:p>
        </w:tc>
        <w:tc>
          <w:tcPr>
            <w:tcW w:type="dxa" w:w="4021"/>
            <w:tcBorders>
              <w:top w:val="none" w:color="000000" w:sz="4"/>
              <w:left w:val="none" w:color="000000" w:sz="4"/>
              <w:bottom w:val="single" w:color="000000" w:sz="4"/>
              <w:right w:val="single" w:color="000000" w:sz="4"/>
            </w:tcBorders>
          </w:tcPr>
          <w:p>
            <w:pPr>
              <w:jc w:val="left"/>
            </w:pPr>
            <w:r>
              <w:rPr>
                <w:sz w:val="21"/>
              </w:rPr>
              <w:t>见“五、（三）产品技术要求”。</w:t>
            </w:r>
          </w:p>
        </w:tc>
        <w:tc>
          <w:tcPr>
            <w:tcW w:type="dxa" w:w="476"/>
            <w:tcBorders>
              <w:top w:val="none" w:color="000000" w:sz="4"/>
              <w:left w:val="none" w:color="000000" w:sz="4"/>
              <w:bottom w:val="single" w:color="000000" w:sz="4"/>
              <w:right w:val="single" w:color="000000" w:sz="4"/>
            </w:tcBorders>
          </w:tcPr>
          <w:p>
            <w:pPr>
              <w:jc w:val="center"/>
            </w:pPr>
            <w:r>
              <w:rPr>
                <w:sz w:val="21"/>
              </w:rPr>
              <w:t>1</w:t>
            </w:r>
          </w:p>
        </w:tc>
        <w:tc>
          <w:tcPr>
            <w:tcW w:type="dxa" w:w="476"/>
            <w:tcBorders>
              <w:top w:val="none" w:color="000000" w:sz="4"/>
              <w:left w:val="none" w:color="000000" w:sz="4"/>
              <w:bottom w:val="single" w:color="000000" w:sz="4"/>
              <w:right w:val="single" w:color="000000" w:sz="4"/>
            </w:tcBorders>
          </w:tcPr>
          <w:p>
            <w:pPr>
              <w:jc w:val="center"/>
            </w:pPr>
            <w:r>
              <w:rPr>
                <w:sz w:val="21"/>
              </w:rPr>
              <w:t>套</w:t>
            </w:r>
          </w:p>
        </w:tc>
        <w:tc>
          <w:tcPr>
            <w:tcW w:type="dxa" w:w="588"/>
            <w:tcBorders>
              <w:top w:val="none" w:color="000000" w:sz="4"/>
              <w:left w:val="none" w:color="000000" w:sz="4"/>
              <w:bottom w:val="single" w:color="000000" w:sz="4"/>
              <w:right w:val="single" w:color="000000" w:sz="4"/>
            </w:tcBorders>
          </w:tcPr>
          <w:p>
            <w:pPr>
              <w:jc w:val="center"/>
            </w:pPr>
            <w:r>
              <w:rPr>
                <w:sz w:val="21"/>
              </w:rPr>
              <w:t>否</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851"/>
            <w:vMerge/>
            <w:tcBorders>
              <w:top w:val="none" w:color="000000" w:sz="4"/>
              <w:left w:val="single" w:color="000000" w:sz="4"/>
              <w:bottom w:val="double" w:color="000000" w:sz="8"/>
              <w:right w:val="single" w:color="000000" w:sz="4"/>
            </w:tcBorders>
          </w:tcPr>
          <w:p/>
        </w:tc>
        <w:tc>
          <w:tcPr>
            <w:tcW w:type="dxa" w:w="476"/>
            <w:tcBorders>
              <w:top w:val="none" w:color="000000" w:sz="4"/>
              <w:left w:val="none" w:color="000000" w:sz="4"/>
              <w:bottom w:val="single" w:color="000000" w:sz="4"/>
              <w:right w:val="single" w:color="000000" w:sz="4"/>
            </w:tcBorders>
          </w:tcPr>
          <w:p>
            <w:pPr>
              <w:jc w:val="center"/>
            </w:pPr>
            <w:r>
              <w:rPr>
                <w:sz w:val="21"/>
              </w:rPr>
              <w:t>2.3</w:t>
            </w:r>
          </w:p>
        </w:tc>
        <w:tc>
          <w:tcPr>
            <w:tcW w:type="dxa" w:w="714"/>
            <w:tcBorders>
              <w:top w:val="none" w:color="000000" w:sz="4"/>
              <w:left w:val="none" w:color="000000" w:sz="4"/>
              <w:bottom w:val="single" w:color="000000" w:sz="4"/>
              <w:right w:val="single" w:color="000000" w:sz="4"/>
            </w:tcBorders>
          </w:tcPr>
          <w:p>
            <w:pPr>
              <w:jc w:val="center"/>
            </w:pPr>
            <w:r>
              <w:rPr>
                <w:sz w:val="21"/>
              </w:rPr>
              <w:t>辅材</w:t>
            </w:r>
          </w:p>
        </w:tc>
        <w:tc>
          <w:tcPr>
            <w:tcW w:type="dxa" w:w="4021"/>
            <w:tcBorders>
              <w:top w:val="none" w:color="000000" w:sz="4"/>
              <w:left w:val="none" w:color="000000" w:sz="4"/>
              <w:bottom w:val="single" w:color="000000" w:sz="4"/>
              <w:right w:val="single" w:color="000000" w:sz="4"/>
            </w:tcBorders>
          </w:tcPr>
          <w:p>
            <w:pPr>
              <w:jc w:val="left"/>
            </w:pPr>
            <w:r>
              <w:rPr>
                <w:sz w:val="21"/>
              </w:rPr>
              <w:t>包括但不限于蓄电池组直流开关、电池开关柜、电池连接铜排和电缆、电池架、接线铜线耳、热缩管、互感器、通讯线等。</w:t>
            </w:r>
          </w:p>
          <w:p>
            <w:pPr>
              <w:jc w:val="left"/>
            </w:pPr>
            <w:r>
              <w:rPr>
                <w:sz w:val="21"/>
              </w:rPr>
              <w:t>技术要求详见</w:t>
            </w:r>
            <w:r>
              <w:rPr>
                <w:sz w:val="21"/>
              </w:rPr>
              <w:t>“五、（三）产品技术要求”。</w:t>
            </w:r>
          </w:p>
        </w:tc>
        <w:tc>
          <w:tcPr>
            <w:tcW w:type="dxa" w:w="476"/>
            <w:tcBorders>
              <w:top w:val="none" w:color="000000" w:sz="4"/>
              <w:left w:val="none" w:color="000000" w:sz="4"/>
              <w:bottom w:val="single" w:color="000000" w:sz="4"/>
              <w:right w:val="single" w:color="000000" w:sz="4"/>
            </w:tcBorders>
          </w:tcPr>
          <w:p>
            <w:pPr>
              <w:jc w:val="center"/>
            </w:pPr>
            <w:r>
              <w:rPr>
                <w:sz w:val="21"/>
              </w:rPr>
              <w:t>1</w:t>
            </w:r>
          </w:p>
        </w:tc>
        <w:tc>
          <w:tcPr>
            <w:tcW w:type="dxa" w:w="476"/>
            <w:tcBorders>
              <w:top w:val="none" w:color="000000" w:sz="4"/>
              <w:left w:val="none" w:color="000000" w:sz="4"/>
              <w:bottom w:val="single" w:color="000000" w:sz="4"/>
              <w:right w:val="single" w:color="000000" w:sz="4"/>
            </w:tcBorders>
          </w:tcPr>
          <w:p>
            <w:pPr>
              <w:jc w:val="center"/>
            </w:pPr>
            <w:r>
              <w:rPr>
                <w:sz w:val="21"/>
              </w:rPr>
              <w:t>批</w:t>
            </w:r>
          </w:p>
        </w:tc>
        <w:tc>
          <w:tcPr>
            <w:tcW w:type="dxa" w:w="588"/>
            <w:tcBorders>
              <w:top w:val="none" w:color="000000" w:sz="4"/>
              <w:left w:val="none" w:color="000000" w:sz="4"/>
              <w:bottom w:val="single" w:color="000000" w:sz="4"/>
              <w:right w:val="single" w:color="000000" w:sz="4"/>
            </w:tcBorders>
          </w:tcPr>
          <w:p>
            <w:pPr>
              <w:jc w:val="center"/>
            </w:pPr>
            <w:r>
              <w:rPr>
                <w:sz w:val="21"/>
              </w:rPr>
              <w:t>否</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851"/>
            <w:vMerge/>
            <w:tcBorders>
              <w:top w:val="none" w:color="000000" w:sz="4"/>
              <w:left w:val="single" w:color="000000" w:sz="4"/>
              <w:bottom w:val="double" w:color="000000" w:sz="8"/>
              <w:right w:val="single" w:color="000000" w:sz="4"/>
            </w:tcBorders>
          </w:tcPr>
          <w:p/>
        </w:tc>
        <w:tc>
          <w:tcPr>
            <w:tcW w:type="dxa" w:w="476"/>
            <w:tcBorders>
              <w:top w:val="none" w:color="000000" w:sz="4"/>
              <w:left w:val="none" w:color="000000" w:sz="4"/>
              <w:bottom w:val="double" w:color="000000" w:sz="8"/>
              <w:right w:val="single" w:color="000000" w:sz="4"/>
            </w:tcBorders>
          </w:tcPr>
          <w:p>
            <w:pPr>
              <w:jc w:val="center"/>
            </w:pPr>
            <w:r>
              <w:rPr>
                <w:sz w:val="21"/>
              </w:rPr>
              <w:t>2.4</w:t>
            </w:r>
          </w:p>
        </w:tc>
        <w:tc>
          <w:tcPr>
            <w:tcW w:type="dxa" w:w="714"/>
            <w:tcBorders>
              <w:top w:val="none" w:color="000000" w:sz="4"/>
              <w:left w:val="none" w:color="000000" w:sz="4"/>
              <w:bottom w:val="double" w:color="000000" w:sz="8"/>
              <w:right w:val="single" w:color="000000" w:sz="4"/>
            </w:tcBorders>
          </w:tcPr>
          <w:p>
            <w:pPr>
              <w:jc w:val="center"/>
            </w:pPr>
            <w:r>
              <w:rPr>
                <w:sz w:val="21"/>
              </w:rPr>
              <w:t>配套安装施工调试等服务</w:t>
            </w:r>
          </w:p>
        </w:tc>
        <w:tc>
          <w:tcPr>
            <w:tcW w:type="dxa" w:w="4021"/>
            <w:tcBorders>
              <w:top w:val="none" w:color="000000" w:sz="4"/>
              <w:left w:val="none" w:color="000000" w:sz="4"/>
              <w:bottom w:val="double" w:color="000000" w:sz="8"/>
              <w:right w:val="single" w:color="000000" w:sz="4"/>
            </w:tcBorders>
          </w:tcPr>
          <w:p>
            <w:pPr>
              <w:jc w:val="left"/>
            </w:pPr>
            <w:r>
              <w:rPr>
                <w:sz w:val="21"/>
              </w:rPr>
              <w:t>包括但不限于地面承重加固、设备保护接地、设备二次搬运、就位、安装、电缆敷设与连接、机务施工、设备试验、集成、调试、验收以及与产品安装、投运、使用相关的系统改造等。</w:t>
            </w:r>
          </w:p>
          <w:p>
            <w:pPr>
              <w:jc w:val="left"/>
            </w:pPr>
            <w:r>
              <w:rPr>
                <w:sz w:val="21"/>
              </w:rPr>
              <w:t>技术要求详见</w:t>
            </w:r>
            <w:r>
              <w:rPr>
                <w:sz w:val="21"/>
              </w:rPr>
              <w:t>“五、（三）产品技术要求”。</w:t>
            </w:r>
          </w:p>
        </w:tc>
        <w:tc>
          <w:tcPr>
            <w:tcW w:type="dxa" w:w="476"/>
            <w:tcBorders>
              <w:top w:val="none" w:color="000000" w:sz="4"/>
              <w:left w:val="none" w:color="000000" w:sz="4"/>
              <w:bottom w:val="double" w:color="000000" w:sz="8"/>
              <w:right w:val="single" w:color="000000" w:sz="4"/>
            </w:tcBorders>
          </w:tcPr>
          <w:p>
            <w:pPr>
              <w:jc w:val="center"/>
            </w:pPr>
            <w:r>
              <w:rPr>
                <w:sz w:val="21"/>
              </w:rPr>
              <w:t>1</w:t>
            </w:r>
          </w:p>
        </w:tc>
        <w:tc>
          <w:tcPr>
            <w:tcW w:type="dxa" w:w="476"/>
            <w:tcBorders>
              <w:top w:val="none" w:color="000000" w:sz="4"/>
              <w:left w:val="none" w:color="000000" w:sz="4"/>
              <w:bottom w:val="double" w:color="000000" w:sz="8"/>
              <w:right w:val="single" w:color="000000" w:sz="4"/>
            </w:tcBorders>
          </w:tcPr>
          <w:p>
            <w:pPr>
              <w:jc w:val="center"/>
            </w:pPr>
            <w:r>
              <w:rPr>
                <w:sz w:val="21"/>
              </w:rPr>
              <w:t>项</w:t>
            </w:r>
          </w:p>
        </w:tc>
        <w:tc>
          <w:tcPr>
            <w:tcW w:type="dxa" w:w="588"/>
            <w:tcBorders>
              <w:top w:val="none" w:color="000000" w:sz="4"/>
              <w:left w:val="none" w:color="000000" w:sz="4"/>
              <w:bottom w:val="double" w:color="000000" w:sz="8"/>
              <w:right w:val="single" w:color="000000" w:sz="4"/>
            </w:tcBorders>
          </w:tcPr>
          <w:p>
            <w:pPr>
              <w:jc w:val="center"/>
            </w:pPr>
            <w:r>
              <w:rPr>
                <w:sz w:val="21"/>
              </w:rPr>
              <w:t>否</w:t>
            </w:r>
          </w:p>
        </w:tc>
        <w:tc>
          <w:tcPr>
            <w:tcW w:type="dxa" w:w="714"/>
            <w:tcBorders>
              <w:top w:val="none" w:color="000000" w:sz="4"/>
              <w:left w:val="none" w:color="000000" w:sz="4"/>
              <w:bottom w:val="double" w:color="000000" w:sz="8"/>
              <w:right w:val="single" w:color="000000" w:sz="4"/>
            </w:tcBorders>
            <w:vAlign w:val="top"/>
          </w:tcPr>
          <w:p>
            <w:pPr>
              <w:jc w:val="center"/>
            </w:pPr>
          </w:p>
        </w:tc>
      </w:tr>
      <w:tr>
        <w:tc>
          <w:tcPr>
            <w:tcW w:type="dxa" w:w="851"/>
            <w:vMerge w:val="restart"/>
            <w:tcBorders>
              <w:top w:val="none" w:color="000000" w:sz="4"/>
              <w:left w:val="single" w:color="000000" w:sz="4"/>
              <w:bottom w:val="double" w:color="000000" w:sz="8"/>
              <w:right w:val="single" w:color="000000" w:sz="4"/>
            </w:tcBorders>
          </w:tcPr>
          <w:p>
            <w:pPr>
              <w:jc w:val="center"/>
            </w:pPr>
            <w:r>
              <w:rPr>
                <w:b/>
                <w:sz w:val="21"/>
              </w:rPr>
              <w:t>3</w:t>
            </w:r>
          </w:p>
          <w:p>
            <w:pPr>
              <w:jc w:val="center"/>
            </w:pPr>
            <w:r>
              <w:rPr>
                <w:b/>
                <w:sz w:val="21"/>
              </w:rPr>
              <w:t>动力环境监控系统</w:t>
            </w:r>
          </w:p>
        </w:tc>
        <w:tc>
          <w:tcPr>
            <w:tcW w:type="dxa" w:w="476"/>
            <w:tcBorders>
              <w:top w:val="none" w:color="000000" w:sz="4"/>
              <w:left w:val="none" w:color="000000" w:sz="4"/>
              <w:bottom w:val="single" w:color="000000" w:sz="4"/>
              <w:right w:val="single" w:color="000000" w:sz="4"/>
            </w:tcBorders>
          </w:tcPr>
          <w:p>
            <w:pPr>
              <w:jc w:val="center"/>
            </w:pPr>
            <w:r>
              <w:rPr>
                <w:sz w:val="21"/>
              </w:rPr>
              <w:t>3.1</w:t>
            </w:r>
          </w:p>
        </w:tc>
        <w:tc>
          <w:tcPr>
            <w:tcW w:type="dxa" w:w="714"/>
            <w:tcBorders>
              <w:top w:val="none" w:color="000000" w:sz="4"/>
              <w:left w:val="none" w:color="000000" w:sz="4"/>
              <w:bottom w:val="single" w:color="000000" w:sz="4"/>
              <w:right w:val="single" w:color="000000" w:sz="4"/>
            </w:tcBorders>
          </w:tcPr>
          <w:p>
            <w:pPr>
              <w:jc w:val="left"/>
            </w:pPr>
            <w:r>
              <w:rPr>
                <w:sz w:val="21"/>
              </w:rPr>
              <w:t>动力环境监控系统</w:t>
            </w:r>
          </w:p>
        </w:tc>
        <w:tc>
          <w:tcPr>
            <w:tcW w:type="dxa" w:w="4021"/>
            <w:tcBorders>
              <w:top w:val="none" w:color="000000" w:sz="4"/>
              <w:left w:val="none" w:color="000000" w:sz="4"/>
              <w:bottom w:val="single" w:color="000000" w:sz="4"/>
              <w:right w:val="single" w:color="000000" w:sz="4"/>
            </w:tcBorders>
          </w:tcPr>
          <w:p>
            <w:pPr>
              <w:jc w:val="left"/>
            </w:pPr>
            <w:r>
              <w:rPr>
                <w:sz w:val="21"/>
              </w:rPr>
              <w:t>见“五、（三）产品技术要求”。</w:t>
            </w:r>
          </w:p>
        </w:tc>
        <w:tc>
          <w:tcPr>
            <w:tcW w:type="dxa" w:w="476"/>
            <w:tcBorders>
              <w:top w:val="none" w:color="000000" w:sz="4"/>
              <w:left w:val="none" w:color="000000" w:sz="4"/>
              <w:bottom w:val="single" w:color="000000" w:sz="4"/>
              <w:right w:val="single" w:color="000000" w:sz="4"/>
            </w:tcBorders>
          </w:tcPr>
          <w:p>
            <w:pPr>
              <w:jc w:val="center"/>
            </w:pPr>
            <w:r>
              <w:rPr>
                <w:sz w:val="21"/>
              </w:rPr>
              <w:t>1</w:t>
            </w:r>
          </w:p>
        </w:tc>
        <w:tc>
          <w:tcPr>
            <w:tcW w:type="dxa" w:w="476"/>
            <w:tcBorders>
              <w:top w:val="none" w:color="000000" w:sz="4"/>
              <w:left w:val="none" w:color="000000" w:sz="4"/>
              <w:bottom w:val="single" w:color="000000" w:sz="4"/>
              <w:right w:val="single" w:color="000000" w:sz="4"/>
            </w:tcBorders>
          </w:tcPr>
          <w:p>
            <w:pPr>
              <w:jc w:val="center"/>
            </w:pPr>
            <w:r>
              <w:rPr>
                <w:sz w:val="21"/>
              </w:rPr>
              <w:t>套</w:t>
            </w:r>
          </w:p>
        </w:tc>
        <w:tc>
          <w:tcPr>
            <w:tcW w:type="dxa" w:w="588"/>
            <w:tcBorders>
              <w:top w:val="none" w:color="000000" w:sz="4"/>
              <w:left w:val="none" w:color="000000" w:sz="4"/>
              <w:bottom w:val="single" w:color="000000" w:sz="4"/>
              <w:right w:val="single" w:color="000000" w:sz="4"/>
            </w:tcBorders>
          </w:tcPr>
          <w:p>
            <w:pPr>
              <w:jc w:val="center"/>
            </w:pPr>
            <w:r>
              <w:rPr>
                <w:sz w:val="21"/>
              </w:rPr>
              <w:t>否</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851"/>
            <w:vMerge/>
            <w:tcBorders>
              <w:top w:val="none" w:color="000000" w:sz="4"/>
              <w:left w:val="single" w:color="000000" w:sz="4"/>
              <w:bottom w:val="double" w:color="000000" w:sz="8"/>
              <w:right w:val="single" w:color="000000" w:sz="4"/>
            </w:tcBorders>
          </w:tcPr>
          <w:p/>
        </w:tc>
        <w:tc>
          <w:tcPr>
            <w:tcW w:type="dxa" w:w="476"/>
            <w:tcBorders>
              <w:top w:val="none" w:color="000000" w:sz="4"/>
              <w:left w:val="none" w:color="000000" w:sz="4"/>
              <w:bottom w:val="single" w:color="000000" w:sz="4"/>
              <w:right w:val="single" w:color="000000" w:sz="4"/>
            </w:tcBorders>
          </w:tcPr>
          <w:p>
            <w:pPr>
              <w:jc w:val="center"/>
            </w:pPr>
            <w:r>
              <w:rPr>
                <w:sz w:val="21"/>
              </w:rPr>
              <w:t>3.2</w:t>
            </w:r>
          </w:p>
        </w:tc>
        <w:tc>
          <w:tcPr>
            <w:tcW w:type="dxa" w:w="714"/>
            <w:tcBorders>
              <w:top w:val="none" w:color="000000" w:sz="4"/>
              <w:left w:val="none" w:color="000000" w:sz="4"/>
              <w:bottom w:val="single" w:color="000000" w:sz="4"/>
              <w:right w:val="single" w:color="000000" w:sz="4"/>
            </w:tcBorders>
          </w:tcPr>
          <w:p>
            <w:pPr>
              <w:jc w:val="left"/>
            </w:pPr>
            <w:r>
              <w:rPr>
                <w:sz w:val="21"/>
              </w:rPr>
              <w:t>辅材</w:t>
            </w:r>
          </w:p>
        </w:tc>
        <w:tc>
          <w:tcPr>
            <w:tcW w:type="dxa" w:w="4021"/>
            <w:tcBorders>
              <w:top w:val="none" w:color="000000" w:sz="4"/>
              <w:left w:val="none" w:color="000000" w:sz="4"/>
              <w:bottom w:val="single" w:color="000000" w:sz="4"/>
              <w:right w:val="single" w:color="000000" w:sz="4"/>
            </w:tcBorders>
          </w:tcPr>
          <w:p>
            <w:pPr>
              <w:jc w:val="left"/>
            </w:pPr>
            <w:r>
              <w:rPr>
                <w:sz w:val="21"/>
              </w:rPr>
              <w:t>包括但不限于通讯线路、电缆、直流电源、熔断器、互感器、开关辅助触点、等所有用于安装、集成、系统改造、测试、调试、负载接入、投运、使用所需的设备、材料、工具。</w:t>
            </w:r>
          </w:p>
          <w:p>
            <w:pPr>
              <w:jc w:val="left"/>
            </w:pPr>
            <w:r>
              <w:rPr>
                <w:sz w:val="21"/>
              </w:rPr>
              <w:t>技术要求详见</w:t>
            </w:r>
            <w:r>
              <w:rPr>
                <w:sz w:val="21"/>
              </w:rPr>
              <w:t>“五、（三）产品技术要求”。</w:t>
            </w:r>
          </w:p>
        </w:tc>
        <w:tc>
          <w:tcPr>
            <w:tcW w:type="dxa" w:w="476"/>
            <w:tcBorders>
              <w:top w:val="none" w:color="000000" w:sz="4"/>
              <w:left w:val="none" w:color="000000" w:sz="4"/>
              <w:bottom w:val="single" w:color="000000" w:sz="4"/>
              <w:right w:val="single" w:color="000000" w:sz="4"/>
            </w:tcBorders>
          </w:tcPr>
          <w:p>
            <w:pPr>
              <w:jc w:val="center"/>
            </w:pPr>
            <w:r>
              <w:rPr>
                <w:sz w:val="21"/>
              </w:rPr>
              <w:t>1</w:t>
            </w:r>
          </w:p>
        </w:tc>
        <w:tc>
          <w:tcPr>
            <w:tcW w:type="dxa" w:w="476"/>
            <w:tcBorders>
              <w:top w:val="none" w:color="000000" w:sz="4"/>
              <w:left w:val="none" w:color="000000" w:sz="4"/>
              <w:bottom w:val="single" w:color="000000" w:sz="4"/>
              <w:right w:val="single" w:color="000000" w:sz="4"/>
            </w:tcBorders>
          </w:tcPr>
          <w:p>
            <w:pPr>
              <w:jc w:val="center"/>
            </w:pPr>
            <w:r>
              <w:rPr>
                <w:sz w:val="21"/>
              </w:rPr>
              <w:t>批</w:t>
            </w:r>
          </w:p>
        </w:tc>
        <w:tc>
          <w:tcPr>
            <w:tcW w:type="dxa" w:w="588"/>
            <w:tcBorders>
              <w:top w:val="none" w:color="000000" w:sz="4"/>
              <w:left w:val="none" w:color="000000" w:sz="4"/>
              <w:bottom w:val="single" w:color="000000" w:sz="4"/>
              <w:right w:val="single" w:color="000000" w:sz="4"/>
            </w:tcBorders>
          </w:tcPr>
          <w:p>
            <w:pPr>
              <w:jc w:val="center"/>
            </w:pPr>
            <w:r>
              <w:rPr>
                <w:sz w:val="21"/>
              </w:rPr>
              <w:t>否</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851"/>
            <w:vMerge/>
            <w:tcBorders>
              <w:top w:val="none" w:color="000000" w:sz="4"/>
              <w:left w:val="single" w:color="000000" w:sz="4"/>
              <w:bottom w:val="double" w:color="000000" w:sz="8"/>
              <w:right w:val="single" w:color="000000" w:sz="4"/>
            </w:tcBorders>
          </w:tcPr>
          <w:p/>
        </w:tc>
        <w:tc>
          <w:tcPr>
            <w:tcW w:type="dxa" w:w="476"/>
            <w:tcBorders>
              <w:top w:val="none" w:color="000000" w:sz="4"/>
              <w:left w:val="none" w:color="000000" w:sz="4"/>
              <w:bottom w:val="double" w:color="000000" w:sz="8"/>
              <w:right w:val="single" w:color="000000" w:sz="4"/>
            </w:tcBorders>
          </w:tcPr>
          <w:p>
            <w:pPr>
              <w:jc w:val="center"/>
            </w:pPr>
            <w:r>
              <w:rPr>
                <w:sz w:val="21"/>
              </w:rPr>
              <w:t>3.3</w:t>
            </w:r>
          </w:p>
        </w:tc>
        <w:tc>
          <w:tcPr>
            <w:tcW w:type="dxa" w:w="714"/>
            <w:tcBorders>
              <w:top w:val="none" w:color="000000" w:sz="4"/>
              <w:left w:val="none" w:color="000000" w:sz="4"/>
              <w:bottom w:val="double" w:color="000000" w:sz="8"/>
              <w:right w:val="single" w:color="000000" w:sz="4"/>
            </w:tcBorders>
          </w:tcPr>
          <w:p>
            <w:pPr>
              <w:jc w:val="left"/>
            </w:pPr>
            <w:r>
              <w:rPr>
                <w:sz w:val="21"/>
              </w:rPr>
              <w:t>配套安装施工调试等服务</w:t>
            </w:r>
          </w:p>
        </w:tc>
        <w:tc>
          <w:tcPr>
            <w:tcW w:type="dxa" w:w="4021"/>
            <w:tcBorders>
              <w:top w:val="none" w:color="000000" w:sz="4"/>
              <w:left w:val="none" w:color="000000" w:sz="4"/>
              <w:bottom w:val="double" w:color="000000" w:sz="8"/>
              <w:right w:val="single" w:color="000000" w:sz="4"/>
            </w:tcBorders>
          </w:tcPr>
          <w:p>
            <w:pPr>
              <w:jc w:val="left"/>
            </w:pPr>
            <w:r>
              <w:rPr>
                <w:sz w:val="21"/>
              </w:rPr>
              <w:t>包括但不限于设备二次搬运、就位、安装、改造、线路敷设、机务施工、设备试验、系统集成、调试等。</w:t>
            </w:r>
          </w:p>
        </w:tc>
        <w:tc>
          <w:tcPr>
            <w:tcW w:type="dxa" w:w="476"/>
            <w:tcBorders>
              <w:top w:val="none" w:color="000000" w:sz="4"/>
              <w:left w:val="none" w:color="000000" w:sz="4"/>
              <w:bottom w:val="double" w:color="000000" w:sz="8"/>
              <w:right w:val="single" w:color="000000" w:sz="4"/>
            </w:tcBorders>
          </w:tcPr>
          <w:p>
            <w:pPr>
              <w:jc w:val="center"/>
            </w:pPr>
            <w:r>
              <w:rPr>
                <w:sz w:val="21"/>
              </w:rPr>
              <w:t>1</w:t>
            </w:r>
          </w:p>
        </w:tc>
        <w:tc>
          <w:tcPr>
            <w:tcW w:type="dxa" w:w="476"/>
            <w:tcBorders>
              <w:top w:val="none" w:color="000000" w:sz="4"/>
              <w:left w:val="none" w:color="000000" w:sz="4"/>
              <w:bottom w:val="double" w:color="000000" w:sz="8"/>
              <w:right w:val="single" w:color="000000" w:sz="4"/>
            </w:tcBorders>
          </w:tcPr>
          <w:p>
            <w:pPr>
              <w:jc w:val="center"/>
            </w:pPr>
            <w:r>
              <w:rPr>
                <w:sz w:val="21"/>
              </w:rPr>
              <w:t>项</w:t>
            </w:r>
          </w:p>
        </w:tc>
        <w:tc>
          <w:tcPr>
            <w:tcW w:type="dxa" w:w="588"/>
            <w:tcBorders>
              <w:top w:val="none" w:color="000000" w:sz="4"/>
              <w:left w:val="none" w:color="000000" w:sz="4"/>
              <w:bottom w:val="double" w:color="000000" w:sz="8"/>
              <w:right w:val="single" w:color="000000" w:sz="4"/>
            </w:tcBorders>
          </w:tcPr>
          <w:p>
            <w:pPr>
              <w:jc w:val="center"/>
            </w:pPr>
            <w:r>
              <w:rPr>
                <w:sz w:val="21"/>
              </w:rPr>
              <w:t>否</w:t>
            </w:r>
          </w:p>
        </w:tc>
        <w:tc>
          <w:tcPr>
            <w:tcW w:type="dxa" w:w="714"/>
            <w:tcBorders>
              <w:top w:val="none" w:color="000000" w:sz="4"/>
              <w:left w:val="none" w:color="000000" w:sz="4"/>
              <w:bottom w:val="double" w:color="000000" w:sz="8"/>
              <w:right w:val="single" w:color="000000" w:sz="4"/>
            </w:tcBorders>
            <w:vAlign w:val="top"/>
          </w:tcPr>
          <w:p>
            <w:pPr>
              <w:jc w:val="center"/>
            </w:pPr>
          </w:p>
        </w:tc>
      </w:tr>
      <w:tr>
        <w:tc>
          <w:tcPr>
            <w:tcW w:type="dxa" w:w="851"/>
            <w:vMerge w:val="restart"/>
            <w:tcBorders>
              <w:top w:val="none" w:color="000000" w:sz="4"/>
              <w:left w:val="single" w:color="000000" w:sz="4"/>
              <w:bottom w:val="single" w:color="000000" w:sz="4"/>
              <w:right w:val="single" w:color="000000" w:sz="4"/>
            </w:tcBorders>
          </w:tcPr>
          <w:p>
            <w:pPr>
              <w:jc w:val="center"/>
            </w:pPr>
            <w:r>
              <w:rPr>
                <w:b/>
                <w:sz w:val="21"/>
              </w:rPr>
              <w:t>4</w:t>
            </w:r>
          </w:p>
          <w:p>
            <w:pPr>
              <w:jc w:val="center"/>
            </w:pPr>
            <w:r>
              <w:rPr>
                <w:b/>
                <w:sz w:val="21"/>
              </w:rPr>
              <w:t>新风系统</w:t>
            </w:r>
          </w:p>
        </w:tc>
        <w:tc>
          <w:tcPr>
            <w:tcW w:type="dxa" w:w="476"/>
            <w:tcBorders>
              <w:top w:val="none" w:color="000000" w:sz="4"/>
              <w:left w:val="none" w:color="000000" w:sz="4"/>
              <w:bottom w:val="single" w:color="000000" w:sz="4"/>
              <w:right w:val="single" w:color="000000" w:sz="4"/>
            </w:tcBorders>
          </w:tcPr>
          <w:p>
            <w:pPr>
              <w:jc w:val="center"/>
            </w:pPr>
            <w:r>
              <w:rPr>
                <w:sz w:val="21"/>
              </w:rPr>
              <w:t>4.1</w:t>
            </w:r>
          </w:p>
        </w:tc>
        <w:tc>
          <w:tcPr>
            <w:tcW w:type="dxa" w:w="714"/>
            <w:tcBorders>
              <w:top w:val="none" w:color="000000" w:sz="4"/>
              <w:left w:val="none" w:color="000000" w:sz="4"/>
              <w:bottom w:val="single" w:color="000000" w:sz="4"/>
              <w:right w:val="single" w:color="000000" w:sz="4"/>
            </w:tcBorders>
            <w:shd w:fill="FFFFFF"/>
          </w:tcPr>
          <w:p>
            <w:pPr>
              <w:jc w:val="left"/>
            </w:pPr>
            <w:r>
              <w:rPr>
                <w:sz w:val="21"/>
              </w:rPr>
              <w:t>新风机</w:t>
            </w:r>
          </w:p>
        </w:tc>
        <w:tc>
          <w:tcPr>
            <w:tcW w:type="dxa" w:w="4021"/>
            <w:tcBorders>
              <w:top w:val="none" w:color="000000" w:sz="4"/>
              <w:left w:val="none" w:color="000000" w:sz="4"/>
              <w:bottom w:val="single" w:color="000000" w:sz="4"/>
              <w:right w:val="single" w:color="000000" w:sz="4"/>
            </w:tcBorders>
            <w:shd w:fill="FFFFFF"/>
          </w:tcPr>
          <w:p>
            <w:pPr>
              <w:jc w:val="left"/>
            </w:pPr>
            <w:r>
              <w:rPr>
                <w:sz w:val="21"/>
              </w:rPr>
              <w:t>见“五、（三）产品技术要求”</w:t>
            </w:r>
          </w:p>
        </w:tc>
        <w:tc>
          <w:tcPr>
            <w:tcW w:type="dxa" w:w="476"/>
            <w:tcBorders>
              <w:top w:val="none" w:color="000000" w:sz="4"/>
              <w:left w:val="none" w:color="000000" w:sz="4"/>
              <w:bottom w:val="single" w:color="000000" w:sz="4"/>
              <w:right w:val="single" w:color="000000" w:sz="4"/>
            </w:tcBorders>
          </w:tcPr>
          <w:p>
            <w:pPr>
              <w:jc w:val="center"/>
            </w:pPr>
            <w:r>
              <w:rPr>
                <w:sz w:val="21"/>
              </w:rPr>
              <w:t>1</w:t>
            </w:r>
          </w:p>
        </w:tc>
        <w:tc>
          <w:tcPr>
            <w:tcW w:type="dxa" w:w="476"/>
            <w:tcBorders>
              <w:top w:val="none" w:color="000000" w:sz="4"/>
              <w:left w:val="none" w:color="000000" w:sz="4"/>
              <w:bottom w:val="single" w:color="000000" w:sz="4"/>
              <w:right w:val="single" w:color="000000" w:sz="4"/>
            </w:tcBorders>
          </w:tcPr>
          <w:p>
            <w:pPr>
              <w:jc w:val="center"/>
            </w:pPr>
            <w:r>
              <w:rPr>
                <w:sz w:val="21"/>
              </w:rPr>
              <w:t>台</w:t>
            </w:r>
          </w:p>
        </w:tc>
        <w:tc>
          <w:tcPr>
            <w:tcW w:type="dxa" w:w="588"/>
            <w:tcBorders>
              <w:top w:val="none" w:color="000000" w:sz="4"/>
              <w:left w:val="none" w:color="000000" w:sz="4"/>
              <w:bottom w:val="single" w:color="000000" w:sz="4"/>
              <w:right w:val="single" w:color="000000" w:sz="4"/>
            </w:tcBorders>
          </w:tcPr>
          <w:p>
            <w:pPr>
              <w:jc w:val="center"/>
            </w:pPr>
            <w:r>
              <w:rPr>
                <w:sz w:val="21"/>
              </w:rPr>
              <w:t>否</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851"/>
            <w:vMerge/>
            <w:tcBorders>
              <w:top w:val="none" w:color="000000" w:sz="4"/>
              <w:left w:val="singl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Pr>
          <w:p>
            <w:pPr>
              <w:jc w:val="center"/>
            </w:pPr>
            <w:r>
              <w:rPr>
                <w:sz w:val="21"/>
              </w:rPr>
              <w:t>4.2</w:t>
            </w:r>
          </w:p>
        </w:tc>
        <w:tc>
          <w:tcPr>
            <w:tcW w:type="dxa" w:w="714"/>
            <w:tcBorders>
              <w:top w:val="none" w:color="000000" w:sz="4"/>
              <w:left w:val="none" w:color="000000" w:sz="4"/>
              <w:bottom w:val="single" w:color="000000" w:sz="4"/>
              <w:right w:val="single" w:color="000000" w:sz="4"/>
            </w:tcBorders>
          </w:tcPr>
          <w:p>
            <w:pPr>
              <w:jc w:val="center"/>
            </w:pPr>
            <w:r>
              <w:rPr>
                <w:sz w:val="21"/>
              </w:rPr>
              <w:t>辅材</w:t>
            </w:r>
          </w:p>
        </w:tc>
        <w:tc>
          <w:tcPr>
            <w:tcW w:type="dxa" w:w="4021"/>
            <w:tcBorders>
              <w:top w:val="none" w:color="000000" w:sz="4"/>
              <w:left w:val="none" w:color="000000" w:sz="4"/>
              <w:bottom w:val="single" w:color="000000" w:sz="4"/>
              <w:right w:val="single" w:color="000000" w:sz="4"/>
            </w:tcBorders>
          </w:tcPr>
          <w:p>
            <w:pPr>
              <w:jc w:val="left"/>
            </w:pPr>
            <w:r>
              <w:rPr>
                <w:sz w:val="21"/>
              </w:rPr>
              <w:t>包括但不限于PVC风管道、防烟防火阀、柔性软风管阀门、方形散流器、防雨百叶等。</w:t>
            </w:r>
          </w:p>
        </w:tc>
        <w:tc>
          <w:tcPr>
            <w:tcW w:type="dxa" w:w="476"/>
            <w:tcBorders>
              <w:top w:val="none" w:color="000000" w:sz="4"/>
              <w:left w:val="none" w:color="000000" w:sz="4"/>
              <w:bottom w:val="single" w:color="000000" w:sz="4"/>
              <w:right w:val="single" w:color="000000" w:sz="4"/>
            </w:tcBorders>
          </w:tcPr>
          <w:p>
            <w:pPr>
              <w:jc w:val="center"/>
            </w:pPr>
            <w:r>
              <w:rPr>
                <w:sz w:val="21"/>
              </w:rPr>
              <w:t>1</w:t>
            </w:r>
          </w:p>
        </w:tc>
        <w:tc>
          <w:tcPr>
            <w:tcW w:type="dxa" w:w="476"/>
            <w:tcBorders>
              <w:top w:val="none" w:color="000000" w:sz="4"/>
              <w:left w:val="none" w:color="000000" w:sz="4"/>
              <w:bottom w:val="single" w:color="000000" w:sz="4"/>
              <w:right w:val="single" w:color="000000" w:sz="4"/>
            </w:tcBorders>
          </w:tcPr>
          <w:p>
            <w:pPr>
              <w:jc w:val="center"/>
            </w:pPr>
            <w:r>
              <w:rPr>
                <w:sz w:val="21"/>
              </w:rPr>
              <w:t>批</w:t>
            </w:r>
          </w:p>
        </w:tc>
        <w:tc>
          <w:tcPr>
            <w:tcW w:type="dxa" w:w="588"/>
            <w:tcBorders>
              <w:top w:val="none" w:color="000000" w:sz="4"/>
              <w:left w:val="none" w:color="000000" w:sz="4"/>
              <w:bottom w:val="single" w:color="000000" w:sz="4"/>
              <w:right w:val="single" w:color="000000" w:sz="4"/>
            </w:tcBorders>
          </w:tcPr>
          <w:p>
            <w:pPr>
              <w:jc w:val="center"/>
            </w:pPr>
            <w:r>
              <w:rPr>
                <w:sz w:val="21"/>
              </w:rPr>
              <w:t>否</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851"/>
            <w:vMerge/>
            <w:tcBorders>
              <w:top w:val="none" w:color="000000" w:sz="4"/>
              <w:left w:val="singl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Pr>
          <w:p>
            <w:pPr>
              <w:jc w:val="center"/>
            </w:pPr>
            <w:r>
              <w:rPr>
                <w:sz w:val="21"/>
              </w:rPr>
              <w:t>4.3</w:t>
            </w:r>
          </w:p>
        </w:tc>
        <w:tc>
          <w:tcPr>
            <w:tcW w:type="dxa" w:w="714"/>
            <w:tcBorders>
              <w:top w:val="none" w:color="000000" w:sz="4"/>
              <w:left w:val="none" w:color="000000" w:sz="4"/>
              <w:bottom w:val="single" w:color="000000" w:sz="4"/>
              <w:right w:val="single" w:color="000000" w:sz="4"/>
            </w:tcBorders>
          </w:tcPr>
          <w:p>
            <w:pPr>
              <w:jc w:val="left"/>
            </w:pPr>
            <w:r>
              <w:rPr>
                <w:sz w:val="21"/>
              </w:rPr>
              <w:t>配套安装施工调试等服务</w:t>
            </w:r>
          </w:p>
        </w:tc>
        <w:tc>
          <w:tcPr>
            <w:tcW w:type="dxa" w:w="4021"/>
            <w:tcBorders>
              <w:top w:val="none" w:color="000000" w:sz="4"/>
              <w:left w:val="none" w:color="000000" w:sz="4"/>
              <w:bottom w:val="single" w:color="000000" w:sz="4"/>
              <w:right w:val="single" w:color="000000" w:sz="4"/>
            </w:tcBorders>
          </w:tcPr>
          <w:p>
            <w:pPr>
              <w:jc w:val="left"/>
            </w:pPr>
            <w:r>
              <w:rPr>
                <w:sz w:val="21"/>
              </w:rPr>
              <w:t>包括但不限于设备二次搬运、就位、安装、线路敷设、机务施工、设备试验、集成、调试、天花拆除及恢复等。</w:t>
            </w:r>
          </w:p>
          <w:p>
            <w:pPr>
              <w:jc w:val="left"/>
            </w:pPr>
            <w:r>
              <w:rPr>
                <w:sz w:val="21"/>
              </w:rPr>
              <w:t>技术要求</w:t>
            </w:r>
            <w:r>
              <w:rPr>
                <w:sz w:val="21"/>
              </w:rPr>
              <w:t>详见</w:t>
            </w:r>
            <w:r>
              <w:rPr>
                <w:sz w:val="21"/>
              </w:rPr>
              <w:t>“五、（三）产品技术要求”。</w:t>
            </w:r>
          </w:p>
        </w:tc>
        <w:tc>
          <w:tcPr>
            <w:tcW w:type="dxa" w:w="476"/>
            <w:tcBorders>
              <w:top w:val="none" w:color="000000" w:sz="4"/>
              <w:left w:val="none" w:color="000000" w:sz="4"/>
              <w:bottom w:val="single" w:color="000000" w:sz="4"/>
              <w:right w:val="single" w:color="000000" w:sz="4"/>
            </w:tcBorders>
          </w:tcPr>
          <w:p>
            <w:pPr>
              <w:jc w:val="center"/>
            </w:pPr>
            <w:r>
              <w:rPr>
                <w:sz w:val="21"/>
              </w:rPr>
              <w:t>1</w:t>
            </w:r>
          </w:p>
        </w:tc>
        <w:tc>
          <w:tcPr>
            <w:tcW w:type="dxa" w:w="476"/>
            <w:tcBorders>
              <w:top w:val="none" w:color="000000" w:sz="4"/>
              <w:left w:val="none" w:color="000000" w:sz="4"/>
              <w:bottom w:val="single" w:color="000000" w:sz="4"/>
              <w:right w:val="single" w:color="000000" w:sz="4"/>
            </w:tcBorders>
          </w:tcPr>
          <w:p>
            <w:pPr>
              <w:jc w:val="center"/>
            </w:pPr>
            <w:r>
              <w:rPr>
                <w:sz w:val="21"/>
              </w:rPr>
              <w:t>项</w:t>
            </w:r>
          </w:p>
        </w:tc>
        <w:tc>
          <w:tcPr>
            <w:tcW w:type="dxa" w:w="588"/>
            <w:tcBorders>
              <w:top w:val="none" w:color="000000" w:sz="4"/>
              <w:left w:val="none" w:color="000000" w:sz="4"/>
              <w:bottom w:val="single" w:color="000000" w:sz="4"/>
              <w:right w:val="single" w:color="000000" w:sz="4"/>
            </w:tcBorders>
          </w:tcPr>
          <w:p>
            <w:pPr>
              <w:jc w:val="center"/>
            </w:pPr>
            <w:r>
              <w:rPr>
                <w:sz w:val="21"/>
              </w:rPr>
              <w:t>否</w:t>
            </w:r>
          </w:p>
        </w:tc>
        <w:tc>
          <w:tcPr>
            <w:tcW w:type="dxa" w:w="714"/>
            <w:tcBorders>
              <w:top w:val="none" w:color="000000" w:sz="4"/>
              <w:left w:val="none" w:color="000000" w:sz="4"/>
              <w:bottom w:val="single" w:color="000000" w:sz="4"/>
              <w:right w:val="single" w:color="000000" w:sz="4"/>
            </w:tcBorders>
            <w:vAlign w:val="top"/>
          </w:tcPr>
          <w:p>
            <w:pPr>
              <w:jc w:val="center"/>
            </w:pPr>
          </w:p>
        </w:tc>
      </w:tr>
    </w:tbl>
    <w:p>
      <w:pPr>
        <w:jc w:val="both"/>
      </w:pPr>
    </w:p>
    <w:p>
      <w:pPr>
        <w:jc w:val="both"/>
      </w:pPr>
      <w:r>
        <w:rPr>
          <w:b/>
          <w:sz w:val="21"/>
        </w:rPr>
        <w:t>四、低压配电系统改造示意图</w:t>
      </w:r>
    </w:p>
    <w:p>
      <w:pPr>
        <w:ind w:firstLine="420"/>
        <w:jc w:val="both"/>
      </w:pPr>
      <w:r>
        <w:rPr>
          <w:sz w:val="21"/>
        </w:rPr>
        <w:t>本图仅用于示意用户需求，不作为合法施工图纸使用。</w:t>
      </w:r>
    </w:p>
    <w:p>
      <w:pPr>
        <w:ind w:firstLine="420"/>
        <w:jc w:val="both"/>
      </w:pPr>
      <w:r>
        <w:drawing>
          <wp:inline distT="0" distR="0" distB="0" distL="0">
            <wp:extent cx="4762500" cy="673417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4762500" cy="6734175"/>
                    </a:xfrm>
                    <a:prstGeom prst="rect">
                      <a:avLst/>
                    </a:prstGeom>
                  </pic:spPr>
                </pic:pic>
              </a:graphicData>
            </a:graphic>
          </wp:inline>
        </w:drawing>
      </w:r>
    </w:p>
    <w:p>
      <w:pPr>
        <w:ind w:firstLine="420"/>
        <w:jc w:val="both"/>
      </w:pPr>
      <w:r>
        <w:drawing>
          <wp:inline distT="0" distR="0" distB="0" distL="0">
            <wp:extent cx="4762500" cy="6734175"/>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4762500" cy="6734175"/>
                    </a:xfrm>
                    <a:prstGeom prst="rect">
                      <a:avLst/>
                    </a:prstGeom>
                  </pic:spPr>
                </pic:pic>
              </a:graphicData>
            </a:graphic>
          </wp:inline>
        </w:drawing>
      </w:r>
    </w:p>
    <w:p>
      <w:pPr>
        <w:jc w:val="both"/>
      </w:pPr>
      <w:r>
        <w:rPr>
          <w:b/>
          <w:sz w:val="21"/>
        </w:rPr>
        <w:t>五、技术要求</w:t>
      </w:r>
    </w:p>
    <w:p>
      <w:pPr>
        <w:jc w:val="both"/>
      </w:pPr>
      <w:r>
        <w:rPr>
          <w:b/>
          <w:sz w:val="21"/>
        </w:rPr>
        <w:t>（一）执行标准及规范</w:t>
      </w:r>
    </w:p>
    <w:p>
      <w:pPr>
        <w:jc w:val="both"/>
      </w:pPr>
      <w:r>
        <w:rPr>
          <w:sz w:val="21"/>
        </w:rPr>
        <w:t xml:space="preserve">   </w:t>
      </w:r>
      <w:r>
        <w:rPr>
          <w:sz w:val="21"/>
        </w:rPr>
        <w:t>中标人提供的产品和服务符合以下标准、规范，若以下标准、规范有更新版本，按最新版本执行：</w:t>
      </w:r>
    </w:p>
    <w:p>
      <w:pPr>
        <w:jc w:val="left"/>
      </w:pPr>
      <w:r>
        <w:rPr>
          <w:color w:val="000000"/>
          <w:sz w:val="24"/>
        </w:rPr>
        <w:t>YD/T 1051-2000</w:t>
      </w:r>
      <w:r>
        <w:rPr>
          <w:color w:val="000000"/>
          <w:sz w:val="24"/>
        </w:rPr>
        <w:t>《通信局（站）电源系统总技术要求》</w:t>
      </w:r>
    </w:p>
    <w:p>
      <w:pPr>
        <w:jc w:val="left"/>
      </w:pPr>
      <w:r>
        <w:rPr>
          <w:color w:val="000000"/>
          <w:sz w:val="24"/>
        </w:rPr>
        <w:t>YD/T 1095-2018</w:t>
      </w:r>
      <w:r>
        <w:rPr>
          <w:color w:val="000000"/>
          <w:sz w:val="24"/>
        </w:rPr>
        <w:t>《通信用不间断电源（UPS）》</w:t>
      </w:r>
    </w:p>
    <w:p>
      <w:pPr>
        <w:jc w:val="left"/>
      </w:pPr>
      <w:r>
        <w:rPr>
          <w:color w:val="000000"/>
          <w:sz w:val="24"/>
        </w:rPr>
        <w:t>YD/T 2165-2017</w:t>
      </w:r>
      <w:r>
        <w:rPr>
          <w:color w:val="000000"/>
          <w:sz w:val="24"/>
        </w:rPr>
        <w:t>《通信用模块化交流不间断电源》</w:t>
      </w:r>
    </w:p>
    <w:p>
      <w:pPr>
        <w:jc w:val="left"/>
      </w:pPr>
      <w:r>
        <w:rPr>
          <w:color w:val="000000"/>
          <w:sz w:val="24"/>
        </w:rPr>
        <w:t>GB/T 7260</w:t>
      </w:r>
      <w:r>
        <w:rPr>
          <w:color w:val="000000"/>
          <w:sz w:val="24"/>
        </w:rPr>
        <w:t>《不间断电源设备(UPS)》</w:t>
      </w:r>
    </w:p>
    <w:p>
      <w:pPr>
        <w:jc w:val="left"/>
      </w:pPr>
      <w:r>
        <w:rPr>
          <w:color w:val="000000"/>
          <w:sz w:val="24"/>
        </w:rPr>
        <w:t>GB/T 14715-2017</w:t>
      </w:r>
      <w:r>
        <w:rPr>
          <w:color w:val="000000"/>
          <w:sz w:val="24"/>
        </w:rPr>
        <w:t>《信息技术设备用不间断电源通用规范》</w:t>
      </w:r>
    </w:p>
    <w:p>
      <w:pPr>
        <w:jc w:val="left"/>
      </w:pPr>
      <w:r>
        <w:rPr>
          <w:color w:val="000000"/>
          <w:sz w:val="24"/>
        </w:rPr>
        <w:t>GB/T 19638-2014</w:t>
      </w:r>
      <w:r>
        <w:rPr>
          <w:color w:val="000000"/>
          <w:sz w:val="24"/>
        </w:rPr>
        <w:t>《固定型阀控密封式铅酸蓄电池》</w:t>
      </w:r>
    </w:p>
    <w:p>
      <w:pPr>
        <w:jc w:val="left"/>
      </w:pPr>
      <w:r>
        <w:rPr>
          <w:color w:val="000000"/>
          <w:sz w:val="24"/>
        </w:rPr>
        <w:t>YD/T 3427-2018</w:t>
      </w:r>
      <w:r>
        <w:rPr>
          <w:color w:val="000000"/>
          <w:sz w:val="24"/>
        </w:rPr>
        <w:t>《通信用高倍率阀控式密封铅酸蓄电池》</w:t>
      </w:r>
    </w:p>
    <w:p>
      <w:pPr>
        <w:jc w:val="left"/>
      </w:pPr>
      <w:r>
        <w:rPr>
          <w:color w:val="000000"/>
          <w:sz w:val="24"/>
        </w:rPr>
        <w:t>GB/T 12706.1-2020</w:t>
      </w:r>
      <w:r>
        <w:rPr>
          <w:color w:val="000000"/>
          <w:sz w:val="24"/>
        </w:rPr>
        <w:t>《额定电压1 kV(Um=1.2 kV)到35 kV(Um=40.5 kV)挤包绝缘电力电缆及附件 第1部分：额定电压1 kV(Um=1.2 kV)和3 kV(Um=3.6 kV)电缆》</w:t>
      </w:r>
    </w:p>
    <w:p>
      <w:pPr>
        <w:jc w:val="left"/>
      </w:pPr>
      <w:r>
        <w:rPr>
          <w:color w:val="000000"/>
          <w:sz w:val="24"/>
        </w:rPr>
        <w:t>GB 50168-2018</w:t>
      </w:r>
      <w:r>
        <w:rPr>
          <w:color w:val="000000"/>
          <w:sz w:val="24"/>
        </w:rPr>
        <w:t>《电气装置安装工程 电缆线路施工及验收标准》</w:t>
      </w:r>
    </w:p>
    <w:p>
      <w:pPr>
        <w:jc w:val="left"/>
      </w:pPr>
      <w:r>
        <w:rPr>
          <w:color w:val="000000"/>
          <w:sz w:val="24"/>
        </w:rPr>
        <w:t>GB 50254-2014</w:t>
      </w:r>
      <w:r>
        <w:rPr>
          <w:color w:val="000000"/>
          <w:sz w:val="24"/>
        </w:rPr>
        <w:t>《电气装置安装工程 低压电器施工及验收规范》</w:t>
      </w:r>
    </w:p>
    <w:p>
      <w:pPr>
        <w:jc w:val="left"/>
      </w:pPr>
      <w:r>
        <w:rPr>
          <w:color w:val="000000"/>
          <w:sz w:val="24"/>
        </w:rPr>
        <w:t>GB 50150-2016</w:t>
      </w:r>
      <w:r>
        <w:rPr>
          <w:color w:val="000000"/>
          <w:sz w:val="24"/>
        </w:rPr>
        <w:t>《电气装置安装工程 电气设备交接试验标准》</w:t>
      </w:r>
    </w:p>
    <w:p>
      <w:pPr>
        <w:ind w:firstLine="420"/>
        <w:jc w:val="both"/>
      </w:pPr>
      <w:r>
        <w:rPr>
          <w:sz w:val="21"/>
        </w:rPr>
        <w:t>本用户需求书所使用技术标准、规范的要求不一致时，按较高要求执行；本用户需求书所列技术要求与所使用的技术标准、规范的要求不一致时，按较高要求执行。</w:t>
      </w:r>
    </w:p>
    <w:p>
      <w:pPr>
        <w:jc w:val="both"/>
      </w:pPr>
      <w:r>
        <w:rPr>
          <w:b/>
          <w:sz w:val="21"/>
        </w:rPr>
        <w:t>（二）施工规范及要求</w:t>
      </w:r>
    </w:p>
    <w:p>
      <w:pPr>
        <w:ind w:firstLine="420"/>
        <w:jc w:val="both"/>
      </w:pPr>
      <w:r>
        <w:rPr>
          <w:sz w:val="21"/>
        </w:rPr>
        <w:t>1.</w:t>
      </w:r>
      <w:r>
        <w:rPr>
          <w:sz w:val="21"/>
        </w:rPr>
        <w:t>项目安装、施工过程中，中标人需采取适当的安健环措施保障施工人员和现场工作人员的人身安全、现场设备安全、配电系统供电安全以及电视塔播出安全，确保不发生人身伤害事故和台站播出任务不受影响。</w:t>
      </w:r>
    </w:p>
    <w:p>
      <w:pPr>
        <w:ind w:firstLine="420"/>
        <w:jc w:val="both"/>
      </w:pPr>
      <w:r>
        <w:rPr>
          <w:sz w:val="21"/>
        </w:rPr>
        <w:t>2.</w:t>
      </w:r>
      <w:r>
        <w:rPr>
          <w:sz w:val="21"/>
        </w:rPr>
        <w:t>负载电缆接线、迁移等需要停电实施的施工工序，中标人应提前向采购人递交施工计划及方案，征得采购人同意后，安排在特定的凌晨检修时段进行（每周3小时）。</w:t>
      </w:r>
    </w:p>
    <w:p>
      <w:pPr>
        <w:ind w:firstLine="420"/>
        <w:jc w:val="both"/>
      </w:pPr>
      <w:r>
        <w:rPr>
          <w:sz w:val="21"/>
        </w:rPr>
        <w:t>3.</w:t>
      </w:r>
      <w:r>
        <w:rPr>
          <w:sz w:val="21"/>
        </w:rPr>
        <w:t>项目安装、施工过程中，中标人应服从采购人现场管理，贯彻执行采购人及其上级单位的管理规定，未经采购人允许，在重要节假日和广电行业政府主管部门规定的重要播出保障期间不得施工作业。</w:t>
      </w:r>
    </w:p>
    <w:p>
      <w:pPr>
        <w:ind w:firstLine="420"/>
        <w:jc w:val="both"/>
      </w:pPr>
      <w:r>
        <w:rPr>
          <w:sz w:val="21"/>
        </w:rPr>
        <w:t>4.</w:t>
      </w:r>
      <w:r>
        <w:rPr>
          <w:sz w:val="21"/>
        </w:rPr>
        <w:t>项目安装、施工工艺应符合国家和行业标准。</w:t>
      </w:r>
    </w:p>
    <w:p>
      <w:pPr>
        <w:ind w:firstLine="420"/>
        <w:jc w:val="both"/>
      </w:pPr>
      <w:r>
        <w:rPr>
          <w:sz w:val="21"/>
        </w:rPr>
        <w:t>5.</w:t>
      </w:r>
      <w:r>
        <w:rPr>
          <w:sz w:val="21"/>
        </w:rPr>
        <w:t>项目实施过程中导致现场地面、墙面、天花、设备等受损的，中标人应负责恢复原状。</w:t>
      </w:r>
    </w:p>
    <w:p>
      <w:pPr>
        <w:jc w:val="both"/>
      </w:pPr>
      <w:r>
        <w:rPr>
          <w:b/>
          <w:sz w:val="21"/>
        </w:rPr>
        <w:t>（三）产品技术要求</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324"/>
        <w:gridCol w:w="6981"/>
      </w:tblGrid>
      <w:tr>
        <w:tc>
          <w:tcPr>
            <w:tcW w:type="dxa" w:w="8305"/>
            <w:gridSpan w:val="2"/>
            <w:tcBorders>
              <w:top w:val="single" w:color="000000" w:sz="4"/>
              <w:left w:val="single" w:color="000000" w:sz="4"/>
              <w:bottom w:val="single" w:color="000000" w:sz="4"/>
              <w:right w:val="single" w:color="000000" w:sz="4"/>
            </w:tcBorders>
          </w:tcPr>
          <w:p>
            <w:pPr>
              <w:jc w:val="center"/>
            </w:pPr>
            <w:r>
              <w:rPr>
                <w:b/>
                <w:sz w:val="21"/>
              </w:rPr>
              <w:t>1 UPS</w:t>
            </w:r>
            <w:r>
              <w:rPr>
                <w:b/>
                <w:sz w:val="21"/>
              </w:rPr>
              <w:t>主机及其配套设备</w:t>
            </w:r>
          </w:p>
        </w:tc>
      </w:tr>
      <w:tr>
        <w:tc>
          <w:tcPr>
            <w:tcW w:type="dxa" w:w="1324"/>
            <w:vMerge w:val="restart"/>
            <w:tcBorders>
              <w:top w:val="none" w:color="000000" w:sz="4"/>
              <w:left w:val="single" w:color="000000" w:sz="4"/>
              <w:bottom w:val="single" w:color="000000" w:sz="4"/>
              <w:right w:val="single" w:color="000000" w:sz="4"/>
            </w:tcBorders>
          </w:tcPr>
          <w:p>
            <w:pPr>
              <w:jc w:val="center"/>
            </w:pPr>
            <w:r>
              <w:rPr>
                <w:sz w:val="21"/>
              </w:rPr>
              <w:t>1.1</w:t>
            </w:r>
          </w:p>
          <w:p>
            <w:pPr>
              <w:jc w:val="center"/>
            </w:pPr>
            <w:r>
              <w:rPr>
                <w:sz w:val="21"/>
              </w:rPr>
              <w:t>技术指标</w:t>
            </w:r>
          </w:p>
        </w:tc>
        <w:tc>
          <w:tcPr>
            <w:tcW w:type="dxa" w:w="6981"/>
            <w:tcBorders>
              <w:top w:val="none" w:color="000000" w:sz="4"/>
              <w:left w:val="none" w:color="000000" w:sz="4"/>
              <w:bottom w:val="single" w:color="000000" w:sz="4"/>
              <w:right w:val="single" w:color="000000" w:sz="4"/>
            </w:tcBorders>
          </w:tcPr>
          <w:p>
            <w:pPr>
              <w:jc w:val="both"/>
            </w:pPr>
            <w:r>
              <w:rPr>
                <w:sz w:val="21"/>
              </w:rPr>
              <w:t>★1.采用在线式模块化高频机，具备ECO运行模式，单机额定容量不低于500kVA，每个功率模块额定容量不高于50kVA。提供产品彩页或用户手册等证明材料并盖投标人公章。</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▲2.功率模块具有热插拔功能、故障自动退出功能和休眠功能。提供产品彩页或用户手册等证明材料并盖投标人公章。</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★3.具有具备CMA或CNAS认证标识的认证机构出具的产品认证证书，认证依据标准应为YD/T 2165-2017《通信用模块化交流不间断电源》。提交以下证明材料之一：</w:t>
            </w:r>
          </w:p>
          <w:p>
            <w:pPr>
              <w:jc w:val="both"/>
            </w:pPr>
            <w:r>
              <w:rPr>
                <w:sz w:val="21"/>
              </w:rPr>
              <w:t>①上述产品认证证书复印件，加盖投标人公章；</w:t>
            </w:r>
          </w:p>
          <w:p>
            <w:pPr>
              <w:jc w:val="both"/>
            </w:pPr>
            <w:r>
              <w:rPr>
                <w:sz w:val="21"/>
              </w:rPr>
              <w:t>②承诺如在本项目中标，在签订合同之日起15个工作日内提供满足上述要求的产品认证证书复印件（投标时提交承诺，可参照“格式”中《承诺函》格式）。</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4.</w:t>
            </w:r>
            <w:r>
              <w:rPr>
                <w:sz w:val="21"/>
              </w:rPr>
              <w:t>具备静态旁路和手动维修旁路，配置有主路输入开关（额定电流≥1000A）、旁路输入开关（额定电流≥800A）、输出开关（额定电流≥800A）、维修旁路开关（额定电流≥800A）。</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▲5.系统效率：正常工作模式下，50%阻性负载时系统效率≥97%，100%阻性负载时系统效率≥96%。提交以下证明材料之一：</w:t>
            </w:r>
          </w:p>
          <w:p>
            <w:pPr>
              <w:jc w:val="both"/>
            </w:pPr>
            <w:r>
              <w:rPr>
                <w:sz w:val="21"/>
              </w:rPr>
              <w:t>①由具备CMA或CNAS认证的第三方检测机构出具的检测报告复印件，加盖投标人公章；</w:t>
            </w:r>
          </w:p>
          <w:p>
            <w:pPr>
              <w:jc w:val="both"/>
            </w:pPr>
            <w:r>
              <w:rPr>
                <w:sz w:val="21"/>
              </w:rPr>
              <w:t>②承诺所投产品满足该条件，且如在本项目中标，在签订合同之日起15个工作日内提供由具备CMA或CNAS认证的第三方检测机构出具的检测报告复印件（投标时提交承诺，可参照“格式”中《承诺函》格式）。</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▲6. UPS具备以下运行模式：在ECO模式的基础上，当UPS运行在静态旁路时逆变器具备补偿无功和谐波功能，用于优化旁路输入功率因数和输入电流谐波。该模式下，输出为100%非线性负载时，输入功率因数≥0.99，输入电流谐波成分≤3%；输出为50%非线性负载时，输入功率因数≥0.99，输入电流谐波成分≤5%；输出为50%阻性负载时，系统效率≥98%。提交以下证明材料之一：</w:t>
            </w:r>
          </w:p>
          <w:p>
            <w:pPr>
              <w:jc w:val="both"/>
            </w:pPr>
            <w:r>
              <w:rPr>
                <w:sz w:val="21"/>
              </w:rPr>
              <w:t>①由具备CMA或CNAS认证的第三方检测机构出具的检测报告复印件，加盖投标人公章；</w:t>
            </w:r>
          </w:p>
          <w:p>
            <w:pPr>
              <w:jc w:val="both"/>
            </w:pPr>
            <w:r>
              <w:rPr>
                <w:sz w:val="21"/>
              </w:rPr>
              <w:t>②承诺所投产品满足该条件，且如在本项目中标，在签订合同之日起15个工作日内提供由具备CMA或CNAS认证的第三方检测机构出具的检测报告复印件（投标时提交承诺，可参照“格式”中《承诺函》格式）。</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★7. UPS可接收现场发电机组启动信号，现场在用发电机组</w:t>
            </w:r>
            <w:r>
              <w:rPr>
                <w:sz w:val="21"/>
              </w:rPr>
              <w:t>（型号：LEROY SOMER 49.1 S4 C6/4 500kW）</w:t>
            </w:r>
            <w:r>
              <w:rPr>
                <w:sz w:val="21"/>
              </w:rPr>
              <w:t>启动并投入作为UPS输入电源时，UPS可稳定连续运行，不发生异常和故障（投标时提交承诺，可参照“格式”中《承诺函》格式）。</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▲8.市电、电池切换时间：0ms；主路（逆变）、旁路切换时间：&lt;1ms；ECO模式与逆变输出互相转换时间：＜1ms。提交以下证明材料之一：</w:t>
            </w:r>
          </w:p>
          <w:p>
            <w:pPr>
              <w:jc w:val="both"/>
            </w:pPr>
            <w:r>
              <w:rPr>
                <w:sz w:val="21"/>
              </w:rPr>
              <w:t>①由具备CMA或CNAS认证的第三方检测机构出具的检测报告复印件，加盖投标人公章；</w:t>
            </w:r>
          </w:p>
          <w:p>
            <w:pPr>
              <w:jc w:val="both"/>
            </w:pPr>
            <w:r>
              <w:rPr>
                <w:sz w:val="21"/>
              </w:rPr>
              <w:t>②承诺所投产品满足该条件，且如在本项目中标，在签订合同之日起15个工作日内提供由具备CMA或CNAS认证的第三方检测机构出具的检测报告复印件（投标时提交承诺，可参照“格式”中《承诺函》格式）。</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vAlign w:val="top"/>
          </w:tcPr>
          <w:p>
            <w:pPr>
              <w:jc w:val="both"/>
            </w:pPr>
            <w:r>
              <w:rPr>
                <w:sz w:val="21"/>
              </w:rPr>
              <w:t>9.</w:t>
            </w:r>
            <w:r>
              <w:rPr>
                <w:sz w:val="21"/>
              </w:rPr>
              <w:t>过载能力：125%额定阻性负载时，≥10分钟。提供产品彩页或用户手册等证明材料并盖投标人公章。</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vAlign w:val="top"/>
          </w:tcPr>
          <w:p>
            <w:pPr>
              <w:jc w:val="both"/>
            </w:pPr>
            <w:r>
              <w:rPr>
                <w:sz w:val="21"/>
              </w:rPr>
              <w:t>10.</w:t>
            </w:r>
            <w:r>
              <w:rPr>
                <w:sz w:val="21"/>
              </w:rPr>
              <w:t>柜体使用符合国家标准的冷轧钢板，厚度≥2.0mm（投标时提交承诺，可参照“格式”中《承诺函》格式）。</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vAlign w:val="top"/>
          </w:tcPr>
          <w:p>
            <w:pPr>
              <w:jc w:val="both"/>
            </w:pPr>
            <w:r>
              <w:rPr>
                <w:sz w:val="21"/>
              </w:rPr>
              <w:t>▲11．支持外接电池单组节数可调节，每组电池节数可调节范围不窄于36～44节，且同时支持铅酸阀控式电池和锂离子电池储能方案。提供产品彩页或用户手册等证明材料并盖投标人公章。</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vAlign w:val="top"/>
          </w:tcPr>
          <w:p>
            <w:pPr>
              <w:jc w:val="both"/>
            </w:pPr>
            <w:r>
              <w:rPr>
                <w:sz w:val="21"/>
              </w:rPr>
              <w:t>12.</w:t>
            </w:r>
            <w:r>
              <w:rPr>
                <w:sz w:val="21"/>
              </w:rPr>
              <w:t>具备良好的高温带载能力，环境温度40℃使可持续运行不降功率，50℃时可输出不低于80%额定功率。提供产品彩页或用户手册等证明材料并盖投标人公章。</w:t>
            </w:r>
          </w:p>
        </w:tc>
      </w:tr>
      <w:tr>
        <w:tc>
          <w:tcPr>
            <w:tcW w:type="dxa" w:w="1324"/>
            <w:vMerge w:val="restart"/>
            <w:tcBorders>
              <w:top w:val="none" w:color="000000" w:sz="4"/>
              <w:left w:val="single" w:color="000000" w:sz="4"/>
              <w:bottom w:val="single" w:color="000000" w:sz="4"/>
              <w:right w:val="single" w:color="000000" w:sz="4"/>
            </w:tcBorders>
          </w:tcPr>
          <w:p>
            <w:pPr>
              <w:jc w:val="center"/>
            </w:pPr>
            <w:r>
              <w:rPr>
                <w:sz w:val="21"/>
              </w:rPr>
              <w:t>1.2</w:t>
            </w:r>
          </w:p>
          <w:p>
            <w:pPr>
              <w:jc w:val="center"/>
            </w:pPr>
            <w:r>
              <w:rPr>
                <w:sz w:val="21"/>
              </w:rPr>
              <w:t>输入性能</w:t>
            </w:r>
          </w:p>
          <w:p>
            <w:pPr>
              <w:jc w:val="center"/>
            </w:pPr>
          </w:p>
        </w:tc>
        <w:tc>
          <w:tcPr>
            <w:tcW w:type="dxa" w:w="6981"/>
            <w:tcBorders>
              <w:top w:val="none" w:color="000000" w:sz="4"/>
              <w:left w:val="none" w:color="000000" w:sz="4"/>
              <w:bottom w:val="single" w:color="000000" w:sz="4"/>
              <w:right w:val="single" w:color="000000" w:sz="4"/>
            </w:tcBorders>
          </w:tcPr>
          <w:p>
            <w:pPr>
              <w:jc w:val="both"/>
            </w:pPr>
            <w:r>
              <w:rPr>
                <w:sz w:val="21"/>
              </w:rPr>
              <w:t>1.</w:t>
            </w:r>
            <w:r>
              <w:rPr>
                <w:sz w:val="21"/>
              </w:rPr>
              <w:t>输入电压范围：线电压不窄于304～456V。提交以下证明材料之一：</w:t>
            </w:r>
          </w:p>
          <w:p>
            <w:pPr>
              <w:jc w:val="both"/>
            </w:pPr>
            <w:r>
              <w:rPr>
                <w:sz w:val="21"/>
              </w:rPr>
              <w:t>①由具备CMA或CNAS认证的第三方检测机构出具的检测报告复印件，加盖投标人公章；</w:t>
            </w:r>
          </w:p>
          <w:p>
            <w:pPr>
              <w:jc w:val="both"/>
            </w:pPr>
            <w:r>
              <w:rPr>
                <w:sz w:val="21"/>
              </w:rPr>
              <w:t>②承诺所投产品满足该条件，且如在本项目中标，在签订合同之日起15个工作日内提供由具备CMA或CNAS认证的第三方检测机构出具的检测报告复印件（投标时提交承诺，可参照“格式”中《承诺函》格式）。</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2.</w:t>
            </w:r>
            <w:r>
              <w:rPr>
                <w:sz w:val="21"/>
              </w:rPr>
              <w:t>输入频率范围：不窄于42～68Hz。提交以下证明材料之一：</w:t>
            </w:r>
          </w:p>
          <w:p>
            <w:pPr>
              <w:jc w:val="both"/>
            </w:pPr>
            <w:r>
              <w:rPr>
                <w:sz w:val="21"/>
              </w:rPr>
              <w:t>①由具备CMA或CNAS认证的第三方检测机构出具的检测报告复印件，加盖投标人公章；</w:t>
            </w:r>
          </w:p>
          <w:p>
            <w:pPr>
              <w:jc w:val="both"/>
            </w:pPr>
            <w:r>
              <w:rPr>
                <w:sz w:val="21"/>
              </w:rPr>
              <w:t>②承诺所投产品满足该条件，且如在本项目中标，在签订合同之日起15个工作日内提供由具备CMA或CNAS认证的第三方检测机构出具的检测报告复印件（投标时提交承诺，可参照“格式”中《承诺函》格式）。</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3.</w:t>
            </w:r>
            <w:r>
              <w:rPr>
                <w:sz w:val="21"/>
              </w:rPr>
              <w:t>输入功率因数：正常工作模式下，输出为50%非线性负载时，≥0.99。提交以下证明材料之一：</w:t>
            </w:r>
          </w:p>
          <w:p>
            <w:pPr>
              <w:jc w:val="both"/>
            </w:pPr>
            <w:r>
              <w:rPr>
                <w:sz w:val="21"/>
              </w:rPr>
              <w:t>①由具备CMA或CNAS认证的第三方检测机构出具的检测报告复印件，加盖投标人公章；</w:t>
            </w:r>
          </w:p>
          <w:p>
            <w:pPr>
              <w:jc w:val="both"/>
            </w:pPr>
            <w:r>
              <w:rPr>
                <w:sz w:val="21"/>
              </w:rPr>
              <w:t>②承诺所投产品满足该条件，且如在本项目中标，在签订合同之日起15个工作日内提供由具备CMA或CNAS认证的第三方检测机构出具的检测报告复印件（投标时提交承诺，可参照“格式”中《承诺函》格式）。</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4.</w:t>
            </w:r>
            <w:r>
              <w:rPr>
                <w:sz w:val="21"/>
              </w:rPr>
              <w:t>输入电流谐波成分（2～39次谐波）：输出为50%非线性负载时，＜1.5%；输出为100%非线性负载时，＜1.2%。提交以下证明材料之一：</w:t>
            </w:r>
          </w:p>
          <w:p>
            <w:pPr>
              <w:jc w:val="both"/>
            </w:pPr>
            <w:r>
              <w:rPr>
                <w:sz w:val="21"/>
              </w:rPr>
              <w:t>①由具备CMA或CNAS认证的第三方检测机构出具的检测报告复印件，加盖投标人公章；</w:t>
            </w:r>
          </w:p>
          <w:p>
            <w:pPr>
              <w:jc w:val="both"/>
            </w:pPr>
            <w:r>
              <w:rPr>
                <w:sz w:val="21"/>
              </w:rPr>
              <w:t>②承诺所投产品满足该条件，且如在本项目中标，在签订合同之日起15个工作日内提供由具备CMA或CNAS认证的第三方检测机构出具的检测报告复印件（投标时提交承诺，可参照“格式”中《承诺函》格式）。</w:t>
            </w:r>
          </w:p>
        </w:tc>
      </w:tr>
      <w:tr>
        <w:tc>
          <w:tcPr>
            <w:tcW w:type="dxa" w:w="1324"/>
            <w:vMerge w:val="restart"/>
            <w:tcBorders>
              <w:top w:val="none" w:color="000000" w:sz="4"/>
              <w:left w:val="single" w:color="000000" w:sz="4"/>
              <w:bottom w:val="single" w:color="000000" w:sz="4"/>
              <w:right w:val="single" w:color="000000" w:sz="4"/>
            </w:tcBorders>
          </w:tcPr>
          <w:p>
            <w:pPr>
              <w:jc w:val="center"/>
            </w:pPr>
            <w:r>
              <w:rPr>
                <w:sz w:val="21"/>
              </w:rPr>
              <w:t>1.3</w:t>
            </w:r>
          </w:p>
          <w:p>
            <w:pPr>
              <w:jc w:val="center"/>
            </w:pPr>
            <w:r>
              <w:rPr>
                <w:sz w:val="21"/>
              </w:rPr>
              <w:t>输出性能</w:t>
            </w:r>
          </w:p>
          <w:p>
            <w:pPr>
              <w:jc w:val="center"/>
            </w:pPr>
          </w:p>
        </w:tc>
        <w:tc>
          <w:tcPr>
            <w:tcW w:type="dxa" w:w="6981"/>
            <w:tcBorders>
              <w:top w:val="none" w:color="000000" w:sz="4"/>
              <w:left w:val="none" w:color="000000" w:sz="4"/>
              <w:bottom w:val="single" w:color="000000" w:sz="4"/>
              <w:right w:val="single" w:color="000000" w:sz="4"/>
            </w:tcBorders>
          </w:tcPr>
          <w:p>
            <w:pPr>
              <w:jc w:val="both"/>
            </w:pPr>
            <w:r>
              <w:rPr>
                <w:sz w:val="21"/>
              </w:rPr>
              <w:t>1.</w:t>
            </w:r>
            <w:r>
              <w:rPr>
                <w:sz w:val="21"/>
              </w:rPr>
              <w:t>输出稳压精度：|S|≤1%；动态电压瞬变范围：≤4%；电压瞬变恢复时间：≤20ms。提交以下证明材料之一：</w:t>
            </w:r>
          </w:p>
          <w:p>
            <w:pPr>
              <w:jc w:val="both"/>
            </w:pPr>
            <w:r>
              <w:rPr>
                <w:sz w:val="21"/>
              </w:rPr>
              <w:t>①由具备CMA或CNAS认证的第三方检测机构出具的检测报告复印件，加盖投标人公章；</w:t>
            </w:r>
          </w:p>
          <w:p>
            <w:pPr>
              <w:jc w:val="both"/>
            </w:pPr>
            <w:r>
              <w:rPr>
                <w:sz w:val="21"/>
              </w:rPr>
              <w:t>②承诺所投产品满足该条件，且如在本项目中标，在签订合同之日起15个工作日内提供由具备CMA或CNAS认证的第三方检测机构出具的检测报告复印件（投标时提交承诺，可参照“格式”中《承诺函》格式）。</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2.</w:t>
            </w:r>
            <w:r>
              <w:rPr>
                <w:sz w:val="21"/>
              </w:rPr>
              <w:t>输出频率：在电池逆变工作状态下，不宽于(50±0.02)Hz。提交以下证明材料之一：</w:t>
            </w:r>
          </w:p>
          <w:p>
            <w:pPr>
              <w:jc w:val="both"/>
            </w:pPr>
            <w:r>
              <w:rPr>
                <w:sz w:val="21"/>
              </w:rPr>
              <w:t>①由具备CMA或CNAS认证的第三方检测机构出具的检测报告复印件，加盖投标人公章；</w:t>
            </w:r>
          </w:p>
          <w:p>
            <w:pPr>
              <w:jc w:val="both"/>
            </w:pPr>
            <w:r>
              <w:rPr>
                <w:sz w:val="21"/>
              </w:rPr>
              <w:t>②承诺所投产品满足该条件，且如在本项目中标，在签订合同之日起15个工作日内提供由具备CMA或CNAS认证的第三方检测机构出具的检测报告复印件（投标时提交承诺，可参照“格式”中《承诺函》格式）。</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▲3.输出有功功率≥额定容量×0.95kW/kVA。提交以下证明材料之一：</w:t>
            </w:r>
          </w:p>
          <w:p>
            <w:pPr>
              <w:jc w:val="both"/>
            </w:pPr>
            <w:r>
              <w:rPr>
                <w:sz w:val="21"/>
              </w:rPr>
              <w:t>①由具备CMA或CNAS认证的第三方检测机构出具的检测报告复印件，加盖投标人公章；</w:t>
            </w:r>
          </w:p>
          <w:p>
            <w:pPr>
              <w:jc w:val="both"/>
            </w:pPr>
            <w:r>
              <w:rPr>
                <w:sz w:val="21"/>
              </w:rPr>
              <w:t>②承诺所投产品满足该条件，且如在本项目中标，在签订合同之日起15个工作日内提供由具备CMA或CNAS认证的第三方检测机构出具的检测报告复印件（投标时提交承诺，可参照“格式”中《承诺函》格式）。</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4.</w:t>
            </w:r>
            <w:r>
              <w:rPr>
                <w:sz w:val="21"/>
              </w:rPr>
              <w:t>输出电压波形失真度：100%阻性负载时：≤1%:；100%非线性负载时：≤1.5%。提交以下证明材料之一：</w:t>
            </w:r>
          </w:p>
          <w:p>
            <w:pPr>
              <w:jc w:val="both"/>
            </w:pPr>
            <w:r>
              <w:rPr>
                <w:sz w:val="21"/>
              </w:rPr>
              <w:t>①由具备CMA或CNAS认证的第三方检测机构出具的检测报告复印件，加盖投标人公章；</w:t>
            </w:r>
          </w:p>
          <w:p>
            <w:pPr>
              <w:jc w:val="both"/>
            </w:pPr>
            <w:r>
              <w:rPr>
                <w:sz w:val="21"/>
              </w:rPr>
              <w:t>②承诺所投产品满足该条件，且如在本项目中标，在签订合同之日起15个工作日内提供由具备CMA或CNAS认证的第三方检测机构出具的检测报告复印件（投标时提交承诺，可参照“格式”中《承诺函》格式）。</w:t>
            </w:r>
          </w:p>
        </w:tc>
      </w:tr>
      <w:tr>
        <w:tc>
          <w:tcPr>
            <w:tcW w:type="dxa" w:w="1324"/>
            <w:vMerge w:val="restart"/>
            <w:tcBorders>
              <w:top w:val="none" w:color="000000" w:sz="4"/>
              <w:left w:val="single" w:color="000000" w:sz="4"/>
              <w:bottom w:val="single" w:color="000000" w:sz="4"/>
              <w:right w:val="single" w:color="000000" w:sz="4"/>
            </w:tcBorders>
          </w:tcPr>
          <w:p>
            <w:pPr>
              <w:jc w:val="center"/>
            </w:pPr>
            <w:r>
              <w:rPr>
                <w:sz w:val="21"/>
              </w:rPr>
              <w:t>1.4</w:t>
            </w:r>
          </w:p>
          <w:p>
            <w:pPr>
              <w:jc w:val="center"/>
            </w:pPr>
            <w:r>
              <w:rPr>
                <w:sz w:val="21"/>
              </w:rPr>
              <w:t>其他要求</w:t>
            </w:r>
          </w:p>
        </w:tc>
        <w:tc>
          <w:tcPr>
            <w:tcW w:type="dxa" w:w="6981"/>
            <w:tcBorders>
              <w:top w:val="none" w:color="000000" w:sz="4"/>
              <w:left w:val="none" w:color="000000" w:sz="4"/>
              <w:bottom w:val="single" w:color="000000" w:sz="4"/>
              <w:right w:val="single" w:color="000000" w:sz="4"/>
            </w:tcBorders>
          </w:tcPr>
          <w:p>
            <w:pPr>
              <w:jc w:val="both"/>
            </w:pPr>
            <w:r>
              <w:rPr>
                <w:sz w:val="21"/>
              </w:rPr>
              <w:t>1.</w:t>
            </w:r>
            <w:r>
              <w:rPr>
                <w:sz w:val="21"/>
              </w:rPr>
              <w:t>主机（不含蓄电池）的外形尺寸（宽×深×高）：≤1200mm×1000mm×2000mm</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2.</w:t>
            </w:r>
            <w:r>
              <w:rPr>
                <w:sz w:val="21"/>
              </w:rPr>
              <w:t>在下列条件下，设备应能连续正常工作，并满足性能规范要求：</w:t>
            </w:r>
          </w:p>
          <w:p>
            <w:pPr>
              <w:jc w:val="both"/>
            </w:pPr>
            <w:r>
              <w:rPr>
                <w:sz w:val="21"/>
              </w:rPr>
              <w:t>（1）环境温度：工作温度：-5～+45℃，可满载长期运行。</w:t>
            </w:r>
          </w:p>
          <w:p>
            <w:pPr>
              <w:jc w:val="both"/>
            </w:pPr>
            <w:r>
              <w:rPr>
                <w:sz w:val="21"/>
              </w:rPr>
              <w:t>（2）相对湿度：0～95%，无凝露。</w:t>
            </w:r>
          </w:p>
          <w:p>
            <w:pPr>
              <w:jc w:val="both"/>
            </w:pPr>
            <w:r>
              <w:rPr>
                <w:sz w:val="21"/>
              </w:rPr>
              <w:t>（3）海拔高度：0～1500m不降容。</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3.</w:t>
            </w:r>
            <w:r>
              <w:rPr>
                <w:sz w:val="21"/>
              </w:rPr>
              <w:t>最大可闻噪音（距离设备1米处）：100%负载时≤70dB。</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4.  UPS</w:t>
            </w:r>
            <w:r>
              <w:rPr>
                <w:sz w:val="21"/>
              </w:rPr>
              <w:t>主机配置有EPO（紧急停机）端口，保证在特殊条件下，UPS可以实现快速关断输出的功能，提高系统的安全性。提供产品彩页或用户手册等证明材料并盖投标人公章。</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▲5.配置有彩色触摸液晶显示屏，屏幕尺寸≥8英寸。支持中文显示，具有事件记录、</w:t>
            </w:r>
            <w:r>
              <w:rPr>
                <w:sz w:val="21"/>
              </w:rPr>
              <w:t>故障录波功能</w:t>
            </w:r>
            <w:r>
              <w:rPr>
                <w:sz w:val="21"/>
              </w:rPr>
              <w:t>。提供产品彩页或用户手册等证明材料并盖投标人公章。</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★6.UPS采用正面维护，左右两侧无需预留维护空间。提供彩页或使用手册等证明材料加盖投标人公章。</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7.UPS</w:t>
            </w:r>
            <w:r>
              <w:rPr>
                <w:sz w:val="21"/>
              </w:rPr>
              <w:t>主机配有三种通讯方式：1）网络管理卡，支持SNMP通讯协议；2）RS485通讯口，支持Modbus通讯协议；3）干节点通讯功能。提供产品彩页或用户手册等证明材料并盖投标人公章。</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8.</w:t>
            </w:r>
            <w:r>
              <w:rPr>
                <w:sz w:val="21"/>
              </w:rPr>
              <w:t>告警功能：支持输入异常、蓄电池低压、过载、故障等告警功能。</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9.</w:t>
            </w:r>
            <w:r>
              <w:rPr>
                <w:sz w:val="21"/>
              </w:rPr>
              <w:t>保护功能：支持输出短路保护、输出过压/欠压保护、过载保护、过温保护、蓄电池欠压保护等功能。</w:t>
            </w:r>
          </w:p>
        </w:tc>
      </w:tr>
      <w:tr>
        <w:tc>
          <w:tcPr>
            <w:tcW w:type="dxa" w:w="1324"/>
            <w:vMerge w:val="restart"/>
            <w:tcBorders>
              <w:top w:val="none" w:color="000000" w:sz="4"/>
              <w:left w:val="single" w:color="000000" w:sz="4"/>
              <w:bottom w:val="single" w:color="000000" w:sz="4"/>
              <w:right w:val="single" w:color="000000" w:sz="4"/>
            </w:tcBorders>
          </w:tcPr>
          <w:p>
            <w:pPr>
              <w:jc w:val="center"/>
            </w:pPr>
            <w:r>
              <w:rPr>
                <w:sz w:val="21"/>
              </w:rPr>
              <w:t>1.5</w:t>
            </w:r>
          </w:p>
          <w:p>
            <w:pPr>
              <w:jc w:val="center"/>
            </w:pPr>
            <w:r>
              <w:rPr>
                <w:sz w:val="21"/>
              </w:rPr>
              <w:t>辅件</w:t>
            </w:r>
          </w:p>
        </w:tc>
        <w:tc>
          <w:tcPr>
            <w:tcW w:type="dxa" w:w="6981"/>
            <w:tcBorders>
              <w:top w:val="none" w:color="000000" w:sz="4"/>
              <w:left w:val="none" w:color="000000" w:sz="4"/>
              <w:bottom w:val="single" w:color="000000" w:sz="4"/>
              <w:right w:val="single" w:color="000000" w:sz="4"/>
            </w:tcBorders>
          </w:tcPr>
          <w:p>
            <w:pPr>
              <w:jc w:val="both"/>
            </w:pPr>
            <w:r>
              <w:rPr>
                <w:sz w:val="21"/>
              </w:rPr>
              <w:t>1.UPS</w:t>
            </w:r>
            <w:r>
              <w:rPr>
                <w:sz w:val="21"/>
              </w:rPr>
              <w:t>进线ATS开关（柜号2P01，已有）和UPS主机主、旁路输入开关间的进线电缆：采用符合国标的阻燃YJV铜芯单芯电缆，相线、零线线径不低于3×185mm²（并线），且安全载流量不小于1000A。</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2.UPS</w:t>
            </w:r>
            <w:r>
              <w:rPr>
                <w:sz w:val="21"/>
              </w:rPr>
              <w:t>主机输出开关和UPS出线ATS开关（柜号1P01、2P01，已有）间的出线电缆：采用符合国标的阻燃YJV铜芯单芯电缆，相线、零线线径不低于2×185mm²（并线），且安全载流量不小于630A。</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3.UPS</w:t>
            </w:r>
            <w:r>
              <w:rPr>
                <w:sz w:val="21"/>
              </w:rPr>
              <w:t>主机、电池柜、电池架保护接地线连接至配电房四周保护接地排，UPS主机接地线线径不低于2×150mm²，电池柜、电池架接地线线径不低于1×35mm²，且符合国家、行业、厂家设计规范、要求。</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4.低压二级配电房UPS负载出线柜和发射机房终端配电柜间的负载电缆：回路额定电流250A，路径不小于25米，不少于9个回路，采用符合国标的铠装阻燃YJV铜芯五芯电缆，线径不低于120mm²×4+70mm²×1，且安全载流量不小于250A，电缆总长度不小于225米（数量为预估量，以现场实际测量为准）。（</w:t>
            </w:r>
            <w:r>
              <w:rPr>
                <w:sz w:val="21"/>
              </w:rPr>
              <w:t>投标时提交承诺，可参照“格式”中《承诺函》格式）</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5.</w:t>
            </w:r>
            <w:r>
              <w:rPr>
                <w:sz w:val="21"/>
              </w:rPr>
              <w:t>配电房配套消防器材：二氧化碳推车式灭火器35kg不少于1个（含灭火器箱），二氧化碳手提式灭火器5kg不少于4个（含灭火器箱2个），过滤式消防自救呼吸器不少于2个（</w:t>
            </w:r>
            <w:r>
              <w:rPr>
                <w:sz w:val="21"/>
              </w:rPr>
              <w:t>投标时提交承诺，可参照“格式”中《承诺函》格式）。</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6.</w:t>
            </w:r>
            <w:r>
              <w:rPr>
                <w:sz w:val="21"/>
              </w:rPr>
              <w:t>配电房标识牌：配电房门口标识牌不少于11块。</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7.</w:t>
            </w:r>
            <w:r>
              <w:rPr>
                <w:sz w:val="21"/>
              </w:rPr>
              <w:t>配电房挂墙制度牌、线路图：室内不少于5块，室外不少于1块（室外制度牌尺寸不小于1.8m×1m，做防水措施）。</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8.</w:t>
            </w:r>
            <w:r>
              <w:rPr>
                <w:sz w:val="21"/>
              </w:rPr>
              <w:t>配电房门外照明灯：LED，功率不小于30W，每个门口不少于2个，合计不少于6个。</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9.</w:t>
            </w:r>
            <w:r>
              <w:rPr>
                <w:sz w:val="21"/>
              </w:rPr>
              <w:t>配电房挡鼠板：不少于3块，铝合金，可拆卸，高度≥50cm，长度根据配电房门尺寸定制。</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10.</w:t>
            </w:r>
            <w:r>
              <w:rPr>
                <w:sz w:val="21"/>
              </w:rPr>
              <w:t>配电房绝缘垫：在低压二级配电房各配电柜、UPS主机、电池组前后应铺设绝缘垫，规格应满足DL/T 853-2015《带电作业用绝缘垫》及南方电网公司验收要求。</w:t>
            </w:r>
          </w:p>
        </w:tc>
      </w:tr>
      <w:tr>
        <w:tc>
          <w:tcPr>
            <w:tcW w:type="dxa" w:w="1324"/>
            <w:vMerge w:val="restart"/>
            <w:tcBorders>
              <w:top w:val="none" w:color="000000" w:sz="4"/>
              <w:left w:val="single" w:color="000000" w:sz="4"/>
              <w:bottom w:val="single" w:color="000000" w:sz="4"/>
              <w:right w:val="single" w:color="000000" w:sz="4"/>
            </w:tcBorders>
          </w:tcPr>
          <w:p>
            <w:pPr>
              <w:jc w:val="center"/>
            </w:pPr>
            <w:r>
              <w:rPr>
                <w:sz w:val="21"/>
              </w:rPr>
              <w:t>1.6</w:t>
            </w:r>
          </w:p>
          <w:p>
            <w:pPr>
              <w:jc w:val="center"/>
            </w:pPr>
            <w:r>
              <w:rPr>
                <w:sz w:val="21"/>
              </w:rPr>
              <w:t>配套安装、施工、调试等服务</w:t>
            </w:r>
          </w:p>
        </w:tc>
        <w:tc>
          <w:tcPr>
            <w:tcW w:type="dxa" w:w="6981"/>
            <w:tcBorders>
              <w:top w:val="none" w:color="000000" w:sz="4"/>
              <w:left w:val="none" w:color="000000" w:sz="4"/>
              <w:bottom w:val="single" w:color="000000" w:sz="4"/>
              <w:right w:val="single" w:color="000000" w:sz="4"/>
            </w:tcBorders>
          </w:tcPr>
          <w:p>
            <w:pPr>
              <w:jc w:val="left"/>
            </w:pPr>
            <w:r>
              <w:rPr>
                <w:sz w:val="21"/>
              </w:rPr>
              <w:t>★</w:t>
            </w:r>
            <w:r>
              <w:rPr>
                <w:sz w:val="21"/>
              </w:rPr>
              <w:t>1.</w:t>
            </w:r>
            <w:r>
              <w:rPr>
                <w:sz w:val="21"/>
              </w:rPr>
              <w:t>负载电缆敷设：敷设低压二级配电房UPS负载出线柜和发射机房终端配电柜间的负载电缆，含试验、接线，路径约25米，不少于9个回路，电缆长度不小于225米（数量为预估量，以现场实际测量为准）。</w:t>
            </w:r>
            <w:r>
              <w:rPr>
                <w:sz w:val="21"/>
              </w:rPr>
              <w:t>（</w:t>
            </w:r>
            <w:r>
              <w:rPr>
                <w:sz w:val="21"/>
              </w:rPr>
              <w:t>投标时提交承诺，可参照“格式”中《承诺函》格式。）</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left"/>
            </w:pPr>
            <w:r>
              <w:rPr>
                <w:sz w:val="21"/>
              </w:rPr>
              <w:t>★</w:t>
            </w:r>
            <w:r>
              <w:rPr>
                <w:sz w:val="21"/>
              </w:rPr>
              <w:t>2.</w:t>
            </w:r>
            <w:r>
              <w:rPr>
                <w:sz w:val="21"/>
              </w:rPr>
              <w:t>负载迁移：将不少于</w:t>
            </w:r>
            <w:r>
              <w:rPr>
                <w:sz w:val="21"/>
              </w:rPr>
              <w:t>9</w:t>
            </w:r>
            <w:r>
              <w:rPr>
                <w:sz w:val="21"/>
              </w:rPr>
              <w:t>个回路的负载从旧电缆迁移至前款所述新敷设电缆供电，旧电缆废弃；另</w:t>
            </w:r>
            <w:r>
              <w:rPr>
                <w:sz w:val="21"/>
              </w:rPr>
              <w:t>将不少于5个回路负载电缆（利旧）从中部截断后，把电源侧迁移接至UPS负载出线柜，由UPS供电，电缆其余部分废弃。</w:t>
            </w:r>
            <w:r>
              <w:rPr>
                <w:sz w:val="21"/>
              </w:rPr>
              <w:t>（</w:t>
            </w:r>
            <w:r>
              <w:rPr>
                <w:sz w:val="21"/>
              </w:rPr>
              <w:t>投标时提交承诺，可参照“格式”中《承诺函》格式）</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left"/>
            </w:pPr>
            <w:r>
              <w:rPr>
                <w:sz w:val="21"/>
              </w:rPr>
              <w:t>3.</w:t>
            </w:r>
            <w:r>
              <w:rPr>
                <w:sz w:val="21"/>
              </w:rPr>
              <w:t>旧设备拆除：UPS试验通过、接入配电系统且负载迁移完成试运行正常后，拆除第2款所述的9回路旧电缆及另外5回路废弃电缆，并封堵电缆沟、槽；拆除低压一级配电房8台旧配电柜及其进线母线排。需拆除电缆约1300米（数量为预估量，以现场实际测量为准）。</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left"/>
            </w:pPr>
            <w:r>
              <w:rPr>
                <w:sz w:val="21"/>
              </w:rPr>
              <w:t>4.</w:t>
            </w:r>
            <w:r>
              <w:rPr>
                <w:sz w:val="21"/>
              </w:rPr>
              <w:t>拆除的废旧设备需转运至采购人指定的广州市内地点存放，含装卸、运输、二次搬运等。</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left"/>
            </w:pPr>
            <w:r>
              <w:rPr>
                <w:sz w:val="21"/>
              </w:rPr>
              <w:t>5.</w:t>
            </w:r>
            <w:r>
              <w:rPr>
                <w:sz w:val="21"/>
              </w:rPr>
              <w:t>空余和外露柜坑应用花纹钢板封盖，钢板厚度不小于3.0mm，所有电缆坑用预制盖板封盖。</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left"/>
            </w:pPr>
            <w:r>
              <w:rPr>
                <w:sz w:val="21"/>
              </w:rPr>
              <w:t>6.</w:t>
            </w:r>
            <w:r>
              <w:rPr>
                <w:sz w:val="21"/>
              </w:rPr>
              <w:t>安装、施工过程导致现场地面、墙面、天花等破损的，需恢复至原来状态。</w:t>
            </w:r>
          </w:p>
        </w:tc>
      </w:tr>
    </w:tbl>
    <w:p>
      <w:pPr>
        <w:jc w:val="both"/>
      </w:pP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324"/>
        <w:gridCol w:w="6981"/>
      </w:tblGrid>
      <w:tr>
        <w:tc>
          <w:tcPr>
            <w:tcW w:type="dxa" w:w="8305"/>
            <w:gridSpan w:val="2"/>
            <w:tcBorders>
              <w:top w:val="single" w:color="000000" w:sz="4"/>
              <w:left w:val="single" w:color="000000" w:sz="4"/>
              <w:bottom w:val="single" w:color="000000" w:sz="4"/>
              <w:right w:val="single" w:color="000000" w:sz="4"/>
            </w:tcBorders>
          </w:tcPr>
          <w:p>
            <w:pPr>
              <w:jc w:val="center"/>
            </w:pPr>
            <w:r>
              <w:rPr>
                <w:b/>
                <w:sz w:val="21"/>
              </w:rPr>
              <w:t>2 UPS</w:t>
            </w:r>
            <w:r>
              <w:rPr>
                <w:b/>
                <w:sz w:val="21"/>
              </w:rPr>
              <w:t>蓄电池组及其配套设备</w:t>
            </w:r>
          </w:p>
        </w:tc>
      </w:tr>
      <w:tr>
        <w:tc>
          <w:tcPr>
            <w:tcW w:type="dxa" w:w="1324"/>
            <w:vMerge w:val="restart"/>
            <w:tcBorders>
              <w:top w:val="none" w:color="000000" w:sz="4"/>
              <w:left w:val="single" w:color="000000" w:sz="4"/>
              <w:bottom w:val="single" w:color="000000" w:sz="4"/>
              <w:right w:val="single" w:color="000000" w:sz="4"/>
            </w:tcBorders>
          </w:tcPr>
          <w:p>
            <w:pPr>
              <w:jc w:val="center"/>
            </w:pPr>
            <w:r>
              <w:rPr>
                <w:sz w:val="21"/>
              </w:rPr>
              <w:t>2.1</w:t>
            </w:r>
          </w:p>
          <w:p>
            <w:pPr>
              <w:jc w:val="center"/>
            </w:pPr>
            <w:r>
              <w:rPr>
                <w:sz w:val="21"/>
              </w:rPr>
              <w:t>技术指标</w:t>
            </w:r>
          </w:p>
        </w:tc>
        <w:tc>
          <w:tcPr>
            <w:tcW w:type="dxa" w:w="6981"/>
            <w:tcBorders>
              <w:top w:val="none" w:color="000000" w:sz="4"/>
              <w:left w:val="none" w:color="000000" w:sz="4"/>
              <w:bottom w:val="single" w:color="000000" w:sz="4"/>
              <w:right w:val="single" w:color="000000" w:sz="4"/>
            </w:tcBorders>
          </w:tcPr>
          <w:p>
            <w:pPr>
              <w:jc w:val="both"/>
            </w:pPr>
            <w:r>
              <w:rPr>
                <w:sz w:val="21"/>
              </w:rPr>
              <w:t>1.</w:t>
            </w:r>
            <w:r>
              <w:rPr>
                <w:sz w:val="21"/>
              </w:rPr>
              <w:t>类型：高倍率阀控式密封铅酸蓄电池；壳体材料：ABS；额定电压：12V；额定容量(10小时率，C</w:t>
            </w:r>
            <w:r>
              <w:rPr>
                <w:sz w:val="21"/>
                <w:vertAlign w:val="subscript"/>
              </w:rPr>
              <w:t>10</w:t>
            </w:r>
            <w:r>
              <w:rPr>
                <w:sz w:val="21"/>
              </w:rPr>
              <w:t>)：≥200AH（终止电压1.80V/单体）;3小时率容量（C</w:t>
            </w:r>
            <w:r>
              <w:rPr>
                <w:sz w:val="21"/>
                <w:vertAlign w:val="subscript"/>
              </w:rPr>
              <w:t>3</w:t>
            </w:r>
            <w:r>
              <w:rPr>
                <w:sz w:val="21"/>
              </w:rPr>
              <w:t>）：≥0.85C</w:t>
            </w:r>
            <w:r>
              <w:rPr>
                <w:sz w:val="21"/>
                <w:vertAlign w:val="subscript"/>
              </w:rPr>
              <w:t>10</w:t>
            </w:r>
            <w:r>
              <w:rPr>
                <w:sz w:val="21"/>
              </w:rPr>
              <w:t>。提供产品彩页或用户手册等证明材料并盖投标人公章。</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▲2.供货时，生产日期应确保在三个月以内（投标时提供承诺，可参照“格式”中《承诺函》格式）。</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▲3.内阻≤3.5mΩ，内阻一致性（同组蓄电池内阻偏差）：≤5%（投标时提供承诺，可参照“格式”中《承诺函》格式）。</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4.</w:t>
            </w:r>
            <w:r>
              <w:rPr>
                <w:sz w:val="21"/>
              </w:rPr>
              <w:t>设计寿命：≥12年（25℃）；循环寿命：＞350次（40%DOD）。</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5.</w:t>
            </w:r>
            <w:r>
              <w:rPr>
                <w:sz w:val="21"/>
              </w:rPr>
              <w:t>阻燃等级： HB级（水平等级），V-0级（垂直级）。</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6.</w:t>
            </w:r>
            <w:r>
              <w:rPr>
                <w:sz w:val="21"/>
              </w:rPr>
              <w:t>防爆性能：充电过程中遇明火，内部不引燃、不引爆。</w:t>
            </w:r>
          </w:p>
        </w:tc>
      </w:tr>
      <w:tr>
        <w:tc>
          <w:tcPr>
            <w:tcW w:type="dxa" w:w="1324"/>
            <w:vMerge w:val="restart"/>
            <w:tcBorders>
              <w:top w:val="none" w:color="000000" w:sz="4"/>
              <w:left w:val="single" w:color="000000" w:sz="4"/>
              <w:bottom w:val="single" w:color="000000" w:sz="4"/>
              <w:right w:val="single" w:color="000000" w:sz="4"/>
            </w:tcBorders>
          </w:tcPr>
          <w:p>
            <w:pPr>
              <w:jc w:val="center"/>
            </w:pPr>
            <w:r>
              <w:rPr>
                <w:sz w:val="21"/>
              </w:rPr>
              <w:t>2.2</w:t>
            </w:r>
          </w:p>
          <w:p>
            <w:pPr>
              <w:jc w:val="center"/>
            </w:pPr>
            <w:r>
              <w:rPr>
                <w:sz w:val="21"/>
              </w:rPr>
              <w:t>辅件</w:t>
            </w:r>
          </w:p>
        </w:tc>
        <w:tc>
          <w:tcPr>
            <w:tcW w:type="dxa" w:w="6981"/>
            <w:tcBorders>
              <w:top w:val="none" w:color="000000" w:sz="4"/>
              <w:left w:val="none" w:color="000000" w:sz="4"/>
              <w:bottom w:val="single" w:color="000000" w:sz="4"/>
              <w:right w:val="single" w:color="000000" w:sz="4"/>
            </w:tcBorders>
          </w:tcPr>
          <w:p>
            <w:pPr>
              <w:jc w:val="both"/>
            </w:pPr>
            <w:r>
              <w:rPr>
                <w:sz w:val="21"/>
              </w:rPr>
              <w:t>1.</w:t>
            </w:r>
            <w:r>
              <w:rPr>
                <w:sz w:val="21"/>
              </w:rPr>
              <w:t>供应商应提供蓄电池安装、投运所需的所有配套材料、设备，包括但不限于：蓄电池连接线、蓄电池直流开关及开关柜、蓄电池架、极柱保护帽等。</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2.</w:t>
            </w:r>
            <w:r>
              <w:rPr>
                <w:sz w:val="21"/>
              </w:rPr>
              <w:t>蓄电池采用蓄电池架安装，4层结构，分三组布置，合计尺寸（深度×长度×高度，含电池组间过道）不超过1220mm×4500mm×1600mm。</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3.</w:t>
            </w:r>
            <w:r>
              <w:rPr>
                <w:sz w:val="21"/>
              </w:rPr>
              <w:t>蓄电池开关柜：配置成套电池开关柜，内含4个不低于800A的直流开关（每组电池配置1个独立开关，其余1个为备用），支持接入不少于4组电池，尺寸（深度×长度×高度）不超过1000mm×800mm×2000mm。</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4.</w:t>
            </w:r>
            <w:r>
              <w:rPr>
                <w:sz w:val="21"/>
              </w:rPr>
              <w:t>电池直流开关具有分励脱扣线圈，并支持以下功能：</w:t>
            </w:r>
          </w:p>
          <w:p>
            <w:pPr>
              <w:jc w:val="both"/>
            </w:pPr>
            <w:r>
              <w:rPr>
                <w:sz w:val="21"/>
              </w:rPr>
              <w:t>（1）短路保护和放电终止保护功能。当电池组线路发生短路或电池电压降低至放电终止电压时，电池开关自动断开。</w:t>
            </w:r>
          </w:p>
          <w:p>
            <w:pPr>
              <w:jc w:val="both"/>
            </w:pPr>
            <w:r>
              <w:rPr>
                <w:sz w:val="21"/>
              </w:rPr>
              <w:t>（2）支持UPS的EPO功能。当按下UPS控制面板上的EPO开关时，电池开关自动断开。</w:t>
            </w:r>
          </w:p>
          <w:p>
            <w:pPr>
              <w:jc w:val="both"/>
            </w:pPr>
            <w:r>
              <w:rPr>
                <w:sz w:val="21"/>
              </w:rPr>
              <w:t>（提供产品彩页或用户手册等证明材料并盖投标人公章）</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5.</w:t>
            </w:r>
            <w:r>
              <w:rPr>
                <w:sz w:val="21"/>
              </w:rPr>
              <w:t>蓄电池连接电缆/铜排需同时满足以下需求：</w:t>
            </w:r>
          </w:p>
          <w:p>
            <w:pPr>
              <w:jc w:val="both"/>
            </w:pPr>
            <w:r>
              <w:rPr>
                <w:sz w:val="21"/>
              </w:rPr>
              <w:t>（1）铜排、电缆等连接导体的安全载流量应不小于UPS处于电池放电模式下仅带2组电池满载输出（500kVA）时的最大工作电流。</w:t>
            </w:r>
          </w:p>
          <w:p>
            <w:pPr>
              <w:jc w:val="both"/>
            </w:pPr>
            <w:r>
              <w:rPr>
                <w:sz w:val="21"/>
              </w:rPr>
              <w:t>（2）相邻电池间采用符合国标的带护套铜排连接，铜排横截面积不小于40mm×5mm；</w:t>
            </w:r>
          </w:p>
          <w:p>
            <w:pPr>
              <w:jc w:val="both"/>
            </w:pPr>
            <w:r>
              <w:rPr>
                <w:sz w:val="21"/>
              </w:rPr>
              <w:t>（3）电池与独立电池开关间使用符合国标的阻燃YJV单芯铜芯电缆连接，正级、负极、中线性电缆线径均不小于2×185mm²（并线），且安全载流量不小于700A，1×185mm²电缆总长度不小于240米（数量为预估值，以现场实际测量为准）。</w:t>
            </w:r>
          </w:p>
          <w:p>
            <w:pPr>
              <w:jc w:val="both"/>
            </w:pPr>
            <w:r>
              <w:rPr>
                <w:sz w:val="21"/>
              </w:rPr>
              <w:t>（4）电池开关柜与UPS主机间使用符合国标的阻燃YJV单芯铜芯电缆连接，正级、负极、中线性电缆线径均不小于3×240mm（并线），投标人根据所投设备情况自行计算电缆长度。</w:t>
            </w:r>
          </w:p>
        </w:tc>
      </w:tr>
      <w:tr>
        <w:tc>
          <w:tcPr>
            <w:tcW w:type="dxa" w:w="1324"/>
            <w:vMerge w:val="restart"/>
            <w:tcBorders>
              <w:top w:val="none" w:color="000000" w:sz="4"/>
              <w:left w:val="single" w:color="000000" w:sz="4"/>
              <w:bottom w:val="single" w:color="000000" w:sz="4"/>
              <w:right w:val="single" w:color="000000" w:sz="4"/>
            </w:tcBorders>
          </w:tcPr>
          <w:p>
            <w:pPr>
              <w:jc w:val="center"/>
            </w:pPr>
            <w:r>
              <w:rPr>
                <w:sz w:val="21"/>
              </w:rPr>
              <w:t>2.3</w:t>
            </w:r>
          </w:p>
          <w:p>
            <w:pPr>
              <w:jc w:val="center"/>
            </w:pPr>
            <w:r>
              <w:rPr>
                <w:sz w:val="21"/>
              </w:rPr>
              <w:t>配套安装、施工、调试等服务</w:t>
            </w:r>
          </w:p>
        </w:tc>
        <w:tc>
          <w:tcPr>
            <w:tcW w:type="dxa" w:w="6981"/>
            <w:tcBorders>
              <w:top w:val="none" w:color="000000" w:sz="4"/>
              <w:left w:val="none" w:color="000000" w:sz="4"/>
              <w:bottom w:val="single" w:color="000000" w:sz="4"/>
              <w:right w:val="single" w:color="000000" w:sz="4"/>
            </w:tcBorders>
          </w:tcPr>
          <w:p>
            <w:pPr>
              <w:jc w:val="both"/>
            </w:pPr>
            <w:r>
              <w:rPr>
                <w:sz w:val="21"/>
              </w:rPr>
              <w:t>1</w:t>
            </w:r>
            <w:r>
              <w:rPr>
                <w:sz w:val="21"/>
              </w:rPr>
              <w:t>．项目含运输、装卸、搬运、安装、调试、试验、验收、投运等。</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2.</w:t>
            </w:r>
            <w:r>
              <w:rPr>
                <w:sz w:val="21"/>
              </w:rPr>
              <w:t>供货前，中标人应评估设备安装现场地面承重能力，若设备重量超过地面承重能力，中标人应负责进行地面承重加固或安装散力架，以达到承重要求。</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3.</w:t>
            </w:r>
            <w:r>
              <w:rPr>
                <w:sz w:val="21"/>
              </w:rPr>
              <w:t>空余或外露柜坑、电缆坑应用花纹钢板封盖，钢板厚度不小于3.0mm。</w:t>
            </w:r>
          </w:p>
        </w:tc>
      </w:tr>
    </w:tbl>
    <w:p>
      <w:pPr>
        <w:jc w:val="both"/>
      </w:pP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324"/>
        <w:gridCol w:w="6981"/>
      </w:tblGrid>
      <w:tr>
        <w:tc>
          <w:tcPr>
            <w:tcW w:type="dxa" w:w="8305"/>
            <w:gridSpan w:val="2"/>
            <w:tcBorders>
              <w:top w:val="single" w:color="000000" w:sz="4"/>
              <w:left w:val="single" w:color="000000" w:sz="4"/>
              <w:bottom w:val="single" w:color="000000" w:sz="4"/>
              <w:right w:val="single" w:color="000000" w:sz="4"/>
            </w:tcBorders>
          </w:tcPr>
          <w:p>
            <w:pPr>
              <w:jc w:val="center"/>
            </w:pPr>
            <w:r>
              <w:rPr>
                <w:b/>
                <w:sz w:val="21"/>
              </w:rPr>
              <w:t>3</w:t>
            </w:r>
            <w:r>
              <w:rPr>
                <w:b/>
                <w:sz w:val="21"/>
              </w:rPr>
              <w:t>蓄电池在线监测系统</w:t>
            </w:r>
          </w:p>
        </w:tc>
      </w:tr>
      <w:tr>
        <w:tc>
          <w:tcPr>
            <w:tcW w:type="dxa" w:w="1324"/>
            <w:vMerge w:val="restart"/>
            <w:tcBorders>
              <w:top w:val="none" w:color="000000" w:sz="4"/>
              <w:left w:val="single" w:color="000000" w:sz="4"/>
              <w:bottom w:val="single" w:color="000000" w:sz="4"/>
              <w:right w:val="single" w:color="000000" w:sz="4"/>
            </w:tcBorders>
          </w:tcPr>
          <w:p>
            <w:pPr>
              <w:jc w:val="center"/>
            </w:pPr>
            <w:r>
              <w:rPr>
                <w:sz w:val="21"/>
              </w:rPr>
              <w:t>3.1</w:t>
            </w:r>
          </w:p>
          <w:p>
            <w:pPr>
              <w:jc w:val="center"/>
            </w:pPr>
            <w:r>
              <w:rPr>
                <w:sz w:val="21"/>
              </w:rPr>
              <w:t>性能指标</w:t>
            </w:r>
          </w:p>
        </w:tc>
        <w:tc>
          <w:tcPr>
            <w:tcW w:type="dxa" w:w="6981"/>
            <w:tcBorders>
              <w:top w:val="none" w:color="000000" w:sz="4"/>
              <w:left w:val="none" w:color="000000" w:sz="4"/>
              <w:bottom w:val="single" w:color="000000" w:sz="4"/>
              <w:right w:val="single" w:color="000000" w:sz="4"/>
            </w:tcBorders>
          </w:tcPr>
          <w:p>
            <w:pPr>
              <w:jc w:val="both"/>
            </w:pPr>
            <w:r>
              <w:rPr>
                <w:sz w:val="21"/>
              </w:rPr>
              <w:t>1.</w:t>
            </w:r>
            <w:r>
              <w:rPr>
                <w:sz w:val="21"/>
              </w:rPr>
              <w:t>可监测包括但不限于以下参数：每节蓄电池的电压、每节蓄电池的负极温度、每节蓄电池的内阻、蓄电池组的组压和充放电电流。</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2.</w:t>
            </w:r>
            <w:r>
              <w:rPr>
                <w:sz w:val="21"/>
              </w:rPr>
              <w:t>可监测不少于6组蓄电池组，每组蓄电池不少于300节，蓄电池总数不少于900节。</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3.</w:t>
            </w:r>
            <w:r>
              <w:rPr>
                <w:sz w:val="21"/>
              </w:rPr>
              <w:t>可用于监测额定电压为2V、6V、12V，单节容量上限≥250AH的蓄电池。提供产品彩页或用户手册等证明材料并盖投标人公章。</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▲4.系统具备自动获取每节蓄电池的基准内阻值并固化的功能，可通过内阻横向与纵向分析比较来自动判断蓄电池好坏的功能。提供产品彩页或用户手册等证明材料并盖投标人公章。</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5.</w:t>
            </w:r>
            <w:r>
              <w:rPr>
                <w:sz w:val="21"/>
              </w:rPr>
              <w:t>带有报警干接点，具备监测数据超限自动声光报警功能。</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6.</w:t>
            </w:r>
            <w:r>
              <w:rPr>
                <w:sz w:val="21"/>
              </w:rPr>
              <w:t>具备ＬＣＤ显示屏，显示屏屏幕≥７寸。</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7.</w:t>
            </w:r>
            <w:r>
              <w:rPr>
                <w:sz w:val="21"/>
              </w:rPr>
              <w:t>具备实时数据显示和历史数据保存、查询功能，可保存数据量不少于：告警事件100条、内阻数据1年、组压和电流1个月、放电记录每组蓄电池1次 。</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8.</w:t>
            </w:r>
            <w:r>
              <w:rPr>
                <w:sz w:val="21"/>
              </w:rPr>
              <w:t>蓄电池组处在放电时，应能自动记录放电曲线及已放容量，可在LCD显示屏上查询。</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9.</w:t>
            </w:r>
            <w:r>
              <w:rPr>
                <w:sz w:val="21"/>
              </w:rPr>
              <w:t>具备事件记录功能，包括但不限于设备启停、告警、内阻测试等事件记录，可在LCD显示屏上查询。</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▲10.通讯：具备RS485口、网口，同时支持MODBUS/RTU、MODBUS/TCP、SNMP、TCP/IP协议。提供产品彩页或用户手册等证明材料并盖投标人公章。</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vAlign w:val="top"/>
          </w:tcPr>
          <w:p>
            <w:pPr>
              <w:jc w:val="both"/>
            </w:pPr>
            <w:r>
              <w:rPr>
                <w:sz w:val="21"/>
              </w:rPr>
              <w:t>11.</w:t>
            </w:r>
            <w:r>
              <w:rPr>
                <w:sz w:val="21"/>
              </w:rPr>
              <w:t>带有滤波电路，能够过滤UPS产生的2次、4次与6次等纹波，防止干扰模块正常工作。提供产品彩页或用户手册等证明材料并盖投标人公章。</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vAlign w:val="top"/>
          </w:tcPr>
          <w:p>
            <w:pPr>
              <w:jc w:val="both"/>
            </w:pPr>
            <w:r>
              <w:rPr>
                <w:sz w:val="21"/>
              </w:rPr>
              <w:t>12.</w:t>
            </w:r>
            <w:r>
              <w:rPr>
                <w:sz w:val="21"/>
              </w:rPr>
              <w:t>采用B/S构架，通过主流网页浏览器即可查询监测数据。</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13.</w:t>
            </w:r>
            <w:r>
              <w:rPr>
                <w:sz w:val="21"/>
              </w:rPr>
              <w:t>采用可视化界面设计，利用曲线、柱状图等直观的展示出任何时间段的数据变化趋势，应能完整的记录放电事件及整组与每节的放电曲线。</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▲14.后台软件至少能生成以下曲线：蓄电池组的总电压电流变化曲线、所有蓄电池的单体电压充放电曲线、蓄电池内阻的相对变化曲线。提供产品彩页或用户手册等证明材料并盖投标人公章。</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15.</w:t>
            </w:r>
            <w:r>
              <w:rPr>
                <w:sz w:val="21"/>
              </w:rPr>
              <w:t>所有数据及报告可以直接打印或以EXCEL的方式导出。</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16.</w:t>
            </w:r>
            <w:r>
              <w:rPr>
                <w:sz w:val="21"/>
              </w:rPr>
              <w:t>能对多个蓄电池数据曲线显示在同一图上进行相互比较。</w:t>
            </w:r>
          </w:p>
        </w:tc>
      </w:tr>
    </w:tbl>
    <w:p>
      <w:pPr>
        <w:jc w:val="both"/>
      </w:pP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324"/>
        <w:gridCol w:w="6981"/>
      </w:tblGrid>
      <w:tr>
        <w:tc>
          <w:tcPr>
            <w:tcW w:type="dxa" w:w="8305"/>
            <w:gridSpan w:val="2"/>
            <w:tcBorders>
              <w:top w:val="single" w:color="000000" w:sz="4"/>
              <w:left w:val="single" w:color="000000" w:sz="4"/>
              <w:bottom w:val="single" w:color="000000" w:sz="4"/>
              <w:right w:val="single" w:color="000000" w:sz="4"/>
            </w:tcBorders>
          </w:tcPr>
          <w:p>
            <w:pPr>
              <w:jc w:val="center"/>
            </w:pPr>
            <w:r>
              <w:rPr>
                <w:b/>
                <w:sz w:val="21"/>
              </w:rPr>
              <w:t>4</w:t>
            </w:r>
            <w:r>
              <w:rPr>
                <w:b/>
                <w:sz w:val="21"/>
              </w:rPr>
              <w:t>新风系统</w:t>
            </w:r>
          </w:p>
        </w:tc>
      </w:tr>
      <w:tr>
        <w:tc>
          <w:tcPr>
            <w:tcW w:type="dxa" w:w="1324"/>
            <w:vMerge w:val="restart"/>
            <w:tcBorders>
              <w:top w:val="none" w:color="000000" w:sz="4"/>
              <w:left w:val="single" w:color="000000" w:sz="4"/>
              <w:bottom w:val="single" w:color="000000" w:sz="4"/>
              <w:right w:val="single" w:color="000000" w:sz="4"/>
            </w:tcBorders>
          </w:tcPr>
          <w:p>
            <w:pPr>
              <w:jc w:val="center"/>
            </w:pPr>
            <w:r>
              <w:rPr>
                <w:sz w:val="21"/>
              </w:rPr>
              <w:t>4.1</w:t>
            </w:r>
          </w:p>
          <w:p>
            <w:pPr>
              <w:jc w:val="center"/>
            </w:pPr>
            <w:r>
              <w:rPr>
                <w:sz w:val="21"/>
              </w:rPr>
              <w:t>新风机性能指标</w:t>
            </w:r>
          </w:p>
        </w:tc>
        <w:tc>
          <w:tcPr>
            <w:tcW w:type="dxa" w:w="6981"/>
            <w:tcBorders>
              <w:top w:val="none" w:color="000000" w:sz="4"/>
              <w:left w:val="none" w:color="000000" w:sz="4"/>
              <w:bottom w:val="single" w:color="000000" w:sz="4"/>
              <w:right w:val="single" w:color="000000" w:sz="4"/>
            </w:tcBorders>
          </w:tcPr>
          <w:p>
            <w:pPr>
              <w:jc w:val="both"/>
            </w:pPr>
            <w:r>
              <w:rPr>
                <w:sz w:val="21"/>
              </w:rPr>
              <w:t>★1.送风量/排风量：≥350m</w:t>
            </w:r>
            <w:r>
              <w:rPr>
                <w:sz w:val="21"/>
                <w:vertAlign w:val="superscript"/>
              </w:rPr>
              <w:t>3</w:t>
            </w:r>
            <w:r>
              <w:rPr>
                <w:sz w:val="21"/>
              </w:rPr>
              <w:t>/h，具备全热交换器，具备RS485通讯口及公开的通讯协议，可远程控制。提供彩页或说明书等证明材料并加盖投标人公章。</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▲2.冷量回收效率≥62%，热量回收效率≥71%；PM2.5过滤效率≥99%。提供彩页或说明书等证明材料并加盖投标人公章。</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3.</w:t>
            </w:r>
            <w:r>
              <w:rPr>
                <w:sz w:val="21"/>
              </w:rPr>
              <w:t>采用直流电机，风量档位可调且不少于3档。</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4.</w:t>
            </w:r>
            <w:r>
              <w:rPr>
                <w:sz w:val="21"/>
              </w:rPr>
              <w:t>距离风口1米处噪音≤45dB。</w:t>
            </w:r>
          </w:p>
        </w:tc>
      </w:tr>
      <w:tr>
        <w:tc>
          <w:tcPr>
            <w:tcW w:type="dxa" w:w="1324"/>
            <w:vMerge w:val="restart"/>
            <w:tcBorders>
              <w:top w:val="none" w:color="000000" w:sz="4"/>
              <w:left w:val="single" w:color="000000" w:sz="4"/>
              <w:bottom w:val="single" w:color="000000" w:sz="4"/>
              <w:right w:val="single" w:color="000000" w:sz="4"/>
            </w:tcBorders>
          </w:tcPr>
          <w:p>
            <w:pPr>
              <w:jc w:val="center"/>
            </w:pPr>
            <w:r>
              <w:rPr>
                <w:sz w:val="21"/>
              </w:rPr>
              <w:t>4.2</w:t>
            </w:r>
          </w:p>
          <w:p>
            <w:pPr>
              <w:jc w:val="center"/>
            </w:pPr>
            <w:r>
              <w:rPr>
                <w:sz w:val="21"/>
              </w:rPr>
              <w:t>配件及安装</w:t>
            </w:r>
          </w:p>
        </w:tc>
        <w:tc>
          <w:tcPr>
            <w:tcW w:type="dxa" w:w="6981"/>
            <w:tcBorders>
              <w:top w:val="none" w:color="000000" w:sz="4"/>
              <w:left w:val="none" w:color="000000" w:sz="4"/>
              <w:bottom w:val="single" w:color="000000" w:sz="4"/>
              <w:right w:val="single" w:color="000000" w:sz="4"/>
            </w:tcBorders>
          </w:tcPr>
          <w:p>
            <w:pPr>
              <w:jc w:val="both"/>
            </w:pPr>
            <w:r>
              <w:rPr>
                <w:sz w:val="21"/>
              </w:rPr>
              <w:t>1.</w:t>
            </w:r>
            <w:r>
              <w:rPr>
                <w:sz w:val="21"/>
              </w:rPr>
              <w:t>包括但不限于：PVC风管、防烟防火阀，柔性软风管阀门、散流器、防雨百叶等系统安装、投运所需的所有配件及设备。</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2.</w:t>
            </w:r>
            <w:r>
              <w:rPr>
                <w:sz w:val="21"/>
              </w:rPr>
              <w:t>含设备搬运、安装、调试等，包括原有天花拆卸及恢复原样。</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3.</w:t>
            </w:r>
            <w:r>
              <w:rPr>
                <w:sz w:val="21"/>
              </w:rPr>
              <w:t>吊装在配电房天花上部。</w:t>
            </w:r>
          </w:p>
        </w:tc>
      </w:tr>
    </w:tbl>
    <w:p>
      <w:pPr>
        <w:jc w:val="both"/>
      </w:pP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324"/>
        <w:gridCol w:w="6981"/>
      </w:tblGrid>
      <w:tr>
        <w:tc>
          <w:tcPr>
            <w:tcW w:type="dxa" w:w="8305"/>
            <w:gridSpan w:val="2"/>
            <w:tcBorders>
              <w:top w:val="single" w:color="000000" w:sz="4"/>
              <w:left w:val="single" w:color="000000" w:sz="4"/>
              <w:bottom w:val="single" w:color="000000" w:sz="4"/>
              <w:right w:val="single" w:color="000000" w:sz="4"/>
            </w:tcBorders>
          </w:tcPr>
          <w:p>
            <w:pPr>
              <w:jc w:val="center"/>
            </w:pPr>
            <w:r>
              <w:rPr>
                <w:b/>
                <w:sz w:val="21"/>
              </w:rPr>
              <w:t>5</w:t>
            </w:r>
            <w:r>
              <w:rPr>
                <w:b/>
                <w:sz w:val="21"/>
              </w:rPr>
              <w:t>动力环境监控系统</w:t>
            </w:r>
          </w:p>
        </w:tc>
      </w:tr>
      <w:tr>
        <w:tc>
          <w:tcPr>
            <w:tcW w:type="dxa" w:w="1324"/>
            <w:tcBorders>
              <w:top w:val="none" w:color="000000" w:sz="4"/>
              <w:left w:val="single" w:color="000000" w:sz="4"/>
              <w:bottom w:val="single" w:color="000000" w:sz="4"/>
              <w:right w:val="single" w:color="000000" w:sz="4"/>
            </w:tcBorders>
          </w:tcPr>
          <w:p>
            <w:pPr>
              <w:jc w:val="center"/>
            </w:pPr>
            <w:r>
              <w:rPr>
                <w:sz w:val="21"/>
              </w:rPr>
              <w:t>5.1</w:t>
            </w:r>
          </w:p>
          <w:p>
            <w:pPr>
              <w:jc w:val="center"/>
            </w:pPr>
            <w:r>
              <w:rPr>
                <w:sz w:val="21"/>
              </w:rPr>
              <w:t>监控对象</w:t>
            </w:r>
          </w:p>
        </w:tc>
        <w:tc>
          <w:tcPr>
            <w:tcW w:type="dxa" w:w="6981"/>
            <w:tcBorders>
              <w:top w:val="none" w:color="000000" w:sz="4"/>
              <w:left w:val="none" w:color="000000" w:sz="4"/>
              <w:bottom w:val="single" w:color="000000" w:sz="4"/>
              <w:right w:val="single" w:color="000000" w:sz="4"/>
            </w:tcBorders>
          </w:tcPr>
          <w:p>
            <w:pPr>
              <w:jc w:val="left"/>
            </w:pPr>
            <w:r>
              <w:rPr>
                <w:color w:val="000000"/>
                <w:sz w:val="24"/>
              </w:rPr>
              <w:t>★1.可对不少于以下种类、数量的设备及测点进行实时监测/控（投标时提供承诺，可参照“格式”中《承诺函》格式）：</w:t>
            </w:r>
          </w:p>
          <w:p>
            <w:pPr>
              <w:jc w:val="left"/>
            </w:pPr>
            <w:r>
              <w:rPr>
                <w:color w:val="000000"/>
                <w:sz w:val="24"/>
              </w:rPr>
              <w:t>（1）加装智能电量仪（包括但不限于电量仪及与之配套的互感器、断路器开关量辅助触点等配件），对位于低压一级配电房的27个抽屉式380V塑壳开关、位于发射机房备机配电箱的3个固定式380V塑壳开关和位于一号风机房的1个固定式380V塑壳开关进行监测（上述塑壳开关均为施耐德NS/NSX系列），电量仪应具备以下数据测量功能，包括但不限于：三相电流、三相电压、功率、谐波、电度、分合闸开关量、故障脱扣开关量等；</w:t>
            </w:r>
          </w:p>
          <w:p>
            <w:pPr>
              <w:jc w:val="left"/>
            </w:pPr>
            <w:r>
              <w:rPr>
                <w:color w:val="000000"/>
                <w:sz w:val="24"/>
              </w:rPr>
              <w:t>（2）通过已有智能电量仪（安科瑞PZ系列），对分布在一号风机房、低压二级配电房和发射机房的51个380V塑壳开关和6个配电柜母线排的三相电压进行监测；</w:t>
            </w:r>
          </w:p>
          <w:p>
            <w:pPr>
              <w:jc w:val="left"/>
            </w:pPr>
            <w:r>
              <w:rPr>
                <w:color w:val="000000"/>
                <w:sz w:val="24"/>
              </w:rPr>
              <w:t>（3）通过框架开关（施耐德MTZ系列）自带的控制单元，对位于低压一级配电房的10个框架开关进行监控；</w:t>
            </w:r>
          </w:p>
          <w:p>
            <w:pPr>
              <w:jc w:val="left"/>
            </w:pPr>
            <w:r>
              <w:rPr>
                <w:color w:val="000000"/>
                <w:sz w:val="24"/>
              </w:rPr>
              <w:t>（4）通过ATS（2台施耐德WATSN系列、1台施耐德ATMT系列）自带的控制单元（需加装通讯模块），对位于低压二级配电房的3台ATS双电源自动转换开关进行监控；</w:t>
            </w:r>
          </w:p>
          <w:p>
            <w:pPr>
              <w:jc w:val="left"/>
            </w:pPr>
            <w:r>
              <w:rPr>
                <w:color w:val="000000"/>
                <w:sz w:val="24"/>
              </w:rPr>
              <w:t>（5）更换带通讯功能的柴油发电机组控制器，对位于发电机房的1台柴油发电机组进行监控；新装控制器应与已有发电机组（型号：LEROY SOMER 49.1 S4 C6/4 515kW）兼容性好，功能和性能不差于原有控制器（型号：DST4600，无通讯口），不改变低压配电系统原有自动控制逻辑，具备包括但不限于水温、排气温度、油温、油压、转速、电流等超限报警、保护功能，并具备远程启停发电机功能；</w:t>
            </w:r>
          </w:p>
          <w:p>
            <w:pPr>
              <w:jc w:val="left"/>
            </w:pPr>
            <w:r>
              <w:rPr>
                <w:color w:val="000000"/>
                <w:sz w:val="24"/>
              </w:rPr>
              <w:t>（6）更换带通讯功能的干式变压器温湿度控制器，对位于变压器房的2台干式变压器进行监测；新装控制器性能及功能不差于原有控制器（型号：番禺天顺电工器材公司TTC-303,无通讯口），并具备以下功能，包括但不限于：三相铁芯温度监测、变压器内部湿度监测、变压器内部风机控制、风机状态监测、变压器箱开门信号（作用于10kV断路器跳闸）监测；</w:t>
            </w:r>
          </w:p>
          <w:p>
            <w:pPr>
              <w:jc w:val="left"/>
            </w:pPr>
            <w:r>
              <w:rPr>
                <w:color w:val="000000"/>
                <w:sz w:val="24"/>
              </w:rPr>
              <w:t>（7）加装采集设备，对位于高压配电房的2台10kV高压进线开关（现有微机保护单元型号：MERLIN GERIN sepam 2000 S26 T09 A，无通讯口）进行监测，包括但不限于三相进线电压、三相电流、频率、开关分合状态、储能状态、远程/就地控制状态等；</w:t>
            </w:r>
          </w:p>
          <w:p>
            <w:pPr>
              <w:jc w:val="left"/>
            </w:pPr>
            <w:r>
              <w:rPr>
                <w:color w:val="000000"/>
                <w:sz w:val="24"/>
              </w:rPr>
              <w:t>（8）加装采集设备，对位于高压配电房的1台直流屏进行监测，包括但不限于交流输入电压、交流输入电流、控母输出电压（两回路）、合母输出电压（两回路）、控制器报警信号等；</w:t>
            </w:r>
          </w:p>
          <w:p>
            <w:pPr>
              <w:jc w:val="left"/>
            </w:pPr>
            <w:r>
              <w:rPr>
                <w:color w:val="000000"/>
                <w:sz w:val="24"/>
              </w:rPr>
              <w:t>（9）对位于低压二级配电房的1台UPS进行监测，包括但不限于UPS主机运行状态及参数、事件数据、报警数据、UPS主路输入开关状态、旁路输出开关状态、UPS输出开关状态、蓄电池组各直流开关状态等；</w:t>
            </w:r>
          </w:p>
          <w:p>
            <w:pPr>
              <w:jc w:val="left"/>
            </w:pPr>
            <w:r>
              <w:rPr>
                <w:color w:val="000000"/>
                <w:sz w:val="24"/>
              </w:rPr>
              <w:t>（10）通过本项目采购的蓄电池在线监测系统，对位于低压二级配电房的所有UPS蓄电池进行监测，包括但不限于电池在线监测系统所有数据、曲线、存储事件等；</w:t>
            </w:r>
          </w:p>
          <w:p>
            <w:pPr>
              <w:jc w:val="left"/>
            </w:pPr>
            <w:r>
              <w:rPr>
                <w:color w:val="000000"/>
                <w:sz w:val="24"/>
              </w:rPr>
              <w:t>（</w:t>
            </w:r>
            <w:r>
              <w:rPr>
                <w:color w:val="000000"/>
                <w:sz w:val="24"/>
              </w:rPr>
              <w:t>11</w:t>
            </w:r>
            <w:r>
              <w:rPr>
                <w:color w:val="000000"/>
                <w:sz w:val="24"/>
              </w:rPr>
              <w:t>）</w:t>
            </w:r>
            <w:r>
              <w:rPr>
                <w:color w:val="000000"/>
                <w:sz w:val="24"/>
              </w:rPr>
              <w:t>加装油位传感器，对1个地面发电机用柴油箱和1个地下柴油库液位进行监测；</w:t>
            </w:r>
          </w:p>
          <w:p>
            <w:pPr>
              <w:jc w:val="left"/>
            </w:pPr>
            <w:r>
              <w:rPr>
                <w:color w:val="000000"/>
                <w:sz w:val="24"/>
              </w:rPr>
              <w:t>（</w:t>
            </w:r>
            <w:r>
              <w:rPr>
                <w:color w:val="000000"/>
                <w:sz w:val="24"/>
              </w:rPr>
              <w:t>12</w:t>
            </w:r>
            <w:r>
              <w:rPr>
                <w:color w:val="000000"/>
                <w:sz w:val="24"/>
              </w:rPr>
              <w:t>）</w:t>
            </w:r>
            <w:r>
              <w:rPr>
                <w:color w:val="000000"/>
                <w:sz w:val="24"/>
              </w:rPr>
              <w:t>加装10个水浸传感器，对变压器房、高压配电房、发电机房、低压二级配电房、发电机日用柴油箱连廊的水浸情况进行监测；</w:t>
            </w:r>
          </w:p>
          <w:p>
            <w:pPr>
              <w:jc w:val="left"/>
            </w:pPr>
            <w:r>
              <w:rPr>
                <w:color w:val="000000"/>
                <w:sz w:val="24"/>
              </w:rPr>
              <w:t>（</w:t>
            </w:r>
            <w:r>
              <w:rPr>
                <w:color w:val="000000"/>
                <w:sz w:val="24"/>
              </w:rPr>
              <w:t>13</w:t>
            </w:r>
            <w:r>
              <w:rPr>
                <w:color w:val="000000"/>
                <w:sz w:val="24"/>
              </w:rPr>
              <w:t>）</w:t>
            </w:r>
            <w:r>
              <w:rPr>
                <w:color w:val="000000"/>
                <w:sz w:val="24"/>
              </w:rPr>
              <w:t>加装11个烟雾感应器，对变压器房、高压配电房、发电机房、动力机房值班室、低压一级配电房、低压二级配电房、发射机房进行火警监测；</w:t>
            </w:r>
          </w:p>
          <w:p>
            <w:pPr>
              <w:jc w:val="left"/>
            </w:pPr>
            <w:r>
              <w:rPr>
                <w:color w:val="000000"/>
                <w:sz w:val="24"/>
              </w:rPr>
              <w:t>（</w:t>
            </w:r>
            <w:r>
              <w:rPr>
                <w:color w:val="000000"/>
                <w:sz w:val="24"/>
              </w:rPr>
              <w:t>14</w:t>
            </w:r>
            <w:r>
              <w:rPr>
                <w:color w:val="000000"/>
                <w:sz w:val="24"/>
              </w:rPr>
              <w:t>）</w:t>
            </w:r>
            <w:r>
              <w:rPr>
                <w:color w:val="000000"/>
                <w:sz w:val="24"/>
              </w:rPr>
              <w:t>加装2个温湿度传感器，对低压二级配电房、发射机房的温湿度进行监测；</w:t>
            </w:r>
          </w:p>
          <w:p>
            <w:pPr>
              <w:jc w:val="left"/>
            </w:pPr>
            <w:r>
              <w:rPr>
                <w:color w:val="000000"/>
                <w:sz w:val="24"/>
              </w:rPr>
              <w:t>（</w:t>
            </w:r>
            <w:r>
              <w:rPr>
                <w:color w:val="000000"/>
                <w:sz w:val="24"/>
              </w:rPr>
              <w:t>15</w:t>
            </w:r>
            <w:r>
              <w:rPr>
                <w:color w:val="000000"/>
                <w:sz w:val="24"/>
              </w:rPr>
              <w:t>）</w:t>
            </w:r>
            <w:r>
              <w:rPr>
                <w:color w:val="000000"/>
                <w:sz w:val="24"/>
              </w:rPr>
              <w:t>通过原有的5个烟雾传感器（带485通讯口），对变压器房、高压配电房、工具房、发电机房、低压一级配电房进行火警监测；</w:t>
            </w:r>
          </w:p>
          <w:p>
            <w:pPr>
              <w:jc w:val="left"/>
            </w:pPr>
            <w:r>
              <w:rPr>
                <w:color w:val="000000"/>
                <w:sz w:val="24"/>
              </w:rPr>
              <w:t>（</w:t>
            </w:r>
            <w:r>
              <w:rPr>
                <w:color w:val="000000"/>
                <w:sz w:val="24"/>
              </w:rPr>
              <w:t>16</w:t>
            </w:r>
            <w:r>
              <w:rPr>
                <w:color w:val="000000"/>
                <w:sz w:val="24"/>
              </w:rPr>
              <w:t>）</w:t>
            </w:r>
            <w:r>
              <w:rPr>
                <w:color w:val="000000"/>
                <w:sz w:val="24"/>
              </w:rPr>
              <w:t>通过原有的4个温湿度传感器，对变压器房、高压配电房、发电机房、低压一级配电房的温湿度进行监测；</w:t>
            </w:r>
          </w:p>
          <w:p>
            <w:pPr>
              <w:jc w:val="left"/>
            </w:pPr>
            <w:r>
              <w:rPr>
                <w:color w:val="000000"/>
                <w:sz w:val="24"/>
              </w:rPr>
              <w:t>（</w:t>
            </w:r>
            <w:r>
              <w:rPr>
                <w:color w:val="000000"/>
                <w:sz w:val="24"/>
              </w:rPr>
              <w:t>17</w:t>
            </w:r>
            <w:r>
              <w:rPr>
                <w:color w:val="000000"/>
                <w:sz w:val="24"/>
              </w:rPr>
              <w:t>）</w:t>
            </w:r>
            <w:r>
              <w:rPr>
                <w:color w:val="000000"/>
                <w:sz w:val="24"/>
              </w:rPr>
              <w:t>通过已有的4个水位传感器、1个智能水表对4个水池和一路自来水总管流量进行监测；</w:t>
            </w:r>
          </w:p>
          <w:p>
            <w:pPr>
              <w:jc w:val="left"/>
            </w:pPr>
            <w:r>
              <w:rPr>
                <w:color w:val="000000"/>
                <w:sz w:val="24"/>
              </w:rPr>
              <w:t>（</w:t>
            </w:r>
            <w:r>
              <w:rPr>
                <w:color w:val="000000"/>
                <w:sz w:val="24"/>
              </w:rPr>
              <w:t>18</w:t>
            </w:r>
            <w:r>
              <w:rPr>
                <w:color w:val="000000"/>
                <w:sz w:val="24"/>
              </w:rPr>
              <w:t>）</w:t>
            </w:r>
            <w:r>
              <w:rPr>
                <w:color w:val="000000"/>
                <w:sz w:val="24"/>
              </w:rPr>
              <w:t>通过原有的31个视频摄像头，对低压二级配电房、动力楼及周边区域进行视频监测，视频需接入动力环境监控系统，同时接入发射机房值班室和动力机房值班室的硬盘录像机，若原有通道不足，投标人需对录像机、交换机等进行更换；</w:t>
            </w:r>
          </w:p>
          <w:p>
            <w:pPr>
              <w:jc w:val="left"/>
            </w:pPr>
            <w:r>
              <w:rPr>
                <w:color w:val="000000"/>
                <w:sz w:val="24"/>
              </w:rPr>
              <w:t>（</w:t>
            </w:r>
            <w:r>
              <w:rPr>
                <w:color w:val="000000"/>
                <w:sz w:val="24"/>
              </w:rPr>
              <w:t>19</w:t>
            </w:r>
            <w:r>
              <w:rPr>
                <w:color w:val="000000"/>
                <w:sz w:val="24"/>
              </w:rPr>
              <w:t>）</w:t>
            </w:r>
            <w:r>
              <w:rPr>
                <w:color w:val="000000"/>
                <w:sz w:val="24"/>
              </w:rPr>
              <w:t>更换低压二级配电房门禁系统，对低压二级配电房的2个门禁进行监测；</w:t>
            </w:r>
          </w:p>
          <w:p>
            <w:pPr>
              <w:jc w:val="left"/>
            </w:pPr>
            <w:r>
              <w:rPr>
                <w:sz w:val="21"/>
              </w:rPr>
              <w:t>（</w:t>
            </w:r>
            <w:r>
              <w:rPr>
                <w:sz w:val="21"/>
              </w:rPr>
              <w:t>20</w:t>
            </w:r>
            <w:r>
              <w:rPr>
                <w:sz w:val="21"/>
              </w:rPr>
              <w:t>）</w:t>
            </w:r>
            <w:r>
              <w:rPr>
                <w:sz w:val="21"/>
              </w:rPr>
              <w:t>对低压二级配电房的1套新风系统、2台大金柜式空调进行监控</w:t>
            </w:r>
            <w:r>
              <w:rPr>
                <w:sz w:val="21"/>
              </w:rPr>
              <w:t>；</w:t>
            </w:r>
          </w:p>
          <w:p>
            <w:pPr>
              <w:jc w:val="left"/>
            </w:pPr>
            <w:r>
              <w:rPr>
                <w:sz w:val="21"/>
              </w:rPr>
              <w:t>（21）对低压一级配电房的1台有源滤波柜进行监测（带485通讯口）。</w:t>
            </w:r>
          </w:p>
        </w:tc>
      </w:tr>
      <w:tr>
        <w:tc>
          <w:tcPr>
            <w:tcW w:type="dxa" w:w="1324"/>
            <w:vMerge w:val="restart"/>
            <w:tcBorders>
              <w:top w:val="none" w:color="000000" w:sz="4"/>
              <w:left w:val="single" w:color="000000" w:sz="4"/>
              <w:bottom w:val="single" w:color="000000" w:sz="4"/>
              <w:right w:val="single" w:color="000000" w:sz="4"/>
            </w:tcBorders>
          </w:tcPr>
          <w:p>
            <w:pPr>
              <w:jc w:val="center"/>
            </w:pPr>
            <w:r>
              <w:rPr>
                <w:sz w:val="21"/>
              </w:rPr>
              <w:t>5.2</w:t>
            </w:r>
          </w:p>
          <w:p>
            <w:pPr>
              <w:jc w:val="center"/>
            </w:pPr>
            <w:r>
              <w:rPr>
                <w:sz w:val="21"/>
              </w:rPr>
              <w:t>监控终端</w:t>
            </w:r>
          </w:p>
        </w:tc>
        <w:tc>
          <w:tcPr>
            <w:tcW w:type="dxa" w:w="6981"/>
            <w:tcBorders>
              <w:top w:val="none" w:color="000000" w:sz="4"/>
              <w:left w:val="none" w:color="000000" w:sz="4"/>
              <w:bottom w:val="single" w:color="000000" w:sz="4"/>
              <w:right w:val="single" w:color="000000" w:sz="4"/>
            </w:tcBorders>
          </w:tcPr>
          <w:p>
            <w:pPr>
              <w:jc w:val="left"/>
            </w:pPr>
            <w:r>
              <w:rPr>
                <w:color w:val="000000"/>
                <w:sz w:val="24"/>
              </w:rPr>
              <w:t>★1.配置两台监控终端（含显示器），分别安装在发射机房值班室和动力机房值班室，连接至监控系统中心服务器，监控终端可对动力环境监控系统进行独立操作（投标时提供承诺，可参照“格式”中《承诺函》格式）。</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left"/>
            </w:pPr>
            <w:r>
              <w:rPr>
                <w:color w:val="000000"/>
                <w:sz w:val="24"/>
              </w:rPr>
              <w:t>▲</w:t>
            </w:r>
            <w:r>
              <w:rPr>
                <w:color w:val="000000"/>
                <w:sz w:val="24"/>
              </w:rPr>
              <w:t>2.</w:t>
            </w:r>
            <w:r>
              <w:rPr>
                <w:color w:val="000000"/>
                <w:sz w:val="24"/>
              </w:rPr>
              <w:t>监控终端#1不低于以下配置：一体机；3.0G主频、9M缓存、6核CPU；8G内存；500G固态硬盘+500G机械硬盘；2G独立显存显卡；19寸显示屏；USB键鼠；预装正版Windows10 Pro 64位系统。</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left"/>
            </w:pPr>
            <w:r>
              <w:rPr>
                <w:color w:val="000000"/>
                <w:sz w:val="24"/>
              </w:rPr>
              <w:t>▲</w:t>
            </w:r>
            <w:r>
              <w:rPr>
                <w:color w:val="000000"/>
                <w:sz w:val="24"/>
              </w:rPr>
              <w:t>3.</w:t>
            </w:r>
            <w:r>
              <w:rPr>
                <w:color w:val="000000"/>
                <w:sz w:val="24"/>
              </w:rPr>
              <w:t>监控终端#2不低于以下配置：3.0G主频、9M缓存、6核CPU；8G内存；500G固态硬盘+500G机械硬盘；2G独立显存显卡；23寸显示器；USB键鼠；400W电源；预装正版Windows10 Pro 64位系统。</w:t>
            </w:r>
          </w:p>
        </w:tc>
      </w:tr>
      <w:tr>
        <w:tc>
          <w:tcPr>
            <w:tcW w:type="dxa" w:w="1324"/>
            <w:tcBorders>
              <w:top w:val="none" w:color="000000" w:sz="4"/>
              <w:left w:val="single" w:color="000000" w:sz="4"/>
              <w:bottom w:val="single" w:color="000000" w:sz="4"/>
              <w:right w:val="single" w:color="000000" w:sz="4"/>
            </w:tcBorders>
          </w:tcPr>
          <w:p>
            <w:pPr>
              <w:jc w:val="center"/>
            </w:pPr>
            <w:r>
              <w:rPr>
                <w:sz w:val="21"/>
              </w:rPr>
              <w:t>5.3</w:t>
            </w:r>
          </w:p>
          <w:p>
            <w:pPr>
              <w:jc w:val="center"/>
            </w:pPr>
            <w:r>
              <w:rPr>
                <w:sz w:val="21"/>
              </w:rPr>
              <w:t>监控系统中心服务器</w:t>
            </w:r>
          </w:p>
        </w:tc>
        <w:tc>
          <w:tcPr>
            <w:tcW w:type="dxa" w:w="6981"/>
            <w:tcBorders>
              <w:top w:val="none" w:color="000000" w:sz="4"/>
              <w:left w:val="none" w:color="000000" w:sz="4"/>
              <w:bottom w:val="single" w:color="000000" w:sz="4"/>
              <w:right w:val="single" w:color="000000" w:sz="4"/>
            </w:tcBorders>
          </w:tcPr>
          <w:p>
            <w:pPr>
              <w:jc w:val="left"/>
            </w:pPr>
            <w:r>
              <w:rPr>
                <w:color w:val="000000"/>
                <w:sz w:val="24"/>
              </w:rPr>
              <w:t>▲</w:t>
            </w:r>
            <w:r>
              <w:rPr>
                <w:color w:val="000000"/>
                <w:sz w:val="24"/>
              </w:rPr>
              <w:t>1.</w:t>
            </w:r>
            <w:r>
              <w:rPr>
                <w:color w:val="000000"/>
                <w:sz w:val="24"/>
              </w:rPr>
              <w:t>不低于以下配置：16核、2.1GHz主频、22M缓存、100W功耗CPU；2×32G内存；1个存储阵列卡，不低于2G缓存，支持RAID 0/1/5/10；5×1.2TB SAS 10K 2.5寸硬盘；4个千兆网口；2个800W电源；预装Centos系统。</w:t>
            </w:r>
          </w:p>
        </w:tc>
      </w:tr>
      <w:tr>
        <w:tc>
          <w:tcPr>
            <w:tcW w:type="dxa" w:w="1324"/>
            <w:vMerge w:val="restart"/>
            <w:tcBorders>
              <w:top w:val="none" w:color="000000" w:sz="4"/>
              <w:left w:val="single" w:color="000000" w:sz="4"/>
              <w:bottom w:val="single" w:color="000000" w:sz="4"/>
              <w:right w:val="single" w:color="000000" w:sz="4"/>
            </w:tcBorders>
          </w:tcPr>
          <w:p>
            <w:pPr>
              <w:jc w:val="center"/>
            </w:pPr>
            <w:r>
              <w:rPr>
                <w:sz w:val="21"/>
              </w:rPr>
              <w:t>5.4</w:t>
            </w:r>
          </w:p>
          <w:p>
            <w:pPr>
              <w:jc w:val="center"/>
            </w:pPr>
            <w:r>
              <w:rPr>
                <w:sz w:val="21"/>
              </w:rPr>
              <w:t>动力环境监控系统总体要求</w:t>
            </w:r>
          </w:p>
        </w:tc>
        <w:tc>
          <w:tcPr>
            <w:tcW w:type="dxa" w:w="6981"/>
            <w:tcBorders>
              <w:top w:val="none" w:color="000000" w:sz="4"/>
              <w:left w:val="none" w:color="000000" w:sz="4"/>
              <w:bottom w:val="single" w:color="000000" w:sz="4"/>
              <w:right w:val="single" w:color="000000" w:sz="4"/>
            </w:tcBorders>
          </w:tcPr>
          <w:p>
            <w:pPr>
              <w:jc w:val="left"/>
            </w:pPr>
            <w:r>
              <w:rPr>
                <w:color w:val="000000"/>
                <w:sz w:val="24"/>
              </w:rPr>
              <w:t>1.</w:t>
            </w:r>
            <w:r>
              <w:rPr>
                <w:color w:val="000000"/>
                <w:sz w:val="24"/>
              </w:rPr>
              <w:t>系统采用B/S架构（无需安装插件），支持分布式采集和数据解析功能，减轻中心服务器负载。</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left"/>
            </w:pPr>
            <w:r>
              <w:rPr>
                <w:color w:val="000000"/>
                <w:sz w:val="24"/>
              </w:rPr>
              <w:t>▲</w:t>
            </w:r>
            <w:r>
              <w:rPr>
                <w:color w:val="000000"/>
                <w:sz w:val="24"/>
              </w:rPr>
              <w:t>2.</w:t>
            </w:r>
            <w:r>
              <w:rPr>
                <w:color w:val="000000"/>
                <w:sz w:val="24"/>
              </w:rPr>
              <w:t>中心服务器对外通讯端口及协议应对采购人开放，具备后期作为子系统接入上级系统的能力。（投标时提供承诺，可参照“格式”中《承诺函》格式。）</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left"/>
            </w:pPr>
            <w:r>
              <w:rPr>
                <w:color w:val="000000"/>
                <w:sz w:val="24"/>
              </w:rPr>
              <w:t>3.</w:t>
            </w:r>
            <w:r>
              <w:rPr>
                <w:color w:val="000000"/>
                <w:sz w:val="24"/>
              </w:rPr>
              <w:t>搭建独立的内部有线局域网，动力环境监控系统通过内部有线局域网通讯，与外部网络物理隔离；所有设备不能通过无线信号通讯。</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left"/>
            </w:pPr>
            <w:r>
              <w:rPr>
                <w:color w:val="000000"/>
                <w:sz w:val="24"/>
              </w:rPr>
              <w:t>▲</w:t>
            </w:r>
            <w:r>
              <w:rPr>
                <w:color w:val="000000"/>
                <w:sz w:val="24"/>
              </w:rPr>
              <w:t>4.</w:t>
            </w:r>
            <w:r>
              <w:rPr>
                <w:color w:val="000000"/>
                <w:sz w:val="24"/>
              </w:rPr>
              <w:t>位于户外的通讯线缆应采用光缆并做好防水措施；楼宇间主干通讯线缆应采用不低于8芯的万兆光缆；所有通讯线缆应穿设包塑金属软管，防止鼠咬；所有通讯电缆均应配有屏蔽层。</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left"/>
            </w:pPr>
            <w:r>
              <w:rPr>
                <w:color w:val="000000"/>
                <w:sz w:val="24"/>
              </w:rPr>
              <w:t>5.</w:t>
            </w:r>
            <w:r>
              <w:rPr>
                <w:color w:val="000000"/>
                <w:sz w:val="24"/>
              </w:rPr>
              <w:t>所有通讯线缆均应配置有一主一备，100%冗余。</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left"/>
            </w:pPr>
            <w:r>
              <w:rPr>
                <w:color w:val="000000"/>
                <w:sz w:val="24"/>
              </w:rPr>
              <w:t>★6.对主要配电设备的模拟量、开关量数据和报警事件，以及水浸、门禁、烟感等环境监测设备的开关量数据和报警事件：采集、存储周期≤2s，系统响应速度（设备的模拟量、开关量、报警事件从发生变化到反映在动力环境监控系统界面上的时间）≤2s；对温湿度、液位等环境监测设备的模拟量数据：采集、存储周期≤30s，系统响应速度≤5s。（投标时提供承诺，可参照“格式”中《承诺函》格式。）</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left"/>
            </w:pPr>
            <w:r>
              <w:rPr>
                <w:color w:val="000000"/>
                <w:sz w:val="24"/>
              </w:rPr>
              <w:t>▲</w:t>
            </w:r>
            <w:r>
              <w:rPr>
                <w:color w:val="000000"/>
                <w:sz w:val="24"/>
              </w:rPr>
              <w:t>7.</w:t>
            </w:r>
            <w:r>
              <w:rPr>
                <w:color w:val="000000"/>
                <w:sz w:val="24"/>
              </w:rPr>
              <w:t>数据保存时间：</w:t>
            </w:r>
          </w:p>
          <w:p>
            <w:pPr>
              <w:jc w:val="left"/>
            </w:pPr>
            <w:r>
              <w:rPr>
                <w:color w:val="000000"/>
                <w:sz w:val="24"/>
              </w:rPr>
              <w:t>（1）配电设备数据≥1年；</w:t>
            </w:r>
          </w:p>
          <w:p>
            <w:pPr>
              <w:jc w:val="left"/>
            </w:pPr>
            <w:r>
              <w:rPr>
                <w:color w:val="000000"/>
                <w:sz w:val="24"/>
              </w:rPr>
              <w:t>（2）环境、门禁、烟感等数据≥6个月；</w:t>
            </w:r>
          </w:p>
          <w:p>
            <w:pPr>
              <w:jc w:val="left"/>
            </w:pPr>
            <w:r>
              <w:rPr>
                <w:color w:val="000000"/>
                <w:sz w:val="24"/>
              </w:rPr>
              <w:t>（3）异态数据（如报警事件）≥2年。</w:t>
            </w:r>
          </w:p>
          <w:p>
            <w:pPr>
              <w:jc w:val="left"/>
            </w:pPr>
            <w:r>
              <w:rPr>
                <w:color w:val="000000"/>
                <w:sz w:val="24"/>
              </w:rPr>
              <w:t>（投标时提供承诺，可参照“格式”中《承诺函》格式。）</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left"/>
            </w:pPr>
            <w:r>
              <w:rPr>
                <w:color w:val="000000"/>
                <w:sz w:val="24"/>
              </w:rPr>
              <w:t>▲</w:t>
            </w:r>
            <w:r>
              <w:rPr>
                <w:color w:val="000000"/>
                <w:sz w:val="24"/>
              </w:rPr>
              <w:t>8.</w:t>
            </w:r>
            <w:r>
              <w:rPr>
                <w:color w:val="000000"/>
                <w:sz w:val="24"/>
              </w:rPr>
              <w:t>数据采用RAID 10磁盘阵列存储。</w:t>
            </w:r>
          </w:p>
        </w:tc>
      </w:tr>
      <w:tr>
        <w:tc>
          <w:tcPr>
            <w:tcW w:type="dxa" w:w="1324"/>
            <w:vMerge w:val="restart"/>
            <w:tcBorders>
              <w:top w:val="none" w:color="000000" w:sz="4"/>
              <w:left w:val="single" w:color="000000" w:sz="4"/>
              <w:bottom w:val="single" w:color="000000" w:sz="4"/>
              <w:right w:val="single" w:color="000000" w:sz="4"/>
            </w:tcBorders>
          </w:tcPr>
          <w:p>
            <w:pPr>
              <w:jc w:val="center"/>
            </w:pPr>
            <w:r>
              <w:rPr>
                <w:sz w:val="21"/>
              </w:rPr>
              <w:t>5.5</w:t>
            </w:r>
          </w:p>
          <w:p>
            <w:pPr>
              <w:jc w:val="center"/>
            </w:pPr>
            <w:r>
              <w:rPr>
                <w:sz w:val="21"/>
              </w:rPr>
              <w:t>软件功能</w:t>
            </w:r>
          </w:p>
        </w:tc>
        <w:tc>
          <w:tcPr>
            <w:tcW w:type="dxa" w:w="6981"/>
            <w:tcBorders>
              <w:top w:val="none" w:color="000000" w:sz="4"/>
              <w:left w:val="none" w:color="000000" w:sz="4"/>
              <w:bottom w:val="single" w:color="000000" w:sz="4"/>
              <w:right w:val="single" w:color="000000" w:sz="4"/>
            </w:tcBorders>
          </w:tcPr>
          <w:p>
            <w:pPr>
              <w:jc w:val="both"/>
            </w:pPr>
            <w:r>
              <w:rPr>
                <w:sz w:val="21"/>
              </w:rPr>
              <w:t>1.</w:t>
            </w:r>
            <w:r>
              <w:rPr>
                <w:sz w:val="21"/>
              </w:rPr>
              <w:t>全配电链路监控</w:t>
            </w:r>
          </w:p>
          <w:p>
            <w:pPr>
              <w:ind w:firstLine="420"/>
              <w:jc w:val="both"/>
            </w:pPr>
            <w:r>
              <w:rPr>
                <w:sz w:val="21"/>
              </w:rPr>
              <w:t>系统具备配电链路监控视图，可通过图形化方式对链路上各电气设备的当前状态、电流流向、主要参数以及关键状态变化等进行直观展示，值班人员可通过界面对配电系统全链路进行实时监测，对可控设备进行远程控制。远程控制功能应纳入权限管理，并可在后台进行闭锁、解锁。</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2.</w:t>
            </w:r>
            <w:r>
              <w:rPr>
                <w:sz w:val="21"/>
              </w:rPr>
              <w:t>告警管理</w:t>
            </w:r>
          </w:p>
          <w:p>
            <w:pPr>
              <w:ind w:firstLine="420"/>
              <w:jc w:val="both"/>
            </w:pPr>
            <w:r>
              <w:rPr>
                <w:sz w:val="21"/>
              </w:rPr>
              <w:t>系统可对采集的数据进行计算和判断，根据设定条件进行声光告警、图元闪烁告警、弹出式窗口告警等，可根据告警内容从知识库中提取预设的事件处置流程和方法提示，指导运维人员进行事件处置。</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3.</w:t>
            </w:r>
            <w:r>
              <w:rPr>
                <w:sz w:val="21"/>
              </w:rPr>
              <w:t>报表管理</w:t>
            </w:r>
          </w:p>
          <w:p>
            <w:pPr>
              <w:ind w:firstLine="420"/>
              <w:jc w:val="both"/>
            </w:pPr>
            <w:r>
              <w:rPr>
                <w:sz w:val="21"/>
              </w:rPr>
              <w:t>可对数据提供多种形式的报表自动生成、自动存储、查看、导出等功能，如日报表、月报表、年报表等，且组成报表的数据种类可由用户自定义。</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4.</w:t>
            </w:r>
            <w:r>
              <w:rPr>
                <w:sz w:val="21"/>
              </w:rPr>
              <w:t>知识库管理</w:t>
            </w:r>
          </w:p>
          <w:p>
            <w:pPr>
              <w:ind w:firstLine="420"/>
              <w:jc w:val="both"/>
            </w:pPr>
            <w:r>
              <w:rPr>
                <w:sz w:val="21"/>
              </w:rPr>
              <w:t>系统应具备知识库管理功能，可对各设备的维护记录、操作手册、产品说明书、常见故障的处理方法等进行录入和和检索。</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5.</w:t>
            </w:r>
            <w:r>
              <w:rPr>
                <w:sz w:val="21"/>
              </w:rPr>
              <w:t>设备缺陷、维护记录管理</w:t>
            </w:r>
          </w:p>
          <w:p>
            <w:pPr>
              <w:ind w:firstLine="420"/>
              <w:jc w:val="both"/>
            </w:pPr>
            <w:r>
              <w:rPr>
                <w:sz w:val="21"/>
              </w:rPr>
              <w:t>系统可记录和查询设备的投运、缺陷、维修、巡检等记录信息，运维人员可新增、修改设备维护和缺陷处理记录，并具备检索功能，可按照设备名称、分组等方式进行检索，以快速掌握设备的相关历史记录。</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6.</w:t>
            </w:r>
            <w:r>
              <w:rPr>
                <w:sz w:val="21"/>
              </w:rPr>
              <w:t>电子地图</w:t>
            </w:r>
          </w:p>
          <w:p>
            <w:pPr>
              <w:ind w:firstLine="420"/>
              <w:jc w:val="both"/>
            </w:pPr>
            <w:r>
              <w:rPr>
                <w:sz w:val="21"/>
              </w:rPr>
              <w:t>系统应支持电子地图功能，可以展示配电系统各设备所在空间位置，支持从全配电链路监控、告警管理等视图跳转电子地图，协助运维人员快速定位目标设备。</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7.</w:t>
            </w:r>
            <w:r>
              <w:rPr>
                <w:sz w:val="21"/>
              </w:rPr>
              <w:t>预警提醒功能</w:t>
            </w:r>
          </w:p>
          <w:p>
            <w:pPr>
              <w:ind w:firstLine="420"/>
              <w:jc w:val="both"/>
            </w:pPr>
            <w:r>
              <w:rPr>
                <w:sz w:val="21"/>
              </w:rPr>
              <w:t>系统支持对开关、UPS、电缆等设备进行容量预警、质保到期提醒、维保到期提醒、使用年限到期提醒等功能。</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8.</w:t>
            </w:r>
            <w:r>
              <w:rPr>
                <w:sz w:val="21"/>
              </w:rPr>
              <w:t>环境变量监测</w:t>
            </w:r>
          </w:p>
          <w:p>
            <w:pPr>
              <w:ind w:firstLine="420"/>
              <w:jc w:val="both"/>
            </w:pPr>
            <w:r>
              <w:rPr>
                <w:sz w:val="21"/>
              </w:rPr>
              <w:t>系统支持对环境温湿度、烟感、水浸感应、油罐油位、水池液位、水管流量等进行实施监测和告警，并可根据环境温湿度对低压二级配电房的2台空调柜机和1台新风系统进行自动控制调节。</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9.</w:t>
            </w:r>
            <w:r>
              <w:rPr>
                <w:sz w:val="21"/>
              </w:rPr>
              <w:t>短信提醒</w:t>
            </w:r>
          </w:p>
          <w:p>
            <w:r>
              <w:rPr>
                <w:color w:val="000000"/>
                <w:sz w:val="24"/>
              </w:rPr>
              <w:t>具备报警发生时通过短信向接收终端发送通知提醒的功能。</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10.</w:t>
            </w:r>
            <w:r>
              <w:rPr>
                <w:sz w:val="21"/>
              </w:rPr>
              <w:t>视频、门禁监控系统</w:t>
            </w:r>
          </w:p>
          <w:p>
            <w:pPr>
              <w:jc w:val="both"/>
            </w:pPr>
            <w:r>
              <w:rPr>
                <w:sz w:val="21"/>
              </w:rPr>
              <w:t xml:space="preserve">   </w:t>
            </w:r>
            <w:r>
              <w:rPr>
                <w:sz w:val="21"/>
              </w:rPr>
              <w:t>支持门禁监测以及视频监测、录像、回放等功能。视频需同时接入动力环境监控系统、发射机房值班室NVR（硬盘录像机）和动力机房值班室NVR。</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11.</w:t>
            </w:r>
            <w:r>
              <w:rPr>
                <w:sz w:val="21"/>
              </w:rPr>
              <w:t>历史记录查询</w:t>
            </w:r>
          </w:p>
          <w:p>
            <w:pPr>
              <w:ind w:firstLine="420"/>
              <w:jc w:val="both"/>
            </w:pPr>
            <w:r>
              <w:rPr>
                <w:sz w:val="21"/>
              </w:rPr>
              <w:t>系统支持多种形式的可自定义时段的历史数据曲线及表格查询功能。</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12.</w:t>
            </w:r>
            <w:r>
              <w:rPr>
                <w:sz w:val="21"/>
              </w:rPr>
              <w:t>蓄电池分析预测模块</w:t>
            </w:r>
          </w:p>
          <w:p>
            <w:pPr>
              <w:ind w:firstLine="420"/>
              <w:jc w:val="both"/>
            </w:pPr>
            <w:r>
              <w:rPr>
                <w:sz w:val="21"/>
              </w:rPr>
              <w:t>支持落后电池甄别，单体电压、内阻、温度、容量不均分析，整组电池寿命预测，单体内阻预测，电池容量、充放电容量比长线趋势管理、预警等功能。</w:t>
            </w:r>
          </w:p>
          <w:p>
            <w:pPr>
              <w:jc w:val="both"/>
            </w:pPr>
            <w:r>
              <w:rPr>
                <w:sz w:val="21"/>
              </w:rPr>
              <w:t>放电容量对比，当充放电容量比超一定比例时，及时给出趋势预警。</w:t>
            </w:r>
          </w:p>
        </w:tc>
      </w:tr>
      <w:tr>
        <w:tc>
          <w:tcPr>
            <w:tcW w:type="dxa" w:w="1324"/>
            <w:vMerge/>
            <w:tcBorders>
              <w:top w:val="none" w:color="000000" w:sz="4"/>
              <w:left w:val="single" w:color="000000" w:sz="4"/>
              <w:bottom w:val="single" w:color="000000" w:sz="4"/>
              <w:right w:val="single" w:color="000000" w:sz="4"/>
            </w:tcBorders>
          </w:tcPr>
          <w:p/>
        </w:tc>
        <w:tc>
          <w:tcPr>
            <w:tcW w:type="dxa" w:w="6981"/>
            <w:tcBorders>
              <w:top w:val="none" w:color="000000" w:sz="4"/>
              <w:left w:val="none" w:color="000000" w:sz="4"/>
              <w:bottom w:val="single" w:color="000000" w:sz="4"/>
              <w:right w:val="single" w:color="000000" w:sz="4"/>
            </w:tcBorders>
          </w:tcPr>
          <w:p>
            <w:pPr>
              <w:jc w:val="both"/>
            </w:pPr>
            <w:r>
              <w:rPr>
                <w:sz w:val="21"/>
              </w:rPr>
              <w:t>13.</w:t>
            </w:r>
            <w:r>
              <w:rPr>
                <w:sz w:val="21"/>
              </w:rPr>
              <w:t>权限管理功能</w:t>
            </w:r>
          </w:p>
          <w:p>
            <w:pPr>
              <w:jc w:val="both"/>
            </w:pPr>
            <w:r>
              <w:rPr>
                <w:sz w:val="21"/>
              </w:rPr>
              <w:t xml:space="preserve">   </w:t>
            </w:r>
            <w:r>
              <w:rPr>
                <w:sz w:val="21"/>
              </w:rPr>
              <w:t>超级管理员账户可对各用户账户权限进行增、删、修改。</w:t>
            </w:r>
          </w:p>
        </w:tc>
      </w:tr>
    </w:tbl>
    <w:p>
      <w:pPr>
        <w:ind w:firstLine="420"/>
        <w:jc w:val="both"/>
      </w:pPr>
    </w:p>
    <w:p>
      <w:pPr>
        <w:jc w:val="both"/>
      </w:pPr>
      <w:r>
        <w:rPr>
          <w:b/>
          <w:sz w:val="21"/>
        </w:rPr>
        <w:t>（四）设计、施工方案</w:t>
      </w:r>
    </w:p>
    <w:p>
      <w:pPr>
        <w:ind w:firstLine="432"/>
        <w:jc w:val="both"/>
      </w:pPr>
      <w:r>
        <w:rPr>
          <w:sz w:val="21"/>
        </w:rPr>
        <w:t>1.</w:t>
      </w:r>
      <w:r>
        <w:rPr>
          <w:sz w:val="21"/>
        </w:rPr>
        <w:t>本项目应由具备乙级或以上电力行业（送电工程专业或变电工程专业或送变电工程专业）设计资质的单位编制低压配电系统设计施工图纸（含从越秀山电视塔高压配电房的两台10/0.4kV变压器低压侧出口至各终端配电柜的一次结线图、布置图等，当设计施工图纸要求的系统方案或设备规格与本需求书要求不一致时，按较高要求实施）。</w:t>
      </w:r>
    </w:p>
    <w:p>
      <w:pPr>
        <w:ind w:firstLine="432"/>
        <w:jc w:val="both"/>
      </w:pPr>
      <w:r>
        <w:rPr>
          <w:sz w:val="21"/>
        </w:rPr>
        <w:t>2.</w:t>
      </w:r>
      <w:r>
        <w:rPr>
          <w:sz w:val="21"/>
        </w:rPr>
        <w:t>中标人根据设计施工图纸以及本需求书要求制订详细的低压配电系统和动力环境监控系统设计施工方案，设计施工方案包括但不限于系统拓扑图、设计方案、性能指标及软件功能，项目管理队伍和人员分工，进度计划安排，工期保证措施，施工方法和工艺要求，质量目标，质量保证措施，安健环目标和措施，试验项目及方法等内容。经采购人确认后，中标人根据方案要求提供货物并实施配套安装、试验、调试、投运等服务。</w:t>
      </w:r>
    </w:p>
    <w:p>
      <w:pPr>
        <w:jc w:val="both"/>
      </w:pPr>
      <w:r>
        <w:rPr>
          <w:b/>
          <w:sz w:val="21"/>
        </w:rPr>
        <w:t>（五）初步设计和实施方案</w:t>
      </w:r>
    </w:p>
    <w:p>
      <w:pPr>
        <w:ind w:firstLine="420"/>
        <w:jc w:val="both"/>
      </w:pPr>
      <w:r>
        <w:rPr>
          <w:sz w:val="21"/>
        </w:rPr>
        <w:t>1.</w:t>
      </w:r>
      <w:r>
        <w:rPr>
          <w:sz w:val="21"/>
        </w:rPr>
        <w:t>投标人投标时应提交初步设计和实施方案，方案内容包括但不限于：</w:t>
      </w:r>
    </w:p>
    <w:p>
      <w:pPr>
        <w:ind w:firstLine="420"/>
        <w:jc w:val="both"/>
      </w:pPr>
      <w:r>
        <w:rPr>
          <w:sz w:val="21"/>
        </w:rPr>
        <w:t>（1）低压配电系统初步改造方案，含改造后一次结线示意图、平面布置示意图；</w:t>
      </w:r>
    </w:p>
    <w:p>
      <w:pPr>
        <w:ind w:firstLine="420"/>
        <w:jc w:val="both"/>
      </w:pPr>
      <w:r>
        <w:rPr>
          <w:sz w:val="21"/>
        </w:rPr>
        <w:t>（2）动力环境监控系统初步设计方案，含拓扑图；</w:t>
      </w:r>
    </w:p>
    <w:p>
      <w:pPr>
        <w:ind w:firstLine="420"/>
        <w:jc w:val="both"/>
      </w:pPr>
      <w:r>
        <w:rPr>
          <w:sz w:val="21"/>
        </w:rPr>
        <w:t>（3）供货、安装、施工初步方案；</w:t>
      </w:r>
    </w:p>
    <w:p>
      <w:pPr>
        <w:ind w:firstLine="420"/>
        <w:jc w:val="both"/>
      </w:pPr>
      <w:r>
        <w:rPr>
          <w:sz w:val="21"/>
        </w:rPr>
        <w:t>（4）设备调试、试验、试运行、验收、投运初步方案。</w:t>
      </w:r>
    </w:p>
    <w:p>
      <w:pPr>
        <w:ind w:firstLine="420"/>
        <w:jc w:val="both"/>
      </w:pPr>
      <w:r>
        <w:rPr>
          <w:sz w:val="21"/>
        </w:rPr>
        <w:t>2.</w:t>
      </w:r>
      <w:r>
        <w:rPr>
          <w:sz w:val="21"/>
        </w:rPr>
        <w:t>方案要求</w:t>
      </w:r>
    </w:p>
    <w:p>
      <w:pPr>
        <w:ind w:firstLine="420"/>
        <w:jc w:val="both"/>
      </w:pPr>
      <w:r>
        <w:rPr>
          <w:sz w:val="21"/>
        </w:rPr>
        <w:t>（1）方案内容详实、合理，设计符合国家标准，符合电力及广电行业标准，功能、性能达到本项目需求书要求；</w:t>
      </w:r>
    </w:p>
    <w:p>
      <w:pPr>
        <w:ind w:firstLine="420"/>
        <w:jc w:val="both"/>
      </w:pPr>
      <w:r>
        <w:rPr>
          <w:sz w:val="21"/>
        </w:rPr>
        <w:t>（2）方案所涉及设备应标明品牌、型号、规格，UPS、电缆、铜排、断路器等电气设备应标明额定容量或安全载流量，且额定容量、安全载流量应满足或优于本需求书要求；</w:t>
      </w:r>
    </w:p>
    <w:p>
      <w:pPr>
        <w:ind w:firstLine="420"/>
        <w:jc w:val="both"/>
      </w:pPr>
      <w:r>
        <w:rPr>
          <w:sz w:val="21"/>
        </w:rPr>
        <w:t>（3）低压配电系统初步改造方案中的产品应与现场原有配电系统、设备兼容，不改变原有系统的自动控制逻辑，且在一路外电中断、两路外电中断切换至发电机自启动供电等多种电源故障情况下要求UPS负载供电不中断，在外部电源完全丧失的情况下电池续航时间满足带250kW负载不低于30分钟的要求（电池单体放电终止电压不低于1.8V，根据所提供设备的性能提交续航时间计算书）；</w:t>
      </w:r>
    </w:p>
    <w:p>
      <w:pPr>
        <w:ind w:firstLine="420"/>
        <w:jc w:val="both"/>
      </w:pPr>
      <w:r>
        <w:rPr>
          <w:sz w:val="21"/>
        </w:rPr>
        <w:t>（4）动力环境监控系统初步设计方案应给出拓扑图，监控系统应使用与外网物理隔离的独立局域网进行通讯，监控设备种类和数量、通讯线缆的种类、数据采集和存储周期、系统响应时间、硬件配置和软件功能等应满足本需求书要求，具有一定的可拓展性，后期可额外接入不少于20个开关，对其电压、电流、功率、频率等模拟量及分合闸状态、故障脱扣状态等开关量进行监测，且仍可满足本需求书要求的采集和存储周期、响应时间等性能指标；</w:t>
      </w:r>
    </w:p>
    <w:p>
      <w:pPr>
        <w:ind w:firstLine="420"/>
        <w:jc w:val="both"/>
      </w:pPr>
      <w:r>
        <w:rPr>
          <w:sz w:val="21"/>
        </w:rPr>
        <w:t>（5）供货、安装、施工初步方案内容包括但不限于供货、安装、施工、试验、试运行、验收、投运等各环节的关键节点进度安排、施工方法、安全措施、施工过程中保障安全播出的措施以及对影响播出的关键工序的施工安排等，施工计划、节点进度安排应满足本需求书对设备的交付时间要求，施工方法、安全保障措施应符合国家和行业规范要求；</w:t>
      </w:r>
    </w:p>
    <w:p>
      <w:pPr>
        <w:ind w:firstLine="420"/>
        <w:jc w:val="both"/>
      </w:pPr>
      <w:r>
        <w:rPr>
          <w:sz w:val="21"/>
        </w:rPr>
        <w:t>（6）设备调试、试验、试运行、验收、投运初步方案内容包括但不限于调试、试验、试运行、验收、投运等各阶段的时间节点、操作方法、所需设备和工具等，进度节点安排应满足本需求书对设备的交付时间要求，试验种类和方法应符合国家、行业标准规范，试验所需资金、设备、工器具应由中标人提供，电气设备交接试验实施单位应具备承装（修、试）电力设施许可证；</w:t>
      </w:r>
    </w:p>
    <w:p>
      <w:pPr>
        <w:ind w:firstLine="420"/>
        <w:jc w:val="both"/>
      </w:pPr>
      <w:r>
        <w:rPr>
          <w:sz w:val="21"/>
        </w:rPr>
        <w:t>（7）项目实施全过程应不影响电视塔各播出部门的安全播出任务，影响播出任务的工序应安排在采购人指定的夜间停机检修时段进行（每周五凌晨2点至5点），方案中的进度安排和施工计划应满足该需求。</w:t>
      </w:r>
    </w:p>
    <w:p>
      <w:pPr>
        <w:jc w:val="both"/>
      </w:pPr>
      <w:r>
        <w:rPr>
          <w:b/>
          <w:sz w:val="21"/>
        </w:rPr>
        <w:t>（六）动力环境监控系统现场演示要求</w:t>
      </w:r>
    </w:p>
    <w:p>
      <w:pPr>
        <w:ind w:firstLine="420"/>
        <w:jc w:val="both"/>
      </w:pPr>
      <w:r>
        <w:rPr>
          <w:sz w:val="21"/>
        </w:rPr>
        <w:t>1.</w:t>
      </w:r>
      <w:r>
        <w:rPr>
          <w:sz w:val="21"/>
        </w:rPr>
        <w:t>演示内容：</w:t>
      </w:r>
    </w:p>
    <w:p>
      <w:pPr>
        <w:ind w:firstLine="420"/>
        <w:jc w:val="both"/>
      </w:pPr>
      <w:r>
        <w:rPr>
          <w:sz w:val="21"/>
        </w:rPr>
        <w:t>（1）监控总览</w:t>
      </w:r>
    </w:p>
    <w:p>
      <w:pPr>
        <w:ind w:firstLine="420"/>
        <w:jc w:val="both"/>
      </w:pPr>
      <w:r>
        <w:rPr>
          <w:sz w:val="21"/>
        </w:rPr>
        <w:t>监控总览可查看机房整体情况，如：可查看机房、设备、测点总数；按不同维度分类，是否正常统计和展示设备测点及其相关数据、告警、事件；数据、告警、事件是否可以按不同维度进行分类，是否可以展示近30天的事件、告警情况。</w:t>
      </w:r>
    </w:p>
    <w:p>
      <w:pPr>
        <w:ind w:firstLine="420"/>
        <w:jc w:val="both"/>
      </w:pPr>
      <w:r>
        <w:rPr>
          <w:sz w:val="21"/>
        </w:rPr>
        <w:t>（2）配电链路监控界面</w:t>
      </w:r>
    </w:p>
    <w:p>
      <w:pPr>
        <w:ind w:firstLine="420"/>
        <w:jc w:val="both"/>
      </w:pPr>
      <w:r>
        <w:rPr>
          <w:sz w:val="21"/>
        </w:rPr>
        <w:t>配电链路界面应正常展示相关设备、测点及其数据，应以图形或动画方式直观展示各个开关的分合闸、跳闸状态；应以动画形式展示电流动态流向；点击设备应跳转详细数据界面；报警时应弹出报警框，弹出报警框应直观、醒目；点击告警应跳转电子地图界面定位设备空间位置。</w:t>
      </w:r>
    </w:p>
    <w:p>
      <w:pPr>
        <w:ind w:firstLine="420"/>
        <w:jc w:val="both"/>
      </w:pPr>
      <w:r>
        <w:rPr>
          <w:sz w:val="21"/>
        </w:rPr>
        <w:t>（3）电子地图界面</w:t>
      </w:r>
    </w:p>
    <w:p>
      <w:pPr>
        <w:ind w:firstLine="420"/>
        <w:jc w:val="both"/>
      </w:pPr>
      <w:r>
        <w:rPr>
          <w:sz w:val="21"/>
        </w:rPr>
        <w:t>是否支持电子地图功能，可以展示配电系统各设备所在空间位置，支持从配电链路监控、告警管理等视图跳转电子地图，协助运维人员快速定位目标设备。</w:t>
      </w:r>
    </w:p>
    <w:p>
      <w:pPr>
        <w:ind w:firstLine="420"/>
        <w:jc w:val="both"/>
      </w:pPr>
      <w:r>
        <w:rPr>
          <w:sz w:val="21"/>
        </w:rPr>
        <w:t>（4）告警管理</w:t>
      </w:r>
    </w:p>
    <w:p>
      <w:pPr>
        <w:ind w:firstLine="420"/>
        <w:jc w:val="both"/>
      </w:pPr>
      <w:r>
        <w:rPr>
          <w:sz w:val="21"/>
        </w:rPr>
        <w:t>能否根据设定条件进行声光告警、图元闪烁告警、弹出式窗口告警等，能否根据告警内容从知识库中提取预设的事件处置流程和方法提示，指导运维人员进行事件处置。</w:t>
      </w:r>
    </w:p>
    <w:p>
      <w:pPr>
        <w:ind w:firstLine="420"/>
        <w:jc w:val="both"/>
      </w:pPr>
      <w:r>
        <w:rPr>
          <w:sz w:val="21"/>
        </w:rPr>
        <w:t>（5）知识库管理</w:t>
      </w:r>
    </w:p>
    <w:p>
      <w:pPr>
        <w:ind w:firstLine="420"/>
        <w:jc w:val="both"/>
      </w:pPr>
      <w:r>
        <w:rPr>
          <w:sz w:val="21"/>
        </w:rPr>
        <w:t>能否对各设备的维护记录、操作手册、产品说明书、常见故障的处理方法等进行录入和检索；相关信息能否被告警管理模块调用，在告警时弹出相关维修和操作指引。</w:t>
      </w:r>
    </w:p>
    <w:p>
      <w:pPr>
        <w:ind w:firstLine="420"/>
        <w:jc w:val="both"/>
      </w:pPr>
      <w:r>
        <w:rPr>
          <w:sz w:val="21"/>
        </w:rPr>
        <w:t>（6）预警提醒功能</w:t>
      </w:r>
    </w:p>
    <w:p>
      <w:pPr>
        <w:ind w:firstLine="420"/>
        <w:jc w:val="both"/>
      </w:pPr>
      <w:r>
        <w:rPr>
          <w:sz w:val="21"/>
        </w:rPr>
        <w:t>是否支持对开关、UPS、电缆等设备进行容量预警、质保到期提醒、维保到期提醒、使用年限到期提醒等功能。</w:t>
      </w:r>
    </w:p>
    <w:p>
      <w:pPr>
        <w:ind w:firstLine="420"/>
        <w:jc w:val="both"/>
      </w:pPr>
      <w:r>
        <w:rPr>
          <w:sz w:val="21"/>
        </w:rPr>
        <w:t>（7）设备缺陷、维护记录管理</w:t>
      </w:r>
    </w:p>
    <w:p>
      <w:pPr>
        <w:ind w:firstLine="420"/>
        <w:jc w:val="both"/>
      </w:pPr>
      <w:r>
        <w:rPr>
          <w:sz w:val="21"/>
        </w:rPr>
        <w:t>能否记录设备的投运、缺陷、维修、巡检等记录信息，并具备检索功能，可按照设备名称、分组等方式对进行检索，以快速掌握设备的维护历史记录。</w:t>
      </w:r>
    </w:p>
    <w:p>
      <w:pPr>
        <w:ind w:firstLine="420"/>
        <w:jc w:val="both"/>
      </w:pPr>
      <w:r>
        <w:rPr>
          <w:sz w:val="21"/>
        </w:rPr>
        <w:t>（8）蓄电池分析预测模块</w:t>
      </w:r>
    </w:p>
    <w:p>
      <w:pPr>
        <w:ind w:firstLine="420"/>
        <w:jc w:val="both"/>
      </w:pPr>
      <w:r>
        <w:rPr>
          <w:sz w:val="21"/>
        </w:rPr>
        <w:t>支持落后电池甄别，单体电压、内阻、温度、容量不均分析，整组电池寿命预测，单体内阻预测，电池容量、充放电容量比长线趋势管理、预警等功能。</w:t>
      </w:r>
    </w:p>
    <w:p>
      <w:pPr>
        <w:ind w:firstLine="420"/>
        <w:jc w:val="both"/>
      </w:pPr>
      <w:r>
        <w:rPr>
          <w:sz w:val="21"/>
        </w:rPr>
        <w:t>2.</w:t>
      </w:r>
      <w:r>
        <w:rPr>
          <w:sz w:val="21"/>
        </w:rPr>
        <w:t>演示顺序：</w:t>
      </w:r>
      <w:r>
        <w:rPr>
          <w:sz w:val="21"/>
        </w:rPr>
        <w:t>演示顺序按现场随机抽取，演示顺序抽取集中时间为：</w:t>
      </w:r>
      <w:r>
        <w:rPr>
          <w:color w:val="000000"/>
          <w:sz w:val="21"/>
        </w:rPr>
        <w:t>开标前30分钟内</w:t>
      </w:r>
      <w:r>
        <w:rPr>
          <w:sz w:val="21"/>
        </w:rPr>
        <w:t>，集中地点：广州市越秀区越华路</w:t>
      </w:r>
      <w:r>
        <w:rPr>
          <w:sz w:val="21"/>
        </w:rPr>
        <w:t>112</w:t>
      </w:r>
      <w:r>
        <w:rPr>
          <w:sz w:val="21"/>
        </w:rPr>
        <w:t>号珠江国际大厦</w:t>
      </w:r>
      <w:r>
        <w:rPr>
          <w:sz w:val="21"/>
        </w:rPr>
        <w:t>3</w:t>
      </w:r>
      <w:r>
        <w:rPr>
          <w:sz w:val="21"/>
        </w:rPr>
        <w:t>楼</w:t>
      </w:r>
      <w:r>
        <w:rPr>
          <w:sz w:val="21"/>
        </w:rPr>
        <w:t>演示室</w:t>
      </w:r>
      <w:r>
        <w:rPr>
          <w:sz w:val="21"/>
        </w:rPr>
        <w:t>。投标人务必在规定的时间内抽取演示顺序，如未按规定抽取演示顺序的，将视为投标人放弃演示。</w:t>
      </w:r>
    </w:p>
    <w:p>
      <w:pPr>
        <w:ind w:firstLine="420"/>
        <w:jc w:val="both"/>
      </w:pPr>
      <w:r>
        <w:rPr>
          <w:sz w:val="21"/>
        </w:rPr>
        <w:t>3.</w:t>
      </w:r>
      <w:r>
        <w:rPr>
          <w:sz w:val="21"/>
        </w:rPr>
        <w:t>演示要求：</w:t>
      </w:r>
      <w:r>
        <w:rPr>
          <w:sz w:val="21"/>
        </w:rPr>
        <w:t>每个投标人限在</w:t>
      </w:r>
      <w:r>
        <w:rPr>
          <w:sz w:val="21"/>
        </w:rPr>
        <w:t>15</w:t>
      </w:r>
      <w:r>
        <w:rPr>
          <w:sz w:val="21"/>
        </w:rPr>
        <w:t>分钟内完成</w:t>
      </w:r>
      <w:r>
        <w:rPr>
          <w:sz w:val="21"/>
        </w:rPr>
        <w:t>演示（演示不限于原型演示、</w:t>
      </w:r>
      <w:r>
        <w:rPr>
          <w:sz w:val="21"/>
        </w:rPr>
        <w:t>PPT</w:t>
      </w:r>
      <w:r>
        <w:rPr>
          <w:sz w:val="21"/>
        </w:rPr>
        <w:t>、视频等方式）</w:t>
      </w:r>
      <w:r>
        <w:rPr>
          <w:sz w:val="21"/>
        </w:rPr>
        <w:t>。投标人自备手提电脑、上网及投影接口等其他相关演示设备，集中代理机构提供投影仪。</w:t>
      </w:r>
    </w:p>
    <w:p>
      <w:pPr>
        <w:ind w:firstLine="420"/>
        <w:jc w:val="both"/>
      </w:pPr>
    </w:p>
    <w:p>
      <w:pPr>
        <w:jc w:val="both"/>
      </w:pPr>
      <w:r>
        <w:rPr>
          <w:b/>
          <w:sz w:val="21"/>
        </w:rPr>
        <w:t>六、商务要求</w:t>
      </w:r>
    </w:p>
    <w:p>
      <w:pPr>
        <w:jc w:val="both"/>
      </w:pPr>
      <w:r>
        <w:rPr>
          <w:b/>
          <w:sz w:val="21"/>
        </w:rPr>
        <w:t>（一）资质、业绩、人员要求</w:t>
      </w:r>
    </w:p>
    <w:p>
      <w:pPr>
        <w:ind w:firstLine="420"/>
        <w:jc w:val="both"/>
      </w:pPr>
      <w:r>
        <w:rPr>
          <w:sz w:val="21"/>
        </w:rPr>
        <w:t>1.</w:t>
      </w:r>
      <w:r>
        <w:rPr>
          <w:sz w:val="21"/>
        </w:rPr>
        <w:t>企业资质、业绩要求</w:t>
      </w:r>
    </w:p>
    <w:p>
      <w:pPr>
        <w:ind w:firstLine="420"/>
        <w:jc w:val="both"/>
      </w:pPr>
      <w:r>
        <w:rPr>
          <w:sz w:val="21"/>
        </w:rPr>
        <w:t>（1）投标人应具备2018年及以后单机额定容量不小于400kVA的模块化UPS电源供货项目业绩、动力环境监控系统供货项目业绩和UPS及蓄电池维保运维项目业绩。</w:t>
      </w:r>
    </w:p>
    <w:p>
      <w:pPr>
        <w:ind w:firstLine="420"/>
        <w:jc w:val="both"/>
      </w:pPr>
      <w:r>
        <w:rPr>
          <w:sz w:val="21"/>
        </w:rPr>
        <w:t>（2）投标人具备质量管理体系ISO9001认证证书。</w:t>
      </w:r>
    </w:p>
    <w:p>
      <w:pPr>
        <w:ind w:firstLine="420"/>
        <w:jc w:val="both"/>
      </w:pPr>
      <w:r>
        <w:rPr>
          <w:sz w:val="21"/>
        </w:rPr>
        <w:t>★2.投标人项目管理团队应至少配备以下人员：项目负责人（项目经理）1名、项目技术负责人（电气部分）1名、项目技术负责人（动力环境监控系统部分）1名、专职安全员1名，上述任意两个岗位均不能由同一人兼任，且所有人员均须为投标人企业员工。（投标时提供投标人自2023年8月以来为其依法缴纳的任意1个月社保的证明材料复印件或劳动合同复印件</w:t>
      </w:r>
      <w:r>
        <w:rPr>
          <w:sz w:val="21"/>
        </w:rPr>
        <w:t>。</w:t>
      </w:r>
      <w:r>
        <w:rPr>
          <w:sz w:val="21"/>
        </w:rPr>
        <w:t>）</w:t>
      </w:r>
    </w:p>
    <w:p>
      <w:pPr>
        <w:ind w:firstLine="420"/>
        <w:jc w:val="both"/>
      </w:pPr>
      <w:r>
        <w:rPr>
          <w:sz w:val="21"/>
        </w:rPr>
        <w:t>★3.项目负责人（项目经理）具有一级建造师（机电工程专业）证书，专职安全员具有安全生产考核合格证（C类）或建筑施工企业专职安全生产管理人员安全生产考核合格证(综合类C3)。投标时提供有效期内的证书复印件并盖投标人公章。</w:t>
      </w:r>
    </w:p>
    <w:p>
      <w:pPr>
        <w:ind w:firstLine="420"/>
        <w:jc w:val="both"/>
      </w:pPr>
      <w:r>
        <w:rPr>
          <w:sz w:val="21"/>
        </w:rPr>
        <w:t>4.</w:t>
      </w:r>
      <w:r>
        <w:rPr>
          <w:sz w:val="21"/>
        </w:rPr>
        <w:t>项目管理团队具备：</w:t>
      </w:r>
    </w:p>
    <w:p>
      <w:pPr>
        <w:ind w:firstLine="420"/>
        <w:jc w:val="both"/>
      </w:pPr>
      <w:r>
        <w:rPr>
          <w:sz w:val="21"/>
        </w:rPr>
        <w:t>（1）项目负责人（项目经理）具有①高级工程师职称（电气、机电、弱电或信息类相关专业）资格证书、②硕士或以上学位证书；</w:t>
      </w:r>
    </w:p>
    <w:p>
      <w:pPr>
        <w:ind w:firstLine="420"/>
        <w:jc w:val="left"/>
      </w:pPr>
      <w:r>
        <w:rPr>
          <w:sz w:val="21"/>
        </w:rPr>
        <w:t>（2）项目技术负责人（电气）具有①高级工程师职称（电气或机电类相关专业）资格证书、②学士或以上学位证书；</w:t>
      </w:r>
    </w:p>
    <w:p>
      <w:pPr>
        <w:ind w:firstLine="420"/>
        <w:jc w:val="left"/>
      </w:pPr>
      <w:r>
        <w:rPr>
          <w:sz w:val="21"/>
        </w:rPr>
        <w:t>（3）项目技术负责人（动力环境监控系统）具有①高级及以上工程师职称（弱电类专业）资格证书、②学士或以上学位证书。</w:t>
      </w:r>
    </w:p>
    <w:p>
      <w:pPr>
        <w:ind w:firstLine="420"/>
        <w:jc w:val="left"/>
      </w:pPr>
      <w:r>
        <w:rPr>
          <w:sz w:val="21"/>
        </w:rPr>
        <w:t>5.</w:t>
      </w:r>
      <w:r>
        <w:rPr>
          <w:sz w:val="21"/>
        </w:rPr>
        <w:t>项目管理团队人员具备以下业绩：</w:t>
      </w:r>
    </w:p>
    <w:p>
      <w:pPr>
        <w:ind w:firstLine="420"/>
        <w:jc w:val="left"/>
      </w:pPr>
      <w:r>
        <w:rPr>
          <w:sz w:val="21"/>
        </w:rPr>
        <w:t>（1）项目经理（项目负责人）具有2018年及以后单机额定容量不小于400kVA的模块化UPS电源供货项目业绩，并在项目中担任项目负责人（项目经理）角色。</w:t>
      </w:r>
    </w:p>
    <w:p>
      <w:pPr>
        <w:ind w:firstLine="420"/>
        <w:jc w:val="left"/>
      </w:pPr>
      <w:r>
        <w:rPr>
          <w:sz w:val="21"/>
        </w:rPr>
        <w:t>（2）项目技术负责人（电气）具有2018年及以后单机额定容量不小于400kVA的模块化UPS电源供货项目业绩，并在项目中担任技术负责人的角色。</w:t>
      </w:r>
    </w:p>
    <w:p>
      <w:pPr>
        <w:ind w:firstLine="420"/>
        <w:jc w:val="left"/>
      </w:pPr>
      <w:r>
        <w:rPr>
          <w:sz w:val="21"/>
        </w:rPr>
        <w:t>（3）项目技术负责人（动力环境监控系统）具有2018年及以后动力环境监控系统供货项目业绩，并在项目中担任技术负责人的角色。</w:t>
      </w:r>
    </w:p>
    <w:p>
      <w:pPr>
        <w:jc w:val="both"/>
      </w:pPr>
      <w:r>
        <w:rPr>
          <w:b/>
          <w:sz w:val="21"/>
        </w:rPr>
        <w:t>（二）供货时间、地点</w:t>
      </w:r>
    </w:p>
    <w:p>
      <w:pPr>
        <w:ind w:firstLine="420"/>
        <w:jc w:val="both"/>
      </w:pPr>
      <w:r>
        <w:rPr>
          <w:sz w:val="21"/>
        </w:rPr>
        <w:t>1.</w:t>
      </w:r>
      <w:r>
        <w:rPr>
          <w:sz w:val="21"/>
        </w:rPr>
        <w:t>供货时间：合同签订之日起150个日历天内完成供货、安装、调试、试验、旧设备拆除、试运行直至验收合格交付采购人使用。</w:t>
      </w:r>
    </w:p>
    <w:p>
      <w:pPr>
        <w:ind w:firstLine="420"/>
        <w:jc w:val="both"/>
      </w:pPr>
      <w:r>
        <w:rPr>
          <w:sz w:val="21"/>
        </w:rPr>
        <w:t>2.</w:t>
      </w:r>
      <w:r>
        <w:rPr>
          <w:sz w:val="21"/>
        </w:rPr>
        <w:t>供货地点：广州市越秀区环市中路越秀山电视塔。</w:t>
      </w:r>
    </w:p>
    <w:p>
      <w:pPr>
        <w:jc w:val="both"/>
      </w:pPr>
      <w:r>
        <w:rPr>
          <w:b/>
          <w:sz w:val="21"/>
        </w:rPr>
        <w:t>（三）质量要求</w:t>
      </w:r>
    </w:p>
    <w:p>
      <w:pPr>
        <w:ind w:firstLine="420"/>
        <w:jc w:val="both"/>
      </w:pPr>
      <w:r>
        <w:rPr>
          <w:sz w:val="21"/>
        </w:rPr>
        <w:t>1.</w:t>
      </w:r>
      <w:r>
        <w:rPr>
          <w:sz w:val="21"/>
        </w:rPr>
        <w:t>投标人提供的产品应符合采购人招标文件技术要求。所提供的产品应为原厂商生产的、完整、全新、未使用过的产品。产品内附质量说明或使用说明的，投标人同时保证产品质量与内附说明一致，保证产品能按照产品内附说明在本合同约定项目中正常运行和使用。投标人进一步保证，合同项下提供的全部设备没有设计、材料或工艺上的缺陷。</w:t>
      </w:r>
    </w:p>
    <w:p>
      <w:pPr>
        <w:ind w:firstLine="420"/>
        <w:jc w:val="both"/>
      </w:pPr>
      <w:r>
        <w:rPr>
          <w:sz w:val="21"/>
        </w:rPr>
        <w:t>2.</w:t>
      </w:r>
      <w:r>
        <w:rPr>
          <w:sz w:val="21"/>
        </w:rPr>
        <w:t>除非双方另行约定，投标人提供的产品质量应符合同类同规格产品的国家质量标准及行业质量标准，上述质量标准区分等级的，则应符合最高级别的标准；如没有上述标准的，则应具备该类产品通常所应具备的使用功能和质量标准，且能在本合同约定的项目中正常运行和使用。</w:t>
      </w:r>
    </w:p>
    <w:p>
      <w:pPr>
        <w:ind w:firstLine="420"/>
        <w:jc w:val="both"/>
      </w:pPr>
      <w:r>
        <w:rPr>
          <w:sz w:val="21"/>
        </w:rPr>
        <w:t>3.</w:t>
      </w:r>
      <w:r>
        <w:rPr>
          <w:sz w:val="21"/>
        </w:rPr>
        <w:t>投标人承诺提供给采购人的产品已通过原厂商质量测试和检验，供货时附带质量合格证书。（投标时提交承诺，可参照“格式”中《承诺函》格式）</w:t>
      </w:r>
    </w:p>
    <w:p>
      <w:pPr>
        <w:ind w:firstLine="420"/>
        <w:jc w:val="both"/>
      </w:pPr>
      <w:r>
        <w:rPr>
          <w:sz w:val="21"/>
        </w:rPr>
        <w:t>4.</w:t>
      </w:r>
      <w:r>
        <w:rPr>
          <w:sz w:val="21"/>
        </w:rPr>
        <w:t>质量保证期内如产品出现任何质量问题，采购人有权要求投标人予以无条件维修、更换或退货。</w:t>
      </w:r>
    </w:p>
    <w:p>
      <w:pPr>
        <w:ind w:firstLine="420"/>
        <w:jc w:val="both"/>
      </w:pPr>
      <w:r>
        <w:rPr>
          <w:sz w:val="21"/>
        </w:rPr>
        <w:t>5.</w:t>
      </w:r>
      <w:r>
        <w:rPr>
          <w:sz w:val="21"/>
        </w:rPr>
        <w:t>投标人承诺提供的产品及服务是其合法取得，不存在违反进出口管理、产品质量监督、工商管理等国家相关法律法规情形，不存在侵犯第三人的知识产权或其他权利的情形，承诺提供的配件以及电子和机械模块为采购人认可的产品。否则，由此给采购人造成的一切损失由投标人承担。</w:t>
      </w:r>
      <w:r>
        <w:rPr>
          <w:sz w:val="21"/>
        </w:rPr>
        <w:t>（投标时提交承诺，可参照“格式”中《承诺函》格式）。</w:t>
      </w:r>
    </w:p>
    <w:p>
      <w:pPr>
        <w:ind w:firstLine="420"/>
        <w:jc w:val="both"/>
      </w:pPr>
      <w:r>
        <w:rPr>
          <w:sz w:val="21"/>
        </w:rPr>
        <w:t>6.</w:t>
      </w:r>
      <w:r>
        <w:rPr>
          <w:sz w:val="21"/>
        </w:rPr>
        <w:t>因设备的质量问题而发生争议，双方约定由广东省或广州市质检部门进行质量鉴定。设备质量符合质量标准，鉴定费用由采购人承担；设备质量不符合质量标准，鉴定费用由投标人承担。</w:t>
      </w:r>
    </w:p>
    <w:p>
      <w:pPr>
        <w:jc w:val="both"/>
      </w:pPr>
      <w:r>
        <w:rPr>
          <w:b/>
          <w:sz w:val="21"/>
        </w:rPr>
        <w:t>（四）安装、调试要求</w:t>
      </w:r>
    </w:p>
    <w:p>
      <w:pPr>
        <w:ind w:firstLine="420"/>
        <w:jc w:val="both"/>
      </w:pPr>
      <w:r>
        <w:rPr>
          <w:sz w:val="21"/>
        </w:rPr>
        <w:t>1</w:t>
      </w:r>
      <w:r>
        <w:rPr>
          <w:sz w:val="21"/>
        </w:rPr>
        <w:t>．中标人派出的安装人员应具备相关的专业知识、技术水平、相应资质和能力，熟悉本合同所述设备的规格、技术指标及安装工艺，按照设备使用手册和安装说明书要求进行安装，有足够能力安装、调试本项目的设备并使之达到本项目招标文件的要求；采购人人员积极配合中标人实施上述工作。中标人负责确保现场工作质量并解决技术疑难。技术服务费用包含在投标总报价内，投标人应在投标文件中进行报价。</w:t>
      </w:r>
    </w:p>
    <w:p>
      <w:pPr>
        <w:ind w:firstLine="420"/>
        <w:jc w:val="both"/>
      </w:pPr>
      <w:r>
        <w:rPr>
          <w:sz w:val="21"/>
        </w:rPr>
        <w:t>2.</w:t>
      </w:r>
      <w:r>
        <w:rPr>
          <w:sz w:val="21"/>
        </w:rPr>
        <w:t>中标人应向采购人提供项目内所有设备的安装调试服务及所需的一切材料及技术资料、图纸说明。</w:t>
      </w:r>
    </w:p>
    <w:p>
      <w:pPr>
        <w:ind w:firstLine="420"/>
        <w:jc w:val="both"/>
      </w:pPr>
      <w:r>
        <w:rPr>
          <w:sz w:val="21"/>
        </w:rPr>
        <w:t>3.</w:t>
      </w:r>
      <w:r>
        <w:rPr>
          <w:sz w:val="21"/>
        </w:rPr>
        <w:t>中标人在工程实施前向采购人提交详细的实施方案。中标人应根据采购人现场实施环境提出合理的施工方案及供电连续性保障方案，提交采购人审核，最终实施方案需经采购人确认方可实施，实施时间以采购人确定的窗口时间为准。</w:t>
      </w:r>
    </w:p>
    <w:p>
      <w:pPr>
        <w:ind w:firstLine="420"/>
        <w:jc w:val="both"/>
      </w:pPr>
      <w:r>
        <w:rPr>
          <w:sz w:val="21"/>
        </w:rPr>
        <w:t>4.</w:t>
      </w:r>
      <w:r>
        <w:rPr>
          <w:sz w:val="21"/>
        </w:rPr>
        <w:t>根据项目需要，中标人负责办理包括但不限于供电局停送电申请等报批报建手续，并按有关单位要求提供试验报告及相关材料文书，所需费用包含在投标总报价内，采购人不再另行支付上述产生的费用。</w:t>
      </w:r>
    </w:p>
    <w:p>
      <w:pPr>
        <w:ind w:firstLine="420"/>
        <w:jc w:val="both"/>
      </w:pPr>
      <w:r>
        <w:rPr>
          <w:sz w:val="21"/>
        </w:rPr>
        <w:t>5.</w:t>
      </w:r>
      <w:r>
        <w:rPr>
          <w:sz w:val="21"/>
        </w:rPr>
        <w:t>中标人在接到采购人要求开始安装的通知后2天内须派合适的人员到现场进行安装和调试。</w:t>
      </w:r>
    </w:p>
    <w:p>
      <w:pPr>
        <w:ind w:firstLine="420"/>
        <w:jc w:val="both"/>
      </w:pPr>
      <w:r>
        <w:rPr>
          <w:sz w:val="21"/>
        </w:rPr>
        <w:t>6.</w:t>
      </w:r>
      <w:r>
        <w:rPr>
          <w:sz w:val="21"/>
        </w:rPr>
        <w:t>中标人负责实施及监督所供设备的试运行，并在双方商定的一定期限内对所供设备运行、维护实施监督指导，但监督指导并不能免除中标人在质量保证期内所承担的义务。</w:t>
      </w:r>
    </w:p>
    <w:p>
      <w:pPr>
        <w:ind w:firstLine="420"/>
        <w:jc w:val="both"/>
      </w:pPr>
      <w:r>
        <w:rPr>
          <w:sz w:val="21"/>
        </w:rPr>
        <w:t>7.</w:t>
      </w:r>
      <w:r>
        <w:rPr>
          <w:sz w:val="21"/>
        </w:rPr>
        <w:t>中标人应在测试与验收前，向采购人提供按本招标文件及采购合同的技术规格、技术规范的要求进行的测试与验收方案。</w:t>
      </w:r>
    </w:p>
    <w:p>
      <w:pPr>
        <w:ind w:firstLine="420"/>
        <w:jc w:val="both"/>
      </w:pPr>
      <w:r>
        <w:rPr>
          <w:sz w:val="21"/>
        </w:rPr>
        <w:t>8.</w:t>
      </w:r>
      <w:r>
        <w:rPr>
          <w:sz w:val="21"/>
        </w:rPr>
        <w:t>中标人提供的设备不符合质量要求，致使设备未达到采购人要求的设计性能，采购人可拒收设备并根据实际情况单方解除合同部分或全部内容。</w:t>
      </w:r>
    </w:p>
    <w:p>
      <w:pPr>
        <w:ind w:firstLine="420"/>
        <w:jc w:val="both"/>
      </w:pPr>
      <w:r>
        <w:rPr>
          <w:sz w:val="21"/>
        </w:rPr>
        <w:t>9.</w:t>
      </w:r>
      <w:r>
        <w:rPr>
          <w:sz w:val="21"/>
        </w:rPr>
        <w:t>采购人为安装调试提供工作场地、电源等条件，产品安装调试所需的耗材、设备、工具全部由中标人提供，中标人在安装调试过程中应当遵守采购人工作场所的工作纪律及相关管理规定。</w:t>
      </w:r>
    </w:p>
    <w:p>
      <w:pPr>
        <w:ind w:firstLine="420"/>
        <w:jc w:val="both"/>
      </w:pPr>
      <w:r>
        <w:rPr>
          <w:sz w:val="21"/>
        </w:rPr>
        <w:t>10.</w:t>
      </w:r>
      <w:r>
        <w:rPr>
          <w:sz w:val="21"/>
        </w:rPr>
        <w:t>如果中标人没有按以上要求，按采购人安排的时间进行有关工作，采购人有权在相应的付款时间段推迟付款，直至投标人完成此时间段的工作。</w:t>
      </w:r>
    </w:p>
    <w:p>
      <w:pPr>
        <w:jc w:val="both"/>
      </w:pPr>
      <w:r>
        <w:rPr>
          <w:b/>
          <w:sz w:val="21"/>
        </w:rPr>
        <w:t>（五）所有权和知识产权要求</w:t>
      </w:r>
    </w:p>
    <w:p>
      <w:pPr>
        <w:ind w:firstLine="420"/>
        <w:jc w:val="both"/>
      </w:pPr>
      <w:r>
        <w:rPr>
          <w:sz w:val="21"/>
        </w:rPr>
        <w:t>投标人承诺本项目涉及的所有货物无任何所有权和知识产权纠纷</w:t>
      </w:r>
      <w:r>
        <w:rPr>
          <w:sz w:val="21"/>
        </w:rPr>
        <w:t>（投标时提交承诺，可参照“格式”中《承诺函》格式）。</w:t>
      </w:r>
      <w:r>
        <w:rPr>
          <w:sz w:val="21"/>
        </w:rPr>
        <w:t>因所有权或知识产权引起第三方对采购人侵权的指控或纠纷由中标人负责解决。由此产生的经济、法律后果由中标人承担。</w:t>
      </w:r>
    </w:p>
    <w:p>
      <w:pPr>
        <w:jc w:val="both"/>
      </w:pPr>
      <w:r>
        <w:rPr>
          <w:b/>
          <w:sz w:val="21"/>
        </w:rPr>
        <w:t>（六）保密要求</w:t>
      </w:r>
    </w:p>
    <w:p>
      <w:pPr>
        <w:ind w:firstLine="420"/>
        <w:jc w:val="both"/>
      </w:pPr>
      <w:r>
        <w:rPr>
          <w:sz w:val="21"/>
        </w:rPr>
        <w:t>投标人在双方合作过程中，应为采购人的项目相关信息和资料保守秘密，一旦泄密，将遵照有关法律法规追究中标人及责任人的法律责任。</w:t>
      </w:r>
    </w:p>
    <w:p>
      <w:pPr>
        <w:jc w:val="both"/>
      </w:pPr>
      <w:r>
        <w:rPr>
          <w:b/>
          <w:sz w:val="21"/>
        </w:rPr>
        <w:t>（七）设备试验、试运行和验收</w:t>
      </w:r>
    </w:p>
    <w:p>
      <w:pPr>
        <w:ind w:firstLine="420"/>
        <w:jc w:val="both"/>
      </w:pPr>
      <w:r>
        <w:rPr>
          <w:sz w:val="21"/>
        </w:rPr>
        <w:t>1.</w:t>
      </w:r>
      <w:r>
        <w:rPr>
          <w:sz w:val="21"/>
        </w:rPr>
        <w:t>到货开箱检验</w:t>
      </w:r>
    </w:p>
    <w:p>
      <w:pPr>
        <w:ind w:firstLine="420"/>
        <w:jc w:val="both"/>
      </w:pPr>
      <w:r>
        <w:rPr>
          <w:sz w:val="21"/>
        </w:rPr>
        <w:t>设备到达目的地后，中标人有义务协同采购人技术人员实施开箱检查。检查内容包括但不限于：产品外观、数量、种类等。开箱检验结果不作为免除中标人合同义务的依据。</w:t>
      </w:r>
    </w:p>
    <w:p>
      <w:pPr>
        <w:ind w:firstLine="420"/>
        <w:jc w:val="both"/>
      </w:pPr>
      <w:r>
        <w:rPr>
          <w:sz w:val="21"/>
        </w:rPr>
        <w:t>2.</w:t>
      </w:r>
      <w:r>
        <w:rPr>
          <w:sz w:val="21"/>
        </w:rPr>
        <w:t>现场交接试验</w:t>
      </w:r>
    </w:p>
    <w:p>
      <w:pPr>
        <w:ind w:firstLine="420"/>
        <w:jc w:val="both"/>
      </w:pPr>
      <w:r>
        <w:rPr>
          <w:sz w:val="21"/>
        </w:rPr>
        <w:t>产品安装、调试完毕后，负载接入和设备试运行前，应进行</w:t>
      </w:r>
      <w:r>
        <w:rPr>
          <w:sz w:val="21"/>
        </w:rPr>
        <w:t>现场交接试验</w:t>
      </w:r>
      <w:r>
        <w:rPr>
          <w:sz w:val="21"/>
        </w:rPr>
        <w:t>，包括但不限于现场UPS假负载试验，假负载功率可调，且最大功率不小于500kW。试验由具备《承装（修、试）电力设施许可证》的机构按国家、行业标准和规定实施，试验结束后出具《试验报告》。如果试验结果全部满足国家标准、行业标准、厂家规范和本需求书要求，经采购人同意，中标人将负载迁移至UPS供电，负载送电正常且采购人收到中标人出具的试运行书面申请后，进入为期三个月的试运行期。</w:t>
      </w:r>
    </w:p>
    <w:p>
      <w:pPr>
        <w:ind w:firstLine="420"/>
        <w:jc w:val="both"/>
      </w:pPr>
      <w:r>
        <w:rPr>
          <w:sz w:val="21"/>
        </w:rPr>
        <w:t>3.</w:t>
      </w:r>
      <w:r>
        <w:rPr>
          <w:sz w:val="21"/>
        </w:rPr>
        <w:t>试运行期</w:t>
      </w:r>
    </w:p>
    <w:p>
      <w:pPr>
        <w:ind w:firstLine="420"/>
        <w:jc w:val="both"/>
      </w:pPr>
      <w:r>
        <w:rPr>
          <w:sz w:val="21"/>
        </w:rPr>
        <w:t>本项目所购设备试运行期为三个月，设备试运行由中标人负责实施，采购人配合。在试运行过程中，因供货设备本身因素引起的技术要求不满足、零部件故障，中标人应负责维修设备或更换零部件，直至设备指标达到标准，此后中标人向采购人提交延长试运行期的书面申请，试运行期延长15天。如果UPS、蓄电池、动力环境监控系统等主要供货设备的质量问题无法通过维修或更换零部件消除，中标人应无偿更换相应的供货设备，设备质量问题消除后，中标人向采购人提交延长试运行期的书面申请，设备重新投入试运行，试运行时间重新计算。</w:t>
      </w:r>
    </w:p>
    <w:p>
      <w:pPr>
        <w:ind w:firstLine="420"/>
        <w:jc w:val="both"/>
      </w:pPr>
      <w:r>
        <w:rPr>
          <w:sz w:val="21"/>
        </w:rPr>
        <w:t>在试运行、设备维修和更换过程中，中标人应采取必要手段保障现场用电设备的不间断稳定运行，不得影响采购人的安全播出任务，由此产生的所有费用由中标人负责。</w:t>
      </w:r>
    </w:p>
    <w:p>
      <w:pPr>
        <w:ind w:firstLine="420"/>
        <w:jc w:val="both"/>
      </w:pPr>
      <w:r>
        <w:rPr>
          <w:sz w:val="21"/>
        </w:rPr>
        <w:t>因产品质量问题或中标人自身因素导致试运行期延长的，中标人应继续按招投标文件要求和合同约定的交付时间完成项目交付。</w:t>
      </w:r>
    </w:p>
    <w:p>
      <w:pPr>
        <w:ind w:firstLine="420"/>
        <w:jc w:val="both"/>
      </w:pPr>
      <w:r>
        <w:rPr>
          <w:sz w:val="21"/>
        </w:rPr>
        <w:t>4.</w:t>
      </w:r>
      <w:r>
        <w:rPr>
          <w:sz w:val="21"/>
        </w:rPr>
        <w:t>最终验收</w:t>
      </w:r>
    </w:p>
    <w:p>
      <w:pPr>
        <w:ind w:firstLine="420"/>
        <w:jc w:val="both"/>
      </w:pPr>
      <w:r>
        <w:rPr>
          <w:sz w:val="21"/>
        </w:rPr>
        <w:t>试运行期结束且设备无质量问题，中标人应按采购人提出的技术指标要求和国家、行业相关标准制订验收方案（含验收程序、测试方法、合格指标等），并向采购人提交书面的验收申请。验收方案经采购人认可，在双方代表均在场的情况下，采购人组织验收小组进行最终验收，确认每个设备和整个系统是否已达到验收方案中制订的各项指标。如果验收指标全部符合要求，双方共同签署验收报告。</w:t>
      </w:r>
    </w:p>
    <w:p>
      <w:pPr>
        <w:ind w:firstLine="420"/>
        <w:jc w:val="both"/>
      </w:pPr>
      <w:r>
        <w:rPr>
          <w:sz w:val="21"/>
        </w:rPr>
        <w:t>5.</w:t>
      </w:r>
      <w:r>
        <w:rPr>
          <w:sz w:val="21"/>
        </w:rPr>
        <w:t>各阶段试验、验收和试运行均按国家标准、行业规范、厂家标准、招投标文件、采购合同及其附件要求执行，各阶段试验、验收和试运行所需的资金、设备、仪器、技术人员由中标人提供。</w:t>
      </w:r>
    </w:p>
    <w:p>
      <w:pPr>
        <w:jc w:val="both"/>
      </w:pPr>
      <w:r>
        <w:rPr>
          <w:b/>
          <w:sz w:val="21"/>
        </w:rPr>
        <w:t>（八）售后服务</w:t>
      </w:r>
    </w:p>
    <w:p>
      <w:pPr>
        <w:ind w:firstLine="420"/>
        <w:jc w:val="both"/>
      </w:pPr>
      <w:r>
        <w:rPr>
          <w:sz w:val="21"/>
        </w:rPr>
        <w:t>★1．投标人在交付地点所在城市（广州）有售后服务点，负责供货设备的终身售后服务。（提交以下证明材料之一：①需提供产权证明复印件（或租赁合同或合作协议）；②承诺如在本项目中标，签订合同后5个工作日内配备满足上述条件的服务点（投标时提交承诺，可参照“格式”中《承诺函》格式））。</w:t>
      </w:r>
    </w:p>
    <w:p>
      <w:pPr>
        <w:ind w:firstLine="420"/>
        <w:jc w:val="both"/>
      </w:pPr>
      <w:r>
        <w:rPr>
          <w:sz w:val="21"/>
        </w:rPr>
        <w:t>2</w:t>
      </w:r>
      <w:r>
        <w:rPr>
          <w:sz w:val="21"/>
        </w:rPr>
        <w:t>．质保期售后服务</w:t>
      </w:r>
    </w:p>
    <w:p>
      <w:pPr>
        <w:ind w:firstLine="420"/>
        <w:jc w:val="both"/>
      </w:pPr>
      <w:r>
        <w:rPr>
          <w:sz w:val="21"/>
        </w:rPr>
        <w:t>★（1）本项目质保期不少于四年，自最终验收合格双方签署验收报告之日起计算。质保期内，如设备或零部件因非人为因素出现故障而造成短期停用时，则质保期和免费维修期相应顺延。如停用时间累计超过60天则质保期重新计算（投标时提交承诺，可参照“格式”中《承诺函》格式）。</w:t>
      </w:r>
    </w:p>
    <w:p>
      <w:pPr>
        <w:ind w:firstLine="420"/>
        <w:jc w:val="both"/>
      </w:pPr>
      <w:r>
        <w:rPr>
          <w:sz w:val="21"/>
        </w:rPr>
        <w:t>（2）质保期内，售后服务机构向采购人提供不少于每年1次的设备定期巡检维护和7×24小时故障维修及技术支持服务，产生的费用包含在投标总报价内，采购人不再另行支付上述费用。定期巡检维护内容包括但不限于：</w:t>
      </w:r>
    </w:p>
    <w:p>
      <w:pPr>
        <w:ind w:firstLine="420"/>
        <w:jc w:val="both"/>
      </w:pPr>
      <w:r>
        <w:rPr>
          <w:sz w:val="21"/>
        </w:rPr>
        <w:t>①动力环境监控系统设备、功能检查及测试；</w:t>
      </w:r>
    </w:p>
    <w:p>
      <w:pPr>
        <w:ind w:firstLine="420"/>
        <w:jc w:val="both"/>
      </w:pPr>
      <w:r>
        <w:rPr>
          <w:sz w:val="21"/>
        </w:rPr>
        <w:t>②配电房环境检查；</w:t>
      </w:r>
    </w:p>
    <w:p>
      <w:pPr>
        <w:ind w:firstLine="420"/>
        <w:jc w:val="both"/>
      </w:pPr>
      <w:r>
        <w:rPr>
          <w:sz w:val="21"/>
        </w:rPr>
        <w:t>③UPS输入输出配电检查（含配电柜外观、内部和开关工作状态，线缆外观及端子紧固状态、布线状况，开关和线缆温度情况等）；</w:t>
      </w:r>
    </w:p>
    <w:p>
      <w:pPr>
        <w:ind w:firstLine="420"/>
        <w:jc w:val="both"/>
      </w:pPr>
      <w:r>
        <w:rPr>
          <w:sz w:val="21"/>
        </w:rPr>
        <w:t>④UPS运行状态检查（含历史记录分析、零部件运行情况检查、参数设置校对、运行参数检查等）；</w:t>
      </w:r>
    </w:p>
    <w:p>
      <w:pPr>
        <w:ind w:firstLine="420"/>
        <w:jc w:val="both"/>
      </w:pPr>
      <w:r>
        <w:rPr>
          <w:sz w:val="21"/>
        </w:rPr>
        <w:t>⑤UPS外观检查和清洁；</w:t>
      </w:r>
    </w:p>
    <w:p>
      <w:pPr>
        <w:ind w:firstLine="420"/>
        <w:jc w:val="both"/>
      </w:pPr>
      <w:r>
        <w:rPr>
          <w:sz w:val="21"/>
        </w:rPr>
        <w:t>⑥UPS功能切换测试；</w:t>
      </w:r>
    </w:p>
    <w:p>
      <w:pPr>
        <w:ind w:firstLine="420"/>
        <w:jc w:val="both"/>
      </w:pPr>
      <w:r>
        <w:rPr>
          <w:sz w:val="21"/>
        </w:rPr>
        <w:t>⑦UPS电池检查（含外观检查、电压测量、内阻测量、放电测试等）。</w:t>
      </w:r>
    </w:p>
    <w:p>
      <w:pPr>
        <w:ind w:firstLine="420"/>
        <w:jc w:val="both"/>
      </w:pPr>
      <w:r>
        <w:rPr>
          <w:sz w:val="21"/>
        </w:rPr>
        <w:t>售后服务机构需根据巡检结果出具报告并提出优化建议。</w:t>
      </w:r>
    </w:p>
    <w:p>
      <w:pPr>
        <w:ind w:firstLine="420"/>
        <w:jc w:val="both"/>
      </w:pPr>
      <w:r>
        <w:rPr>
          <w:sz w:val="21"/>
        </w:rPr>
        <w:t>（3）质保期内，中标人应为采购人提供不少于3台新增设备（带通讯口）的动力环境监控系统接入的服务，所产生的费用包含在投标总报价内，采购人不再另行支付上述产生的费用。</w:t>
      </w:r>
    </w:p>
    <w:p>
      <w:pPr>
        <w:ind w:firstLine="420"/>
        <w:jc w:val="both"/>
      </w:pPr>
      <w:r>
        <w:rPr>
          <w:sz w:val="21"/>
        </w:rPr>
        <w:t>（4）投标人应保证所投产品在标准工作环境下正常工作。在质保期内，如有任何不正常/或故障发生，售后服务机构应调查原因并及时免费修复直至达到招投标文件和合同规定指标。在设备发生故障的情况下，售后服务机构应承诺在1小时内响应，如需赴故障现场处置的，应在4小时内赶到故障现场，到达现场后12小时内排除故障，如不能在规定时间内排除故障的，中标人应在48小时内无偿提供备用设备替代使用，以保障播出安全。对非采购人原因造成的设备部分或全部损坏，应由中标人无偿替换。</w:t>
      </w:r>
    </w:p>
    <w:p>
      <w:pPr>
        <w:ind w:firstLine="420"/>
        <w:jc w:val="both"/>
      </w:pPr>
      <w:r>
        <w:rPr>
          <w:sz w:val="21"/>
        </w:rPr>
        <w:t>3</w:t>
      </w:r>
      <w:r>
        <w:rPr>
          <w:sz w:val="21"/>
        </w:rPr>
        <w:t>．质保期外售后服务</w:t>
      </w:r>
    </w:p>
    <w:p>
      <w:pPr>
        <w:ind w:firstLine="420"/>
        <w:jc w:val="both"/>
      </w:pPr>
      <w:r>
        <w:rPr>
          <w:sz w:val="21"/>
        </w:rPr>
        <w:t>（1）设备终身维修，人工费优惠，对于所更换零部件，只收成本费用。质保期外的响应时间与质保期内一样。</w:t>
      </w:r>
      <w:r>
        <w:br/>
      </w:r>
      <w:r>
        <w:rPr>
          <w:sz w:val="21"/>
        </w:rPr>
        <w:t xml:space="preserve">   （2）质保期外，如采购人向中标人采购设备定期巡检维护服务，中标人应给与优惠，只收成本价。</w:t>
      </w:r>
    </w:p>
    <w:p>
      <w:pPr>
        <w:ind w:firstLine="420"/>
        <w:jc w:val="both"/>
      </w:pPr>
      <w:r>
        <w:rPr>
          <w:sz w:val="21"/>
        </w:rPr>
        <w:t>（3）对于所供货物的关键零部件，乙方承诺提供不少于15年的备品供应服务（投标时提交承诺，可参照“格式”中《承诺函》格式）。</w:t>
      </w:r>
    </w:p>
    <w:p>
      <w:pPr>
        <w:ind w:firstLine="420"/>
        <w:jc w:val="both"/>
      </w:pPr>
      <w:r>
        <w:rPr>
          <w:sz w:val="21"/>
        </w:rPr>
        <w:t>4</w:t>
      </w:r>
      <w:r>
        <w:rPr>
          <w:sz w:val="21"/>
        </w:rPr>
        <w:t>．额外售后服务</w:t>
      </w:r>
    </w:p>
    <w:p>
      <w:pPr>
        <w:ind w:firstLine="420"/>
        <w:jc w:val="both"/>
      </w:pPr>
      <w:r>
        <w:rPr>
          <w:sz w:val="21"/>
        </w:rPr>
        <w:t>投标人根据自身情况和设备特点，可提出对投标设备运行、维护有利的额外售后服务承诺。</w:t>
      </w:r>
    </w:p>
    <w:p>
      <w:pPr>
        <w:ind w:firstLine="420"/>
        <w:jc w:val="both"/>
      </w:pPr>
      <w:r>
        <w:rPr>
          <w:sz w:val="21"/>
        </w:rPr>
        <w:t>5.</w:t>
      </w:r>
      <w:r>
        <w:rPr>
          <w:sz w:val="21"/>
        </w:rPr>
        <w:t>售后服务方案</w:t>
      </w:r>
    </w:p>
    <w:p>
      <w:pPr>
        <w:ind w:firstLine="420"/>
        <w:jc w:val="both"/>
      </w:pPr>
      <w:r>
        <w:rPr>
          <w:sz w:val="21"/>
        </w:rPr>
        <w:t>投标人投标时应根据本需求书要求提交售后服务方案，方案内容包括但不限于：</w:t>
      </w:r>
    </w:p>
    <w:p>
      <w:pPr>
        <w:ind w:firstLine="420"/>
        <w:jc w:val="both"/>
      </w:pPr>
      <w:r>
        <w:rPr>
          <w:sz w:val="21"/>
        </w:rPr>
        <w:t>（1）免费质保期；</w:t>
      </w:r>
    </w:p>
    <w:p>
      <w:pPr>
        <w:ind w:firstLine="420"/>
        <w:jc w:val="both"/>
      </w:pPr>
      <w:r>
        <w:rPr>
          <w:sz w:val="21"/>
        </w:rPr>
        <w:t>（2）故障维修、定期巡检服务内容</w:t>
      </w:r>
    </w:p>
    <w:p>
      <w:pPr>
        <w:ind w:firstLine="420"/>
        <w:jc w:val="both"/>
      </w:pPr>
      <w:r>
        <w:rPr>
          <w:sz w:val="21"/>
        </w:rPr>
        <w:t>（3）应急抢修服务内容、响应时间；</w:t>
      </w:r>
    </w:p>
    <w:p>
      <w:pPr>
        <w:ind w:firstLine="420"/>
        <w:jc w:val="both"/>
      </w:pPr>
      <w:r>
        <w:rPr>
          <w:sz w:val="21"/>
        </w:rPr>
        <w:t>（4）质保期内维修服务收费标准，应免费；</w:t>
      </w:r>
    </w:p>
    <w:p>
      <w:pPr>
        <w:ind w:firstLine="420"/>
        <w:jc w:val="both"/>
      </w:pPr>
      <w:r>
        <w:rPr>
          <w:sz w:val="21"/>
        </w:rPr>
        <w:t>（5）制造商的技术支持服务时间；</w:t>
      </w:r>
    </w:p>
    <w:p>
      <w:pPr>
        <w:ind w:firstLine="420"/>
        <w:jc w:val="both"/>
      </w:pPr>
      <w:r>
        <w:rPr>
          <w:sz w:val="21"/>
        </w:rPr>
        <w:t>（6）质保期外维修服务、定期巡检服务收费标准，应低于市场价格，只收成本价；</w:t>
      </w:r>
    </w:p>
    <w:p>
      <w:pPr>
        <w:ind w:firstLine="420"/>
        <w:jc w:val="both"/>
      </w:pPr>
      <w:r>
        <w:rPr>
          <w:sz w:val="21"/>
        </w:rPr>
        <w:t>（7）额外的服务承诺。</w:t>
      </w:r>
    </w:p>
    <w:p>
      <w:pPr>
        <w:ind w:firstLine="420"/>
        <w:jc w:val="both"/>
      </w:pPr>
      <w:r>
        <w:rPr>
          <w:sz w:val="21"/>
        </w:rPr>
        <w:t>各项内容应满足需求书要求。</w:t>
      </w:r>
    </w:p>
    <w:p>
      <w:pPr>
        <w:jc w:val="both"/>
      </w:pPr>
      <w:r>
        <w:rPr>
          <w:b/>
          <w:sz w:val="21"/>
        </w:rPr>
        <w:t>（九）技术文件</w:t>
      </w:r>
    </w:p>
    <w:p>
      <w:pPr>
        <w:ind w:firstLine="420"/>
        <w:jc w:val="both"/>
      </w:pPr>
      <w:r>
        <w:rPr>
          <w:sz w:val="21"/>
        </w:rPr>
        <w:t>中标人供货时应提供3整套图纸、技术手册和安装维护手册，这些手册应包括设备性能描述、指标参数、维护所必须了解的信息以及测试方法。这些技术资料和图纸均应使用中文，易于采购人查阅。包括但不限于以下资料：</w:t>
      </w:r>
    </w:p>
    <w:p>
      <w:pPr>
        <w:ind w:firstLine="420"/>
        <w:jc w:val="both"/>
      </w:pPr>
      <w:r>
        <w:rPr>
          <w:sz w:val="21"/>
        </w:rPr>
        <w:t>1.</w:t>
      </w:r>
      <w:r>
        <w:rPr>
          <w:sz w:val="21"/>
        </w:rPr>
        <w:t>由具备乙级或以上电力行业（送电工程专业或变电工程专业或送变电工程专业）设计资质的供应商编制的低压配电系统设计施工图纸；</w:t>
      </w:r>
    </w:p>
    <w:p>
      <w:r>
        <w:rPr>
          <w:color w:val="000000"/>
          <w:sz w:val="24"/>
        </w:rPr>
        <w:t>2.</w:t>
      </w:r>
      <w:r>
        <w:rPr>
          <w:color w:val="000000"/>
          <w:sz w:val="24"/>
        </w:rPr>
        <w:t>动力环境监控系统拓扑图；</w:t>
      </w:r>
    </w:p>
    <w:p>
      <w:r>
        <w:rPr>
          <w:color w:val="000000"/>
          <w:sz w:val="24"/>
        </w:rPr>
        <w:t>3.</w:t>
      </w:r>
      <w:r>
        <w:rPr>
          <w:color w:val="000000"/>
          <w:sz w:val="24"/>
        </w:rPr>
        <w:t>各系统竣工图纸；</w:t>
      </w:r>
    </w:p>
    <w:p>
      <w:r>
        <w:rPr>
          <w:color w:val="000000"/>
          <w:sz w:val="24"/>
        </w:rPr>
        <w:t>4.</w:t>
      </w:r>
      <w:r>
        <w:rPr>
          <w:color w:val="000000"/>
          <w:sz w:val="24"/>
        </w:rPr>
        <w:t>各种设备的详细说明书：</w:t>
      </w:r>
    </w:p>
    <w:p>
      <w:pPr>
        <w:ind w:firstLine="210"/>
        <w:jc w:val="both"/>
      </w:pPr>
      <w:r>
        <w:rPr>
          <w:sz w:val="21"/>
        </w:rPr>
        <w:t>应包括详细技术指标、工作原理、方框图以及机架结构尺寸、重量和详细布线图等；</w:t>
      </w:r>
    </w:p>
    <w:p>
      <w:r>
        <w:rPr>
          <w:color w:val="000000"/>
          <w:sz w:val="24"/>
        </w:rPr>
        <w:t>5.</w:t>
      </w:r>
      <w:r>
        <w:rPr>
          <w:color w:val="000000"/>
          <w:sz w:val="24"/>
        </w:rPr>
        <w:t>各种设备的常见故障、详细检查、测试方法和处理方法；</w:t>
      </w:r>
    </w:p>
    <w:p>
      <w:r>
        <w:rPr>
          <w:color w:val="000000"/>
          <w:sz w:val="24"/>
        </w:rPr>
        <w:t>6.</w:t>
      </w:r>
      <w:r>
        <w:rPr>
          <w:color w:val="000000"/>
          <w:sz w:val="24"/>
        </w:rPr>
        <w:t>各种设备的详细操作方法和维护要求；</w:t>
      </w:r>
    </w:p>
    <w:p>
      <w:r>
        <w:rPr>
          <w:color w:val="000000"/>
          <w:sz w:val="24"/>
        </w:rPr>
        <w:t>7.</w:t>
      </w:r>
      <w:r>
        <w:rPr>
          <w:color w:val="000000"/>
          <w:sz w:val="24"/>
        </w:rPr>
        <w:t>各种设备的详细安装方法；</w:t>
      </w:r>
    </w:p>
    <w:p>
      <w:r>
        <w:rPr>
          <w:color w:val="000000"/>
          <w:sz w:val="24"/>
        </w:rPr>
        <w:t>8.</w:t>
      </w:r>
      <w:r>
        <w:rPr>
          <w:color w:val="000000"/>
          <w:sz w:val="24"/>
        </w:rPr>
        <w:t>检查项目、指标和测试：</w:t>
      </w:r>
    </w:p>
    <w:p>
      <w:pPr>
        <w:ind w:firstLine="420"/>
        <w:jc w:val="both"/>
      </w:pPr>
      <w:r>
        <w:rPr>
          <w:sz w:val="21"/>
        </w:rPr>
        <w:t>（1）各种设备的出厂验查项目、指标和测试方法；</w:t>
      </w:r>
    </w:p>
    <w:p>
      <w:pPr>
        <w:ind w:firstLine="420"/>
        <w:jc w:val="both"/>
      </w:pPr>
      <w:r>
        <w:rPr>
          <w:sz w:val="21"/>
        </w:rPr>
        <w:t>（2）各种设备的出厂测试记录；</w:t>
      </w:r>
    </w:p>
    <w:p>
      <w:pPr>
        <w:ind w:firstLine="420"/>
        <w:jc w:val="both"/>
      </w:pPr>
      <w:r>
        <w:rPr>
          <w:sz w:val="21"/>
        </w:rPr>
        <w:t>（3）各种设备的高低温实验记录。</w:t>
      </w:r>
    </w:p>
    <w:p>
      <w:pPr>
        <w:jc w:val="both"/>
      </w:pPr>
      <w:r>
        <w:rPr>
          <w:b/>
          <w:sz w:val="21"/>
        </w:rPr>
        <w:t>（十）培训</w:t>
      </w:r>
    </w:p>
    <w:p>
      <w:pPr>
        <w:ind w:firstLine="420"/>
        <w:jc w:val="both"/>
      </w:pPr>
      <w:r>
        <w:rPr>
          <w:sz w:val="21"/>
        </w:rPr>
        <w:t>投标人应为采购人提供保证本项目顺利实施和设备正常运行所必须的培训，任教的培训讲师应该是有经验的工程师，培训教材应由投标人提供，培训费用（包括但不限于讲师费用、教材费用、食宿费用、交通费用等）列入投标总价。培训要求如下：</w:t>
      </w:r>
    </w:p>
    <w:p>
      <w:pPr>
        <w:ind w:firstLine="420"/>
        <w:jc w:val="both"/>
      </w:pPr>
      <w:r>
        <w:rPr>
          <w:sz w:val="21"/>
        </w:rPr>
        <w:t>1.</w:t>
      </w:r>
      <w:r>
        <w:rPr>
          <w:sz w:val="21"/>
        </w:rPr>
        <w:t>培训人数：≥15人</w:t>
      </w:r>
    </w:p>
    <w:p>
      <w:pPr>
        <w:ind w:firstLine="420"/>
        <w:jc w:val="both"/>
      </w:pPr>
      <w:r>
        <w:rPr>
          <w:sz w:val="21"/>
        </w:rPr>
        <w:t>2.</w:t>
      </w:r>
      <w:r>
        <w:rPr>
          <w:sz w:val="21"/>
        </w:rPr>
        <w:t>培训时间：≥2天</w:t>
      </w:r>
    </w:p>
    <w:p>
      <w:pPr>
        <w:ind w:firstLine="420"/>
        <w:jc w:val="both"/>
      </w:pPr>
      <w:r>
        <w:rPr>
          <w:sz w:val="21"/>
        </w:rPr>
        <w:t>3.</w:t>
      </w:r>
      <w:r>
        <w:rPr>
          <w:sz w:val="21"/>
        </w:rPr>
        <w:t>培训地点：广州</w:t>
      </w:r>
    </w:p>
    <w:p>
      <w:pPr>
        <w:ind w:firstLine="420"/>
        <w:jc w:val="both"/>
      </w:pPr>
      <w:r>
        <w:rPr>
          <w:sz w:val="21"/>
        </w:rPr>
        <w:t>4.</w:t>
      </w:r>
      <w:r>
        <w:rPr>
          <w:sz w:val="21"/>
        </w:rPr>
        <w:t>课程主要内容包括但不限于：</w:t>
      </w:r>
    </w:p>
    <w:p>
      <w:pPr>
        <w:ind w:firstLine="630"/>
        <w:jc w:val="both"/>
      </w:pPr>
      <w:r>
        <w:rPr>
          <w:sz w:val="21"/>
        </w:rPr>
        <w:t>1</w:t>
      </w:r>
      <w:r>
        <w:rPr>
          <w:sz w:val="21"/>
        </w:rPr>
        <w:t>）越秀山电视塔低压配电系统运行原理；</w:t>
      </w:r>
    </w:p>
    <w:p>
      <w:pPr>
        <w:ind w:firstLine="630"/>
        <w:jc w:val="both"/>
      </w:pPr>
      <w:r>
        <w:rPr>
          <w:sz w:val="21"/>
        </w:rPr>
        <w:t>2</w:t>
      </w:r>
      <w:r>
        <w:rPr>
          <w:sz w:val="21"/>
        </w:rPr>
        <w:t>）UPS运行原理、操作规程、运维保养方法和规定、常见故障处理方法、应急处置方法等；</w:t>
      </w:r>
    </w:p>
    <w:p>
      <w:pPr>
        <w:ind w:firstLine="630"/>
        <w:jc w:val="both"/>
      </w:pPr>
      <w:r>
        <w:rPr>
          <w:sz w:val="21"/>
        </w:rPr>
        <w:t>3</w:t>
      </w:r>
      <w:r>
        <w:rPr>
          <w:sz w:val="21"/>
        </w:rPr>
        <w:t>）蓄电池组运维保养方法和规定、定期检测方法及故障判定、常见故障处理等；</w:t>
      </w:r>
    </w:p>
    <w:p>
      <w:pPr>
        <w:ind w:firstLine="630"/>
        <w:jc w:val="both"/>
      </w:pPr>
      <w:r>
        <w:rPr>
          <w:sz w:val="21"/>
        </w:rPr>
        <w:t>4</w:t>
      </w:r>
      <w:r>
        <w:rPr>
          <w:sz w:val="21"/>
        </w:rPr>
        <w:t>）蓄电池在线监测系统的运行原理、运维保养方法和规定、常见故障处理等；</w:t>
      </w:r>
    </w:p>
    <w:p>
      <w:pPr>
        <w:ind w:firstLine="630"/>
        <w:jc w:val="both"/>
      </w:pPr>
      <w:r>
        <w:rPr>
          <w:sz w:val="21"/>
        </w:rPr>
        <w:t>5</w:t>
      </w:r>
      <w:r>
        <w:rPr>
          <w:sz w:val="21"/>
        </w:rPr>
        <w:t>）动力环境监控系统拓扑结构、运行原理、软件功能、各功能使用方法、常见故障处理等；</w:t>
      </w:r>
    </w:p>
    <w:p>
      <w:pPr>
        <w:ind w:firstLine="630"/>
        <w:jc w:val="both"/>
      </w:pPr>
      <w:r>
        <w:rPr>
          <w:sz w:val="21"/>
        </w:rPr>
        <w:t>6</w:t>
      </w:r>
      <w:r>
        <w:rPr>
          <w:sz w:val="21"/>
        </w:rPr>
        <w:t>）新风系统参数、使用和运维方法等。</w:t>
      </w:r>
    </w:p>
    <w:p>
      <w:pPr>
        <w:ind w:firstLine="420"/>
        <w:jc w:val="both"/>
      </w:pPr>
      <w:r>
        <w:rPr>
          <w:sz w:val="21"/>
        </w:rPr>
        <w:t>5.UPS</w:t>
      </w:r>
      <w:r>
        <w:rPr>
          <w:sz w:val="21"/>
        </w:rPr>
        <w:t>系统、动力环境监控系统等课程内容的主要讲师应为制造商有经验的工程师；</w:t>
      </w:r>
    </w:p>
    <w:p>
      <w:pPr>
        <w:ind w:firstLine="420"/>
        <w:jc w:val="both"/>
      </w:pPr>
      <w:r>
        <w:rPr>
          <w:sz w:val="21"/>
        </w:rPr>
        <w:t>6.</w:t>
      </w:r>
      <w:r>
        <w:rPr>
          <w:sz w:val="21"/>
        </w:rPr>
        <w:t>培训形式应为书面授课、现场实地讲解、实操培训等多种形式结合。</w:t>
      </w:r>
    </w:p>
    <w:p>
      <w:pPr>
        <w:ind w:firstLine="420"/>
        <w:jc w:val="both"/>
      </w:pPr>
      <w:r>
        <w:rPr>
          <w:sz w:val="21"/>
        </w:rPr>
        <w:t>7.</w:t>
      </w:r>
      <w:r>
        <w:rPr>
          <w:sz w:val="21"/>
        </w:rPr>
        <w:t>投标人投标时应提交详细的培训方案，培训方案内容包括但不限于：</w:t>
      </w:r>
    </w:p>
    <w:p>
      <w:pPr>
        <w:ind w:firstLine="420"/>
        <w:jc w:val="both"/>
      </w:pPr>
      <w:r>
        <w:rPr>
          <w:sz w:val="21"/>
        </w:rPr>
        <w:t>（1）培训时间、培训地点、人数；</w:t>
      </w:r>
    </w:p>
    <w:p>
      <w:pPr>
        <w:ind w:firstLine="420"/>
        <w:jc w:val="both"/>
      </w:pPr>
      <w:r>
        <w:rPr>
          <w:sz w:val="21"/>
        </w:rPr>
        <w:t>（2）培训讲师人数、资历；</w:t>
      </w:r>
    </w:p>
    <w:p>
      <w:pPr>
        <w:ind w:firstLine="420"/>
        <w:jc w:val="both"/>
      </w:pPr>
      <w:r>
        <w:rPr>
          <w:sz w:val="21"/>
        </w:rPr>
        <w:t>（3）培训形式；</w:t>
      </w:r>
    </w:p>
    <w:p>
      <w:pPr>
        <w:ind w:firstLine="420"/>
        <w:jc w:val="both"/>
      </w:pPr>
      <w:r>
        <w:rPr>
          <w:sz w:val="21"/>
        </w:rPr>
        <w:t>（4）课程内容。</w:t>
      </w:r>
    </w:p>
    <w:p>
      <w:pPr>
        <w:jc w:val="both"/>
      </w:pPr>
      <w:r>
        <w:rPr>
          <w:b/>
          <w:sz w:val="21"/>
        </w:rPr>
        <w:t>（十一）履约保证金</w:t>
      </w:r>
    </w:p>
    <w:p>
      <w:pPr>
        <w:ind w:firstLine="420"/>
        <w:jc w:val="both"/>
      </w:pPr>
      <w:r>
        <w:rPr>
          <w:sz w:val="21"/>
        </w:rPr>
        <w:t>1.</w:t>
      </w:r>
      <w:r>
        <w:rPr>
          <w:sz w:val="21"/>
        </w:rPr>
        <w:t>合同签订生效之日起10个工作日内，中标人按照合同总价的5%向采购人缴纳合同履约保证金，如中标人未能按合同规定履行其义务（包括履行货物质量保证义务），采购人有权先从履约保证金取得补偿。</w:t>
      </w:r>
    </w:p>
    <w:p>
      <w:pPr>
        <w:ind w:firstLine="420"/>
        <w:jc w:val="both"/>
      </w:pPr>
      <w:r>
        <w:rPr>
          <w:sz w:val="21"/>
        </w:rPr>
        <w:t>2.</w:t>
      </w:r>
      <w:r>
        <w:rPr>
          <w:sz w:val="21"/>
        </w:rPr>
        <w:t>方式：可以采用银行转账、支票、汇票、本票或者金融机构、担保机构出具的保函等非现金形式提交。（采用保函形式递交履约保证金的，要求是无条件保函。）</w:t>
      </w:r>
    </w:p>
    <w:p>
      <w:pPr>
        <w:ind w:firstLine="420"/>
        <w:jc w:val="both"/>
      </w:pPr>
      <w:r>
        <w:rPr>
          <w:sz w:val="21"/>
        </w:rPr>
        <w:t>3.</w:t>
      </w:r>
      <w:r>
        <w:rPr>
          <w:sz w:val="21"/>
        </w:rPr>
        <w:t>退还：本项目最终验收合格完成签署验收报告，且供应商不存在违约情形的，中标人可以申请退还履约保证金。采购人在收到中标人提交的退还履约保证金书面申请，并履行完必要审批手续之日起30个工作日内将履约保证金无息退还给中标人。</w:t>
      </w:r>
    </w:p>
    <w:p>
      <w:pPr>
        <w:ind w:firstLine="420"/>
        <w:jc w:val="both"/>
      </w:pPr>
      <w:r>
        <w:rPr>
          <w:sz w:val="21"/>
        </w:rPr>
        <w:t>4.</w:t>
      </w:r>
      <w:r>
        <w:rPr>
          <w:sz w:val="21"/>
        </w:rPr>
        <w:t>采购人无正当理由逾期退还履约保证金，导致中标人权益受损的，采购人除应退还履约保证金外，按每延期1个日历天加付本项目履约保证金的0.1%作为违约金，违约金总额不超过本项目履约保证金的5%。</w:t>
      </w:r>
    </w:p>
    <w:p>
      <w:pPr>
        <w:jc w:val="both"/>
      </w:pPr>
      <w:r>
        <w:rPr>
          <w:b/>
          <w:sz w:val="21"/>
        </w:rPr>
        <w:t>（十二）付款方式</w:t>
      </w:r>
    </w:p>
    <w:p>
      <w:pPr>
        <w:ind w:firstLine="420"/>
        <w:jc w:val="both"/>
      </w:pPr>
      <w:r>
        <w:rPr>
          <w:sz w:val="21"/>
        </w:rPr>
        <w:t>1</w:t>
      </w:r>
      <w:r>
        <w:rPr>
          <w:sz w:val="21"/>
        </w:rPr>
        <w:t>．在合同签订生效并收到中标人足额缴纳的履约保证金以及中标人开具的等额正式增值税专用发票后的10个工作日内，采购人向中标人支付预付款，金额为合同总价的30%；在项目通过最终验收，双方签署验收报告且收到中标人开具的等额正式增值税专用发票后的10个工作日内，采购人向中标人支付尾款，金额为合同总价的70%。</w:t>
      </w:r>
    </w:p>
    <w:p>
      <w:pPr>
        <w:ind w:firstLine="420"/>
        <w:jc w:val="both"/>
      </w:pPr>
      <w:r>
        <w:rPr>
          <w:sz w:val="21"/>
        </w:rPr>
        <w:t>2</w:t>
      </w:r>
      <w:r>
        <w:rPr>
          <w:sz w:val="21"/>
        </w:rPr>
        <w:t>．每笔款项支付前，中标人均须提供等额的正式增值税专用发票。</w:t>
      </w:r>
    </w:p>
    <w:p>
      <w:pPr>
        <w:ind w:firstLine="420"/>
        <w:jc w:val="both"/>
      </w:pPr>
      <w:r>
        <w:rPr>
          <w:sz w:val="21"/>
        </w:rPr>
        <w:t>3</w:t>
      </w:r>
      <w:r>
        <w:rPr>
          <w:sz w:val="21"/>
        </w:rPr>
        <w:t>．付款方式：采用支票、银行汇付（含电汇）等形式。</w:t>
      </w:r>
    </w:p>
    <w:p/>
    <w:p/>
    <w:p>
      <w:pPr>
        <w:jc w:val="both"/>
      </w:pPr>
      <w:r>
        <w:rPr>
          <w:sz w:val="21"/>
        </w:rPr>
        <w:t>附件1：</w:t>
      </w:r>
    </w:p>
    <w:p>
      <w:pPr>
        <w:jc w:val="center"/>
      </w:pPr>
      <w:r>
        <w:rPr>
          <w:b/>
          <w:sz w:val="21"/>
        </w:rPr>
        <w:t>分包意向协议书</w:t>
      </w:r>
    </w:p>
    <w:p>
      <w:pPr>
        <w:jc w:val="both"/>
      </w:pPr>
    </w:p>
    <w:p>
      <w:pPr>
        <w:jc w:val="both"/>
      </w:pPr>
      <w:r>
        <w:rPr>
          <w:sz w:val="21"/>
        </w:rPr>
        <w:t>立约方：</w:t>
      </w:r>
      <w:r>
        <w:rPr>
          <w:sz w:val="21"/>
          <w:u w:val="single"/>
        </w:rPr>
        <w:t>（甲公司全称）</w:t>
      </w:r>
    </w:p>
    <w:p>
      <w:pPr>
        <w:ind w:firstLine="840"/>
        <w:jc w:val="both"/>
      </w:pPr>
      <w:r>
        <w:rPr>
          <w:sz w:val="21"/>
          <w:u w:val="single"/>
        </w:rPr>
        <w:t>（乙公司全称）</w:t>
      </w:r>
    </w:p>
    <w:p>
      <w:pPr>
        <w:ind w:firstLine="840"/>
        <w:jc w:val="both"/>
      </w:pPr>
      <w:r>
        <w:rPr>
          <w:sz w:val="21"/>
          <w:u w:val="single"/>
        </w:rPr>
        <w:t>（……公司全称）</w:t>
      </w:r>
    </w:p>
    <w:p>
      <w:pPr>
        <w:ind w:firstLine="420"/>
        <w:jc w:val="both"/>
      </w:pPr>
      <w:r>
        <w:rPr>
          <w:sz w:val="21"/>
          <w:u w:val="single"/>
        </w:rPr>
        <w:t>（甲公司全称）</w:t>
      </w:r>
      <w:r>
        <w:rPr>
          <w:sz w:val="21"/>
        </w:rPr>
        <w:t>、</w:t>
      </w:r>
      <w:r>
        <w:rPr>
          <w:sz w:val="21"/>
          <w:u w:val="single"/>
        </w:rPr>
        <w:t>（乙公司全称）</w:t>
      </w:r>
      <w:r>
        <w:rPr>
          <w:sz w:val="21"/>
        </w:rPr>
        <w:t>、</w:t>
      </w:r>
      <w:r>
        <w:rPr>
          <w:sz w:val="21"/>
          <w:u w:val="single"/>
        </w:rPr>
        <w:t>（……公司全称）</w:t>
      </w:r>
      <w:r>
        <w:rPr>
          <w:sz w:val="21"/>
        </w:rPr>
        <w:t>自愿达成分包意向，参加</w:t>
      </w:r>
      <w:r>
        <w:rPr>
          <w:sz w:val="21"/>
          <w:u w:val="single"/>
        </w:rPr>
        <w:t>（采购项目名称）</w:t>
      </w:r>
      <w:r>
        <w:rPr>
          <w:sz w:val="21"/>
          <w:u w:val="single"/>
        </w:rPr>
        <w:t>（采购项目编号）</w:t>
      </w:r>
      <w:r>
        <w:rPr>
          <w:sz w:val="21"/>
        </w:rPr>
        <w:t>的响应活动。</w:t>
      </w:r>
      <w:r>
        <w:rPr>
          <w:sz w:val="21"/>
        </w:rPr>
        <w:t>经各方充分协商一致，就</w:t>
      </w:r>
      <w:r>
        <w:rPr>
          <w:sz w:val="21"/>
        </w:rPr>
        <w:t>项目的响应和合同实施阶段的有关事务协商一致</w:t>
      </w:r>
      <w:r>
        <w:rPr>
          <w:sz w:val="21"/>
        </w:rPr>
        <w:t>订立意向如下</w:t>
      </w:r>
      <w:r>
        <w:rPr>
          <w:sz w:val="21"/>
        </w:rPr>
        <w:t>：</w:t>
      </w:r>
    </w:p>
    <w:p>
      <w:pPr>
        <w:ind w:firstLine="420"/>
        <w:jc w:val="both"/>
      </w:pPr>
      <w:r>
        <w:rPr>
          <w:sz w:val="21"/>
        </w:rPr>
        <w:t>一、分包意向各方关系</w:t>
      </w:r>
    </w:p>
    <w:p>
      <w:pPr>
        <w:ind w:firstLine="420"/>
        <w:jc w:val="both"/>
      </w:pPr>
      <w:r>
        <w:rPr>
          <w:sz w:val="21"/>
          <w:u w:val="single"/>
        </w:rPr>
        <w:t>（甲公司全称）为投标方</w:t>
      </w:r>
      <w:r>
        <w:rPr>
          <w:sz w:val="21"/>
        </w:rPr>
        <w:t>、</w:t>
      </w:r>
      <w:r>
        <w:rPr>
          <w:sz w:val="21"/>
          <w:u w:val="single"/>
        </w:rPr>
        <w:t>（乙公司全称）</w:t>
      </w:r>
      <w:r>
        <w:rPr>
          <w:sz w:val="21"/>
        </w:rPr>
        <w:t>、</w:t>
      </w:r>
      <w:r>
        <w:rPr>
          <w:sz w:val="21"/>
          <w:u w:val="single"/>
        </w:rPr>
        <w:t>（……公司全称）</w:t>
      </w:r>
      <w:r>
        <w:rPr>
          <w:sz w:val="21"/>
        </w:rPr>
        <w:t>为分包意向供应商，</w:t>
      </w:r>
      <w:r>
        <w:rPr>
          <w:sz w:val="21"/>
          <w:u w:val="single"/>
        </w:rPr>
        <w:t>（甲公司全称）</w:t>
      </w:r>
      <w:r>
        <w:rPr>
          <w:sz w:val="21"/>
        </w:rPr>
        <w:t>以投标供应商的身份参加本项目的</w:t>
      </w:r>
      <w:r>
        <w:rPr>
          <w:sz w:val="21"/>
        </w:rPr>
        <w:t>响应</w:t>
      </w:r>
      <w:r>
        <w:rPr>
          <w:sz w:val="21"/>
        </w:rPr>
        <w:t>。若中标，</w:t>
      </w:r>
      <w:r>
        <w:rPr>
          <w:sz w:val="21"/>
          <w:u w:val="single"/>
        </w:rPr>
        <w:t>（甲公司全称）与</w:t>
      </w:r>
      <w:r>
        <w:rPr>
          <w:sz w:val="21"/>
          <w:u w:val="single"/>
        </w:rPr>
        <w:t>采购人</w:t>
      </w:r>
      <w:r>
        <w:rPr>
          <w:sz w:val="21"/>
        </w:rPr>
        <w:t>签订政府采购合同。承接分包意向的各供应商与</w:t>
      </w:r>
      <w:r>
        <w:rPr>
          <w:sz w:val="21"/>
          <w:u w:val="single"/>
        </w:rPr>
        <w:t>（</w:t>
      </w:r>
      <w:r>
        <w:rPr>
          <w:sz w:val="21"/>
          <w:u w:val="single"/>
        </w:rPr>
        <w:t>甲公司全称</w:t>
      </w:r>
      <w:r>
        <w:rPr>
          <w:sz w:val="21"/>
          <w:u w:val="single"/>
        </w:rPr>
        <w:t>）</w:t>
      </w:r>
      <w:r>
        <w:rPr>
          <w:sz w:val="21"/>
        </w:rPr>
        <w:t>签订分包合同。</w:t>
      </w:r>
      <w:r>
        <w:rPr>
          <w:sz w:val="21"/>
          <w:u w:val="single"/>
        </w:rPr>
        <w:t>（甲公司全称）</w:t>
      </w:r>
      <w:r>
        <w:rPr>
          <w:sz w:val="21"/>
        </w:rPr>
        <w:t>就采购项目和分包项目向采购人负责，分包供应商就分包项目承担责任。</w:t>
      </w:r>
    </w:p>
    <w:p>
      <w:pPr>
        <w:ind w:firstLine="420"/>
        <w:jc w:val="both"/>
      </w:pPr>
      <w:r>
        <w:rPr>
          <w:sz w:val="21"/>
        </w:rPr>
        <w:t>二、有关事项约定如下：</w:t>
      </w:r>
    </w:p>
    <w:p>
      <w:pPr>
        <w:ind w:firstLine="420"/>
        <w:jc w:val="both"/>
      </w:pPr>
      <w:r>
        <w:rPr>
          <w:sz w:val="21"/>
        </w:rPr>
        <w:t>1.</w:t>
      </w:r>
      <w:r>
        <w:rPr>
          <w:sz w:val="21"/>
        </w:rPr>
        <w:t>如中标，分包供应商分别与</w:t>
      </w:r>
      <w:r>
        <w:rPr>
          <w:sz w:val="21"/>
          <w:u w:val="single"/>
        </w:rPr>
        <w:t>（</w:t>
      </w:r>
      <w:r>
        <w:rPr>
          <w:sz w:val="21"/>
          <w:u w:val="single"/>
        </w:rPr>
        <w:t>甲公司全称</w:t>
      </w:r>
      <w:r>
        <w:rPr>
          <w:sz w:val="21"/>
          <w:u w:val="single"/>
        </w:rPr>
        <w:t>）</w:t>
      </w:r>
      <w:r>
        <w:rPr>
          <w:sz w:val="21"/>
        </w:rPr>
        <w:t>签订合同书，并就中标项目分包部分承担法律责任；</w:t>
      </w:r>
    </w:p>
    <w:p>
      <w:pPr>
        <w:ind w:firstLine="420"/>
        <w:jc w:val="both"/>
      </w:pPr>
      <w:r>
        <w:rPr>
          <w:sz w:val="21"/>
        </w:rPr>
        <w:t>2.</w:t>
      </w:r>
      <w:r>
        <w:rPr>
          <w:sz w:val="21"/>
        </w:rPr>
        <w:t>分包意向供应商1</w:t>
      </w:r>
      <w:r>
        <w:rPr>
          <w:sz w:val="21"/>
          <w:u w:val="single"/>
        </w:rPr>
        <w:t>　（公司全称）　</w:t>
      </w:r>
      <w:r>
        <w:rPr>
          <w:sz w:val="21"/>
        </w:rPr>
        <w:t>为</w:t>
      </w:r>
      <w:r>
        <w:rPr>
          <w:sz w:val="21"/>
          <w:u w:val="single"/>
        </w:rPr>
        <w:t>（请填写：大型、中型、小型、微型）</w:t>
      </w:r>
      <w:r>
        <w:rPr>
          <w:sz w:val="21"/>
        </w:rPr>
        <w:t>企业，将承担适宜分包部分</w:t>
      </w:r>
      <w:r>
        <w:rPr>
          <w:sz w:val="21"/>
          <w:u w:val="single"/>
        </w:rPr>
        <w:t>（具体分包内容）</w:t>
      </w:r>
      <w:r>
        <w:rPr>
          <w:sz w:val="21"/>
        </w:rPr>
        <w:t>占合同总金额</w:t>
      </w:r>
      <w:r>
        <w:rPr>
          <w:sz w:val="21"/>
          <w:u w:val="single"/>
        </w:rPr>
        <w:t>　　</w:t>
      </w:r>
      <w:r>
        <w:rPr>
          <w:sz w:val="21"/>
        </w:rPr>
        <w:t>%的工作内容。</w:t>
      </w:r>
    </w:p>
    <w:p>
      <w:pPr>
        <w:ind w:firstLine="420"/>
        <w:jc w:val="both"/>
      </w:pPr>
      <w:r>
        <w:rPr>
          <w:sz w:val="21"/>
        </w:rPr>
        <w:t>3.</w:t>
      </w:r>
      <w:r>
        <w:rPr>
          <w:sz w:val="21"/>
        </w:rPr>
        <w:t>分包意向供应商2</w:t>
      </w:r>
      <w:r>
        <w:rPr>
          <w:sz w:val="21"/>
          <w:u w:val="single"/>
        </w:rPr>
        <w:t>　（公司全称）　</w:t>
      </w:r>
      <w:r>
        <w:rPr>
          <w:sz w:val="21"/>
        </w:rPr>
        <w:t>为</w:t>
      </w:r>
      <w:r>
        <w:rPr>
          <w:sz w:val="21"/>
          <w:u w:val="single"/>
        </w:rPr>
        <w:t>（请填写：大型、中型、小型、微型）</w:t>
      </w:r>
      <w:r>
        <w:rPr>
          <w:sz w:val="21"/>
        </w:rPr>
        <w:t>企业，将承担适宜分包部分</w:t>
      </w:r>
      <w:r>
        <w:rPr>
          <w:sz w:val="21"/>
          <w:u w:val="single"/>
        </w:rPr>
        <w:t>（具体分包内容）占</w:t>
      </w:r>
      <w:r>
        <w:rPr>
          <w:sz w:val="21"/>
        </w:rPr>
        <w:t>合同总金额</w:t>
      </w:r>
      <w:r>
        <w:rPr>
          <w:sz w:val="21"/>
          <w:u w:val="single"/>
        </w:rPr>
        <w:t>　　</w:t>
      </w:r>
      <w:r>
        <w:rPr>
          <w:sz w:val="21"/>
        </w:rPr>
        <w:t>%的工作内容。</w:t>
      </w:r>
    </w:p>
    <w:p>
      <w:pPr>
        <w:ind w:firstLine="420"/>
        <w:jc w:val="both"/>
      </w:pPr>
      <w:r>
        <w:rPr>
          <w:sz w:val="21"/>
        </w:rPr>
        <w:t>…</w:t>
      </w:r>
    </w:p>
    <w:p>
      <w:pPr>
        <w:ind w:firstLine="420"/>
        <w:jc w:val="both"/>
      </w:pPr>
      <w:r>
        <w:rPr>
          <w:sz w:val="21"/>
        </w:rPr>
        <w:t>三、接受分包的企业与分包企业之间的关系：</w:t>
      </w:r>
    </w:p>
    <w:p>
      <w:pPr>
        <w:ind w:firstLine="420"/>
        <w:jc w:val="both"/>
      </w:pPr>
      <w:r>
        <w:rPr>
          <w:sz w:val="21"/>
        </w:rPr>
        <w:t>1.</w:t>
      </w:r>
      <w:r>
        <w:rPr>
          <w:sz w:val="21"/>
        </w:rPr>
        <w:t>分包意向供应商1</w:t>
      </w:r>
      <w:r>
        <w:rPr>
          <w:sz w:val="21"/>
          <w:u w:val="single"/>
        </w:rPr>
        <w:t>　（公司全称）</w:t>
      </w:r>
      <w:r>
        <w:rPr>
          <w:sz w:val="21"/>
        </w:rPr>
        <w:t>与分包企业之间</w:t>
      </w:r>
      <w:r>
        <w:rPr>
          <w:sz w:val="21"/>
          <w:u w:val="single"/>
        </w:rPr>
        <w:t>（请填写：是否存在）</w:t>
      </w:r>
      <w:r>
        <w:rPr>
          <w:sz w:val="21"/>
        </w:rPr>
        <w:t>直接控股、管理关系的情形。</w:t>
      </w:r>
    </w:p>
    <w:p>
      <w:pPr>
        <w:ind w:firstLine="420"/>
        <w:jc w:val="both"/>
      </w:pPr>
      <w:r>
        <w:rPr>
          <w:sz w:val="21"/>
        </w:rPr>
        <w:t>2.</w:t>
      </w:r>
      <w:r>
        <w:rPr>
          <w:sz w:val="21"/>
        </w:rPr>
        <w:t>分包意向供应商2</w:t>
      </w:r>
      <w:r>
        <w:rPr>
          <w:sz w:val="21"/>
          <w:u w:val="single"/>
        </w:rPr>
        <w:t>　（公司全称）</w:t>
      </w:r>
      <w:r>
        <w:rPr>
          <w:sz w:val="21"/>
        </w:rPr>
        <w:t>与分包企业之间</w:t>
      </w:r>
      <w:r>
        <w:rPr>
          <w:sz w:val="21"/>
          <w:u w:val="single"/>
        </w:rPr>
        <w:t>（请填写：是否存在）</w:t>
      </w:r>
      <w:r>
        <w:rPr>
          <w:sz w:val="21"/>
        </w:rPr>
        <w:t>直接控股、管理关系的情形。</w:t>
      </w:r>
    </w:p>
    <w:p>
      <w:pPr>
        <w:ind w:firstLine="420"/>
        <w:jc w:val="both"/>
      </w:pPr>
      <w:r>
        <w:rPr>
          <w:sz w:val="21"/>
        </w:rPr>
        <w:t>…</w:t>
      </w:r>
    </w:p>
    <w:p>
      <w:pPr>
        <w:ind w:firstLine="420"/>
        <w:jc w:val="both"/>
      </w:pPr>
      <w:r>
        <w:rPr>
          <w:sz w:val="21"/>
        </w:rPr>
        <w:t>四、如因违约过失责任而导致采购人经济损失或被索赔时，</w:t>
      </w:r>
      <w:r>
        <w:rPr>
          <w:sz w:val="21"/>
          <w:u w:val="single"/>
        </w:rPr>
        <w:t>（</w:t>
      </w:r>
      <w:r>
        <w:rPr>
          <w:sz w:val="21"/>
          <w:u w:val="single"/>
        </w:rPr>
        <w:t>甲公司全称</w:t>
      </w:r>
      <w:r>
        <w:rPr>
          <w:sz w:val="21"/>
          <w:u w:val="single"/>
        </w:rPr>
        <w:t>）</w:t>
      </w:r>
      <w:r>
        <w:rPr>
          <w:sz w:val="21"/>
        </w:rPr>
        <w:t>同意无条件优先清偿采购人的一切债务和经济赔偿。</w:t>
      </w:r>
    </w:p>
    <w:p>
      <w:pPr>
        <w:ind w:firstLine="420"/>
        <w:jc w:val="both"/>
      </w:pPr>
      <w:r>
        <w:rPr>
          <w:sz w:val="21"/>
        </w:rPr>
        <w:t>五、如中标，分包意向供应商不得以任何理由提出终止本意向协议。</w:t>
      </w:r>
    </w:p>
    <w:p>
      <w:pPr>
        <w:ind w:firstLine="420"/>
        <w:jc w:val="both"/>
      </w:pPr>
      <w:r>
        <w:rPr>
          <w:sz w:val="21"/>
        </w:rPr>
        <w:t>六、</w:t>
      </w:r>
      <w:r>
        <w:rPr>
          <w:sz w:val="21"/>
        </w:rPr>
        <w:t>本意向书在</w:t>
      </w:r>
      <w:r>
        <w:rPr>
          <w:sz w:val="21"/>
        </w:rPr>
        <w:t>自签署之日起生效，</w:t>
      </w:r>
      <w:r>
        <w:rPr>
          <w:sz w:val="21"/>
        </w:rPr>
        <w:t>有效期内有效，如获中标资格，有效期延续至合同履行完毕之日。</w:t>
      </w:r>
    </w:p>
    <w:p>
      <w:pPr>
        <w:ind w:firstLine="420"/>
        <w:jc w:val="both"/>
      </w:pPr>
      <w:r>
        <w:rPr>
          <w:sz w:val="21"/>
        </w:rPr>
        <w:t>七、本意向书正本一式</w:t>
      </w:r>
      <w:r>
        <w:rPr>
          <w:sz w:val="21"/>
          <w:u w:val="single"/>
        </w:rPr>
        <w:t xml:space="preserve"> </w:t>
      </w:r>
      <w:r>
        <w:rPr>
          <w:sz w:val="21"/>
        </w:rPr>
        <w:t>份，随投标文件装订</w:t>
      </w:r>
      <w:r>
        <w:rPr>
          <w:sz w:val="21"/>
          <w:u w:val="single"/>
        </w:rPr>
        <w:t xml:space="preserve">  </w:t>
      </w:r>
      <w:r>
        <w:rPr>
          <w:sz w:val="21"/>
        </w:rPr>
        <w:t>份，</w:t>
      </w:r>
      <w:r>
        <w:rPr>
          <w:sz w:val="21"/>
          <w:u w:val="single"/>
        </w:rPr>
        <w:t>（</w:t>
      </w:r>
      <w:r>
        <w:rPr>
          <w:sz w:val="21"/>
          <w:u w:val="single"/>
        </w:rPr>
        <w:t>甲公司全称</w:t>
      </w:r>
      <w:r>
        <w:rPr>
          <w:sz w:val="21"/>
          <w:u w:val="single"/>
        </w:rPr>
        <w:t>）</w:t>
      </w:r>
      <w:r>
        <w:rPr>
          <w:sz w:val="21"/>
        </w:rPr>
        <w:t>及各</w:t>
      </w:r>
      <w:r>
        <w:rPr>
          <w:sz w:val="21"/>
        </w:rPr>
        <w:t>分包意向供应商</w:t>
      </w:r>
      <w:r>
        <w:rPr>
          <w:sz w:val="21"/>
        </w:rPr>
        <w:t>各一份。</w:t>
      </w:r>
    </w:p>
    <w:p>
      <w:pPr>
        <w:jc w:val="left"/>
      </w:pPr>
    </w:p>
    <w:p>
      <w:pPr>
        <w:jc w:val="left"/>
      </w:pPr>
    </w:p>
    <w:p>
      <w:pPr>
        <w:jc w:val="left"/>
      </w:pPr>
    </w:p>
    <w:p>
      <w:pPr>
        <w:jc w:val="left"/>
      </w:pPr>
      <w:r>
        <w:rPr>
          <w:sz w:val="21"/>
        </w:rPr>
        <w:t xml:space="preserve">甲公司全称：（盖章）       </w:t>
      </w:r>
    </w:p>
    <w:p>
      <w:pPr>
        <w:jc w:val="left"/>
      </w:pPr>
      <w:r>
        <w:rPr>
          <w:sz w:val="21"/>
        </w:rPr>
        <w:t>法定代表人（签字或</w:t>
      </w:r>
      <w:r>
        <w:rPr>
          <w:sz w:val="21"/>
        </w:rPr>
        <w:t>盖章</w:t>
      </w:r>
      <w:r>
        <w:rPr>
          <w:sz w:val="21"/>
        </w:rPr>
        <w:t>）</w:t>
      </w:r>
    </w:p>
    <w:p>
      <w:pPr>
        <w:jc w:val="left"/>
      </w:pPr>
      <w:r>
        <w:rPr>
          <w:sz w:val="21"/>
        </w:rPr>
        <w:t xml:space="preserve">　　年　　月　　日         </w:t>
      </w:r>
    </w:p>
    <w:p>
      <w:pPr>
        <w:jc w:val="left"/>
      </w:pPr>
    </w:p>
    <w:p>
      <w:pPr>
        <w:jc w:val="left"/>
      </w:pPr>
      <w:r>
        <w:rPr>
          <w:sz w:val="21"/>
        </w:rPr>
        <w:t xml:space="preserve">乙公司全称：（盖章）       </w:t>
      </w:r>
    </w:p>
    <w:p>
      <w:pPr>
        <w:jc w:val="both"/>
      </w:pPr>
      <w:r>
        <w:rPr>
          <w:sz w:val="21"/>
        </w:rPr>
        <w:t>法定代表人（签字或</w:t>
      </w:r>
      <w:r>
        <w:rPr>
          <w:sz w:val="21"/>
        </w:rPr>
        <w:t>盖章</w:t>
      </w:r>
      <w:r>
        <w:rPr>
          <w:sz w:val="21"/>
        </w:rPr>
        <w:t xml:space="preserve">）   </w:t>
      </w:r>
    </w:p>
    <w:p>
      <w:pPr>
        <w:ind w:firstLine="405"/>
        <w:jc w:val="left"/>
      </w:pPr>
      <w:r>
        <w:rPr>
          <w:sz w:val="21"/>
        </w:rPr>
        <w:t xml:space="preserve">年　　月　　日         </w:t>
      </w:r>
    </w:p>
    <w:p>
      <w:pPr>
        <w:jc w:val="left"/>
      </w:pPr>
    </w:p>
    <w:p>
      <w:pPr>
        <w:jc w:val="left"/>
      </w:pPr>
      <w:r>
        <w:rPr>
          <w:sz w:val="21"/>
        </w:rPr>
        <w:t>……公司全称（盖章）</w:t>
      </w:r>
    </w:p>
    <w:p>
      <w:pPr>
        <w:jc w:val="both"/>
      </w:pPr>
      <w:r>
        <w:rPr>
          <w:sz w:val="21"/>
        </w:rPr>
        <w:t>法定代表人：（签字或</w:t>
      </w:r>
      <w:r>
        <w:rPr>
          <w:sz w:val="21"/>
        </w:rPr>
        <w:t>盖章</w:t>
      </w:r>
      <w:r>
        <w:rPr>
          <w:sz w:val="21"/>
        </w:rPr>
        <w:t>）</w:t>
      </w:r>
    </w:p>
    <w:p>
      <w:pPr>
        <w:jc w:val="both"/>
      </w:pPr>
      <w:r>
        <w:rPr>
          <w:sz w:val="21"/>
        </w:rPr>
        <w:t>　　年　　月　　日</w:t>
      </w:r>
    </w:p>
    <w:p>
      <w:pPr>
        <w:jc w:val="both"/>
      </w:pPr>
    </w:p>
    <w:p>
      <w:pPr>
        <w:jc w:val="both"/>
      </w:pPr>
      <w:r>
        <w:rPr>
          <w:b/>
          <w:sz w:val="21"/>
        </w:rPr>
        <w:t>注：1．各方成员应在本意向书上共同盖章确认。</w:t>
      </w:r>
    </w:p>
    <w:p>
      <w:pPr>
        <w:jc w:val="both"/>
      </w:pPr>
      <w:r>
        <w:rPr>
          <w:b/>
          <w:sz w:val="21"/>
        </w:rPr>
        <w:t>2</w:t>
      </w:r>
      <w:r>
        <w:rPr>
          <w:b/>
          <w:sz w:val="21"/>
        </w:rPr>
        <w:t>．本意向书内容将作为签订合同的附件之一。</w:t>
      </w:r>
    </w:p>
    <w:p>
      <w:pPr>
        <w:ind w:firstLine="570"/>
        <w:jc w:val="left"/>
      </w:pPr>
    </w:p>
    <w:p>
      <w:pPr>
        <w:ind w:firstLine="441"/>
        <w:jc w:val="both"/>
      </w:pPr>
    </w:p>
    <w:p/>
    <w:p>
      <w:pPr>
        <w:ind w:firstLine="480"/>
      </w:pPr>
    </w:p>
    <w:p/>
    <w:p>
      <w:r>
        <w:rPr/>
        <w:t>采购包1（越秀山电视塔低压配电系统改造项目（二次））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合同签订之日起150个日历天内完成供货、安装、调试、试验、旧设备拆除、试运行直至验收合格交付采购人使用。</w:t>
            </w:r>
          </w:p>
        </w:tc>
      </w:tr>
      <w:tr>
        <w:tc>
          <w:tcPr>
            <w:tcW w:type="dxa" w:w="4153"/>
          </w:tcPr>
          <w:p>
            <w:r>
              <w:rPr/>
              <w:t>标的提供的地点</w:t>
            </w:r>
          </w:p>
        </w:tc>
        <w:tc>
          <w:tcPr>
            <w:tcW w:type="dxa" w:w="4153"/>
          </w:tcPr>
          <w:p/>
          <w:p>
            <w:r>
              <w:rPr/>
              <w:t>广州市越秀区环市中路越秀山电视塔。</w:t>
            </w:r>
          </w:p>
        </w:tc>
      </w:tr>
      <w:tr>
        <w:tc>
          <w:tcPr>
            <w:tcW w:type="dxa" w:w="4153"/>
          </w:tcPr>
          <w:p>
            <w:r>
              <w:rPr/>
              <w:t>付款方式</w:t>
            </w:r>
          </w:p>
        </w:tc>
        <w:tc>
          <w:tcPr>
            <w:tcW w:type="dxa" w:w="4153"/>
          </w:tcPr>
          <w:p/>
          <w:p/>
          <w:p>
            <w:r>
              <w:rPr/>
              <w:t>1期：支付比例30%,在合同签订生效并收到中标人足额缴纳的履约保证金以及中标人开具的等额正式增值税专用发票后的10个工作日内，采购人向中标人支付预付款，金额为合同总价的30%</w:t>
            </w:r>
          </w:p>
          <w:p/>
          <w:p>
            <w:r>
              <w:rPr/>
              <w:t>2期：支付比例70%,在项目通过最终验收，双方签署验收报告且收到中标人开具的等额正式增值税专用发票后的10个工作日内，采购人向中标人支付尾款，金额为合同总价的70%。 每笔款项支付前，中标人均须提供等额的正式增值税专用发票。 付款方式：采用支票、银行汇付（含电汇）等形式。</w:t>
            </w:r>
          </w:p>
        </w:tc>
      </w:tr>
      <w:tr>
        <w:tc>
          <w:tcPr>
            <w:tcW w:type="dxa" w:w="4153"/>
          </w:tcPr>
          <w:p>
            <w:r>
              <w:rPr/>
              <w:t>验收要求</w:t>
            </w:r>
          </w:p>
        </w:tc>
        <w:tc>
          <w:tcPr>
            <w:tcW w:type="dxa" w:w="4153"/>
          </w:tcPr>
          <w:p/>
          <w:p/>
          <w:p/>
          <w:p>
            <w:r>
              <w:rPr/>
              <w:t>1期：1.到货开箱检验 设备到达目的地后，中标人有义务协同采购人技术人员实施开箱检查。检查内容包括但不限于：产品外观、数量、种类等。开箱检验结果不作为免除中标人合同义务的依据。 2.现场交接试验 产品安装、调试完毕后，负载接入和设备试运行前，应进行现场交接试验，包括但不限于现场UPS假负载试验，假负载功率可调，且最大功率不小于500kW。试验由具备《承装（修、试）电力设施许可证》的机构按国家、行业标准和规定实施，试验结束后出具《试验报告》。如果试验结果全部满足国家标准、行业标准、厂家规范和本需求书要求，经采购人同意，中标人将负载迁移至UPS供电，负载送电正常且采购人收到中标人出具的试运行书面申请后，进入为期三个月的试运行期。 3.试运行期 本项目所购设备试运行期为三个月，设备试运行由中标人负责实施，采购人配合。在试运行过程中，因供货设备本身因素引起的技术要求不满足、零部件故障，中标人应负责维修设备或更换零部件，直至设备指标达到标准，此后中标人向采购人提交延长试运行期的书面申请，试运行期延长15天。如果UPS、蓄电池、动力环境监控系统等主要供货设备的质量问题无法通过维修或更换零部件消除，中标人应无偿更换相应的供货设备，设备质量问题消除后，中标人向采购人提交延长试运行期的书面申请，设备重新投入试运行，试运行时间重新计算。 在试运行、设备维修和更换过程中，中标人应采取必要手段保障现场用电设备的不间断稳定运行，不得影响采购人的安全播出任务，由此产生的所有费用由中标人负责。 因产品质量问题或中标人自身因素导致试运行期延长的，中标人应继续按招投标文件要求和合同约定的交付时间完成项目交付。 4.最终验收 试运行期结束且设备无质量问题，中标人应按采购人提出的技术指标要求和国家、行业相关标准制订验收方案（含验收程序、测试方法、合格指标等），并向采购人提交书面的验收申请。验收方案经采购人认可，在双方代表均在场的情况下，采购人组织验收小组进行最终验收，确认每个设备和整个系统是否已达到验收方案中制订的各项指标。如果验收指标全部符合要求，双方共同签署验收报告。 5.各阶段试验、验收和试运行均按国家标准、行业规范、厂家标准、招投标文件、采购合同及其附件要求执行，各阶段试验、验收和试运行所需的资金、设备、仪器、技术人员由中标人提供。</w:t>
            </w:r>
          </w:p>
        </w:tc>
      </w:tr>
      <w:tr>
        <w:tc>
          <w:tcPr>
            <w:tcW w:type="dxa" w:w="4153"/>
          </w:tcPr>
          <w:p>
            <w:r>
              <w:rPr/>
              <w:t>履约保证金</w:t>
            </w:r>
          </w:p>
        </w:tc>
        <w:tc>
          <w:tcPr>
            <w:tcW w:type="dxa" w:w="4153"/>
          </w:tcPr>
          <w:p/>
          <w:p/>
          <w:p/>
          <w:p/>
          <w:p>
            <w:r>
              <w:rPr/>
              <w:t>收取比例：5%,说明：1.合同签订生效之日起10个工作日内，中标人按照合同总价的5%向采购人缴纳合同履约保证金，如中标人未能按合同规定履行其义务（包括履行货物质量保证义务），采购人有权先从履约保证金取得补偿。 2.方式：可以采用银行转账、支票、汇票、本票或者金融机构、担保机构出具的保函等非现金形式提交。（采用保函形式递交履约保证金的，要求是无条件保函。） 3.退还：本项目最终验收合格完成签署验收报告，且供应商不存在违约情形的，中标人可以申请退还履约保证金。采购人在收到中标人提交的退还履约保证金书面申请，并履行完必要审批手续之日起30个工作日内将履约保证金无息退还给中标人。 4.采购人无正当理由逾期退还履约保证金，导致中标人权益受损的，采购人除应退还履约保证金外，按每延期1个日历天加付本项目履约保证金的0.1%作为违约金，违约金总额不超过本项目履约保证金的5%。</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投标人必须承诺，本项目需求书中凡属于《节能产品政府采购品目清单》中标有“★”的产品，均已具有国家确定的认证机构出具的有效的《节能产品认证证书》，供货时提供相关证书复印件（投标时提交承诺，可参照“格式”中《承诺函》格式）。</w:t>
            </w:r>
          </w:p>
        </w:tc>
        <w:tc>
          <w:tcPr>
            <w:tcW w:type="dxa" w:w="2076"/>
          </w:tcPr>
          <w:p>
            <w:pPr>
              <w:jc w:val="left"/>
            </w:pPr>
            <w:r>
              <w:rPr/>
              <w:t>★投标人必须承诺，本项目需求书中凡属于《节能产品政府采购品目清单》中标有“★”的产品，均已具有国家确定的认证机构出具的有效的《节能产品认证证书》，供货时提供相关证书复印件（投标时提交承诺，可参照“格式”中《承诺函》格式）。</w:t>
            </w:r>
          </w:p>
        </w:tc>
      </w:tr>
      <w:tr>
        <w:tc>
          <w:tcPr>
            <w:tcW w:type="dxa" w:w="2076"/>
          </w:tcPr>
          <w:p>
            <w:pPr>
              <w:jc w:val="center"/>
            </w:pPr>
            <w:r>
              <w:rPr/>
              <w:t>★</w:t>
            </w:r>
          </w:p>
        </w:tc>
        <w:tc>
          <w:tcPr>
            <w:tcW w:type="dxa" w:w="2076"/>
          </w:tcPr>
          <w:p>
            <w:pPr>
              <w:jc w:val="center"/>
            </w:pPr>
            <w:r>
              <w:rPr/>
              <w:t>2</w:t>
            </w:r>
          </w:p>
        </w:tc>
        <w:tc>
          <w:tcPr>
            <w:tcW w:type="dxa" w:w="2076"/>
          </w:tcPr>
          <w:p>
            <w:pPr>
              <w:jc w:val="left"/>
            </w:pPr>
            <w:r>
              <w:rPr/>
              <w:t>★投标人必须承诺，本项目需求书中凡属于市场监管总局发布的《强制性产品认证目录》中的产品，均已通过国家指定认证机构的3C国家强制性产品认证，并在供货时提交相关认证证书复印件（投标时提交承诺，可参照“格式”中《承诺函》格式）。</w:t>
            </w:r>
          </w:p>
        </w:tc>
        <w:tc>
          <w:tcPr>
            <w:tcW w:type="dxa" w:w="2076"/>
          </w:tcPr>
          <w:p>
            <w:pPr>
              <w:jc w:val="left"/>
            </w:pPr>
            <w:r>
              <w:rPr/>
              <w:t>★投标人必须承诺，本项目需求书中凡属于市场监管总局发布的《强制性产品认证目录》中的产品，均已通过国家指定认证机构的3C国家强制性产品认证，并在供货时提交相关认证证书复印件（投标时提交承诺，可参照“格式”中《承诺函》格式）。</w:t>
            </w:r>
          </w:p>
        </w:tc>
      </w:tr>
      <w:tr>
        <w:tc>
          <w:tcPr>
            <w:tcW w:type="dxa" w:w="2076"/>
          </w:tcPr>
          <w:p>
            <w:pPr>
              <w:jc w:val="center"/>
            </w:pPr>
            <w:r>
              <w:rPr/>
              <w:t>★</w:t>
            </w:r>
          </w:p>
        </w:tc>
        <w:tc>
          <w:tcPr>
            <w:tcW w:type="dxa" w:w="2076"/>
          </w:tcPr>
          <w:p>
            <w:pPr>
              <w:jc w:val="center"/>
            </w:pPr>
            <w:r>
              <w:rPr/>
              <w:t>3</w:t>
            </w:r>
          </w:p>
        </w:tc>
        <w:tc>
          <w:tcPr>
            <w:tcW w:type="dxa" w:w="2076"/>
          </w:tcPr>
          <w:p>
            <w:pPr>
              <w:jc w:val="left"/>
            </w:pPr>
            <w:r>
              <w:rPr/>
              <w:t>★投标人项目管理团队应至少配备以下人员：项目负责人（项目经理）1名、项目技术负责人（电气部分）1名、项目技术负责人（动力环境监控系统部分）1名、专职安全员1名，上述任意两个岗位均不能由同一人兼任，且所有人员均须为投标人企业员工。（投标时提供投标人自2023年8月以来为其依法缴纳的任意1个月社保的证明材料复印件或劳动合同复印件。）</w:t>
            </w:r>
          </w:p>
        </w:tc>
        <w:tc>
          <w:tcPr>
            <w:tcW w:type="dxa" w:w="2076"/>
          </w:tcPr>
          <w:p>
            <w:pPr>
              <w:jc w:val="left"/>
            </w:pPr>
            <w:r>
              <w:rPr/>
              <w:t>★投标人项目管理团队应至少配备以下人员：项目负责人（项目经理）1名、项目技术负责人（电气部分）1名、项目技术负责人（动力环境监控系统部分）1名、专职安全员1名，上述任意两个岗位均不能由同一人兼任，且所有人员均须为投标人企业员工。（投标时提供投标人自2023年8月以来为其依法缴纳的任意1个月社保的证明材料复印件或劳动合同复印件。）</w:t>
            </w:r>
          </w:p>
        </w:tc>
      </w:tr>
      <w:tr>
        <w:tc>
          <w:tcPr>
            <w:tcW w:type="dxa" w:w="2076"/>
          </w:tcPr>
          <w:p>
            <w:pPr>
              <w:jc w:val="center"/>
            </w:pPr>
            <w:r>
              <w:rPr/>
              <w:t>★</w:t>
            </w:r>
          </w:p>
        </w:tc>
        <w:tc>
          <w:tcPr>
            <w:tcW w:type="dxa" w:w="2076"/>
          </w:tcPr>
          <w:p>
            <w:pPr>
              <w:jc w:val="center"/>
            </w:pPr>
            <w:r>
              <w:rPr/>
              <w:t>4</w:t>
            </w:r>
          </w:p>
        </w:tc>
        <w:tc>
          <w:tcPr>
            <w:tcW w:type="dxa" w:w="2076"/>
          </w:tcPr>
          <w:p>
            <w:pPr>
              <w:jc w:val="left"/>
            </w:pPr>
            <w:r>
              <w:rPr/>
              <w:t>★项目负责人（项目经理）具有一级建造师（机电工程专业）证书，专职安全员具有安全生产考核合格证（C类）或建筑施工企业专职安全生产管理人员安全生产考核合格证(综合类C3)。投标时提供有效期内的证书复印件并盖投标人公章。</w:t>
            </w:r>
          </w:p>
        </w:tc>
        <w:tc>
          <w:tcPr>
            <w:tcW w:type="dxa" w:w="2076"/>
          </w:tcPr>
          <w:p>
            <w:pPr>
              <w:jc w:val="left"/>
            </w:pPr>
            <w:r>
              <w:rPr/>
              <w:t>★项目负责人（项目经理）具有一级建造师（机电工程专业）证书，专职安全员具有安全生产考核合格证（C类）或建筑施工企业专职安全生产管理人员安全生产考核合格证(综合类C3)。投标时提供有效期内的证书复印件并盖投标人公章。</w:t>
            </w:r>
          </w:p>
        </w:tc>
      </w:tr>
      <w:tr>
        <w:tc>
          <w:tcPr>
            <w:tcW w:type="dxa" w:w="2076"/>
          </w:tcPr>
          <w:p>
            <w:pPr>
              <w:jc w:val="center"/>
            </w:pPr>
            <w:r>
              <w:rPr/>
              <w:t>★</w:t>
            </w:r>
          </w:p>
        </w:tc>
        <w:tc>
          <w:tcPr>
            <w:tcW w:type="dxa" w:w="2076"/>
          </w:tcPr>
          <w:p>
            <w:pPr>
              <w:jc w:val="center"/>
            </w:pPr>
            <w:r>
              <w:rPr/>
              <w:t>5</w:t>
            </w:r>
          </w:p>
        </w:tc>
        <w:tc>
          <w:tcPr>
            <w:tcW w:type="dxa" w:w="2076"/>
          </w:tcPr>
          <w:p>
            <w:pPr>
              <w:jc w:val="left"/>
            </w:pPr>
            <w:r>
              <w:rPr/>
              <w:t>★投标人在交付地点所在城市（广州）有售后服务点，负责供货设备的终身售后服务。（提交以下证明材料之一：①需提供产权证明复印件（或租赁合同或合作协议）；②承诺如在本项目中标，签订合同后5个工作日内配备满足上述条件的服务点（投标时提交承诺，可参照“格式”中《承诺函》格式））。</w:t>
            </w:r>
          </w:p>
        </w:tc>
        <w:tc>
          <w:tcPr>
            <w:tcW w:type="dxa" w:w="2076"/>
          </w:tcPr>
          <w:p>
            <w:pPr>
              <w:jc w:val="left"/>
            </w:pPr>
            <w:r>
              <w:rPr/>
              <w:t>★投标人在交付地点所在城市（广州）有售后服务点，负责供货设备的终身售后服务。（提交以下证明材料之一：①需提供产权证明复印件（或租赁合同或合作协议）；②承诺如在本项目中标，签订合同后5个工作日内配备满足上述条件的服务点（投标时提交承诺，可参照“格式”中《承诺函》格式））。</w:t>
            </w:r>
          </w:p>
        </w:tc>
      </w:tr>
      <w:tr>
        <w:tc>
          <w:tcPr>
            <w:tcW w:type="dxa" w:w="2076"/>
          </w:tcPr>
          <w:p>
            <w:pPr>
              <w:jc w:val="center"/>
            </w:pPr>
            <w:r>
              <w:rPr/>
              <w:t>★</w:t>
            </w:r>
          </w:p>
        </w:tc>
        <w:tc>
          <w:tcPr>
            <w:tcW w:type="dxa" w:w="2076"/>
          </w:tcPr>
          <w:p>
            <w:pPr>
              <w:jc w:val="center"/>
            </w:pPr>
            <w:r>
              <w:rPr/>
              <w:t>6</w:t>
            </w:r>
          </w:p>
        </w:tc>
        <w:tc>
          <w:tcPr>
            <w:tcW w:type="dxa" w:w="2076"/>
          </w:tcPr>
          <w:p>
            <w:pPr>
              <w:jc w:val="left"/>
            </w:pPr>
            <w:r>
              <w:rPr/>
              <w:t>★本项目质保期不少于四年，自最终验收合格双方签署验收报告之日起计算。质保期内，如设备或零部件因非人为因素出现故障而造成短期停用时，则质保期和免费维修期相应顺延。如停用时间累计超过60天则质保期重新计算（投标时提交承诺，可参照“格式”中《承诺函》格式）。</w:t>
            </w:r>
          </w:p>
        </w:tc>
        <w:tc>
          <w:tcPr>
            <w:tcW w:type="dxa" w:w="2076"/>
          </w:tcPr>
          <w:p>
            <w:pPr>
              <w:jc w:val="left"/>
            </w:pPr>
            <w:r>
              <w:rPr/>
              <w:t>★本项目质保期不少于四年，自最终验收合格双方签署验收报告之日起计算。质保期内，如设备或零部件因非人为因素出现故障而造成短期停用时，则质保期和免费维修期相应顺延。如停用时间累计超过60天则质保期重新计算（投标时提交承诺，可参照“格式”中《承诺函》格式）。</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不间断电源</w:t>
            </w:r>
          </w:p>
        </w:tc>
        <w:tc>
          <w:tcPr>
            <w:tcW w:type="dxa" w:w="831"/>
          </w:tcPr>
          <w:p>
            <w:pPr>
              <w:jc w:val="left"/>
            </w:pPr>
            <w:r>
              <w:rPr/>
              <w:t>低压配电系统改造</w:t>
            </w:r>
          </w:p>
        </w:tc>
        <w:tc>
          <w:tcPr>
            <w:tcW w:type="dxa" w:w="831"/>
          </w:tcPr>
          <w:p>
            <w:pPr>
              <w:jc w:val="left"/>
            </w:pPr>
            <w:r>
              <w:rPr/>
              <w:t>项</w:t>
            </w:r>
          </w:p>
        </w:tc>
        <w:tc>
          <w:tcPr>
            <w:tcW w:type="dxa" w:w="831"/>
          </w:tcPr>
          <w:p>
            <w:pPr>
              <w:jc w:val="right"/>
            </w:pPr>
            <w:r>
              <w:rPr/>
              <w:t>1.00</w:t>
            </w:r>
          </w:p>
        </w:tc>
        <w:tc>
          <w:tcPr>
            <w:tcW w:type="dxa" w:w="831"/>
          </w:tcPr>
          <w:p>
            <w:pPr>
              <w:jc w:val="right"/>
            </w:pPr>
            <w:r>
              <w:rPr/>
              <w:t>1,486,500.00</w:t>
            </w:r>
          </w:p>
        </w:tc>
        <w:tc>
          <w:tcPr>
            <w:tcW w:type="dxa" w:w="831"/>
          </w:tcPr>
          <w:p>
            <w:pPr>
              <w:jc w:val="right"/>
            </w:pPr>
            <w:r>
              <w:rPr/>
              <w:t>1,486,500.00</w:t>
            </w:r>
          </w:p>
        </w:tc>
        <w:tc>
          <w:tcPr>
            <w:tcW w:type="dxa" w:w="831"/>
          </w:tcPr>
          <w:p>
            <w:r>
              <w:rPr/>
              <w:t>工业</w:t>
            </w:r>
          </w:p>
        </w:tc>
        <w:tc>
          <w:tcPr>
            <w:tcW w:type="dxa" w:w="831"/>
          </w:tcPr>
          <w:p>
            <w:r>
              <w:rPr/>
              <w:t>详见附表一</w:t>
            </w:r>
          </w:p>
        </w:tc>
      </w:tr>
    </w:tbl>
    <w:p/>
    <w:p>
      <w:r>
        <w:rPr>
          <w:b/>
        </w:rPr>
        <w:t>附表</w:t>
      </w:r>
      <w:r>
        <w:rPr>
          <w:b/>
        </w:rPr>
        <w:t>一</w:t>
      </w:r>
      <w:r>
        <w:rPr>
          <w:b/>
        </w:rPr>
        <w:t>：</w:t>
      </w:r>
      <w:r>
        <w:rPr>
          <w:b/>
        </w:rPr>
        <w:t>低压配电系统改造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b/>
                <w:sz w:val="21"/>
              </w:rPr>
              <w:t>1 UPS</w:t>
            </w:r>
            <w:r>
              <w:rPr>
                <w:b/>
                <w:sz w:val="21"/>
              </w:rPr>
              <w:t>主机及其配套设备：</w:t>
            </w:r>
            <w:r>
              <w:rPr>
                <w:sz w:val="21"/>
              </w:rPr>
              <w:t>★采用在线式模块化高频机，具备ECO运行模式，单机额定容量不低于500kVA，每个功率模块额定容量不高于50kVA。提供产品彩页或用户手册等证明材料并盖投标人公章。</w:t>
            </w:r>
          </w:p>
        </w:tc>
      </w:tr>
      <w:tr>
        <w:tc>
          <w:tcPr>
            <w:tcW w:type="dxa" w:w="2076"/>
          </w:tcPr>
          <w:p>
            <w:r>
              <w:rPr/>
              <w:t>★</w:t>
            </w:r>
          </w:p>
        </w:tc>
        <w:tc>
          <w:tcPr>
            <w:tcW w:type="dxa" w:w="415"/>
          </w:tcPr>
          <w:p>
            <w:r>
              <w:rPr/>
              <w:t>2</w:t>
            </w:r>
          </w:p>
        </w:tc>
        <w:tc>
          <w:tcPr>
            <w:tcW w:type="dxa" w:w="5814"/>
          </w:tcPr>
          <w:p>
            <w:r>
              <w:rPr>
                <w:b/>
                <w:sz w:val="21"/>
              </w:rPr>
              <w:t>1 UPS</w:t>
            </w:r>
            <w:r>
              <w:rPr>
                <w:b/>
                <w:sz w:val="21"/>
              </w:rPr>
              <w:t>主机及其配套设备：</w:t>
            </w:r>
            <w:r>
              <w:rPr>
                <w:sz w:val="21"/>
              </w:rPr>
              <w:t>★具有具备CMA或CNAS认证标识的认证机构出具的产品认证证书，认证依据标准应为YD/T 2165-2017《通信用模块化交流不间断电源》。提交以下证明材料之一：</w:t>
            </w:r>
            <w:r>
              <w:rPr>
                <w:sz w:val="21"/>
              </w:rPr>
              <w:t>①上述产品认证证书复印件，加盖投标人公章；</w:t>
            </w:r>
            <w:r>
              <w:rPr>
                <w:sz w:val="21"/>
              </w:rPr>
              <w:t>②承诺如在本项目中标，在签订合同之日起15个工作日内提供满足上述要求的产品认证证书复印件（投标时提交承诺，可参照“格式”中《承诺函》格式）。</w:t>
            </w:r>
          </w:p>
        </w:tc>
      </w:tr>
      <w:tr>
        <w:tc>
          <w:tcPr>
            <w:tcW w:type="dxa" w:w="2076"/>
          </w:tcPr>
          <w:p>
            <w:r>
              <w:rPr/>
              <w:t>★</w:t>
            </w:r>
          </w:p>
        </w:tc>
        <w:tc>
          <w:tcPr>
            <w:tcW w:type="dxa" w:w="415"/>
          </w:tcPr>
          <w:p>
            <w:r>
              <w:rPr/>
              <w:t>3</w:t>
            </w:r>
          </w:p>
        </w:tc>
        <w:tc>
          <w:tcPr>
            <w:tcW w:type="dxa" w:w="5814"/>
          </w:tcPr>
          <w:p>
            <w:r>
              <w:rPr>
                <w:b/>
                <w:sz w:val="21"/>
              </w:rPr>
              <w:t>1 UPS</w:t>
            </w:r>
            <w:r>
              <w:rPr>
                <w:b/>
                <w:sz w:val="21"/>
              </w:rPr>
              <w:t>主机及其配套设备：</w:t>
            </w:r>
            <w:r>
              <w:rPr>
                <w:sz w:val="21"/>
              </w:rPr>
              <w:t>★ UPS可接收现场发电机组启动信号，现场在用发电机组</w:t>
            </w:r>
            <w:r>
              <w:rPr>
                <w:sz w:val="21"/>
              </w:rPr>
              <w:t>（型号：LEROY SOMER 49.1 S4 C6/4 500kW）</w:t>
            </w:r>
            <w:r>
              <w:rPr>
                <w:sz w:val="21"/>
              </w:rPr>
              <w:t>启动并投入作为UPS输入电源时，UPS可稳定连续运行，不发生异常和故障（投标时提交承诺，可参照“格式”中《承诺函》格式）。</w:t>
            </w:r>
          </w:p>
        </w:tc>
      </w:tr>
      <w:tr>
        <w:tc>
          <w:tcPr>
            <w:tcW w:type="dxa" w:w="2076"/>
          </w:tcPr>
          <w:p>
            <w:r>
              <w:rPr/>
              <w:t>★</w:t>
            </w:r>
          </w:p>
        </w:tc>
        <w:tc>
          <w:tcPr>
            <w:tcW w:type="dxa" w:w="415"/>
          </w:tcPr>
          <w:p>
            <w:r>
              <w:rPr/>
              <w:t>4</w:t>
            </w:r>
          </w:p>
        </w:tc>
        <w:tc>
          <w:tcPr>
            <w:tcW w:type="dxa" w:w="5814"/>
          </w:tcPr>
          <w:p>
            <w:r>
              <w:rPr>
                <w:b/>
                <w:sz w:val="21"/>
              </w:rPr>
              <w:t>1 UPS</w:t>
            </w:r>
            <w:r>
              <w:rPr>
                <w:b/>
                <w:sz w:val="21"/>
              </w:rPr>
              <w:t>主机及其配套设备：</w:t>
            </w:r>
            <w:r>
              <w:rPr>
                <w:sz w:val="21"/>
              </w:rPr>
              <w:t>★UPS采用正面维护，左右两侧无需预留维护空间。提供彩页或使用手册等证明材料加盖投标人公章。</w:t>
            </w:r>
          </w:p>
        </w:tc>
      </w:tr>
      <w:tr>
        <w:tc>
          <w:tcPr>
            <w:tcW w:type="dxa" w:w="2076"/>
          </w:tcPr>
          <w:p>
            <w:r>
              <w:rPr/>
              <w:t>★</w:t>
            </w:r>
          </w:p>
        </w:tc>
        <w:tc>
          <w:tcPr>
            <w:tcW w:type="dxa" w:w="415"/>
          </w:tcPr>
          <w:p>
            <w:r>
              <w:rPr/>
              <w:t>5</w:t>
            </w:r>
          </w:p>
        </w:tc>
        <w:tc>
          <w:tcPr>
            <w:tcW w:type="dxa" w:w="5814"/>
          </w:tcPr>
          <w:p>
            <w:r>
              <w:rPr>
                <w:b/>
                <w:sz w:val="21"/>
              </w:rPr>
              <w:t>1 UPS</w:t>
            </w:r>
            <w:r>
              <w:rPr>
                <w:b/>
                <w:sz w:val="21"/>
              </w:rPr>
              <w:t>主机及其配套设备：</w:t>
            </w:r>
            <w:r>
              <w:rPr>
                <w:sz w:val="21"/>
              </w:rPr>
              <w:t>★低压二级配电房UPS负载出线柜和发射机房终端配电柜间的负载电缆：回路额定电流250A，路径不小于25米，不少于9个回路，采用符合国标的铠装阻燃YJV铜芯五芯电缆，线径不低于120mm²×4+70mm²×1，且安全载流量不小于250A，电缆总长度不小于225米（数量为预估量，以现场实际测量为准）。（</w:t>
            </w:r>
            <w:r>
              <w:rPr>
                <w:sz w:val="21"/>
              </w:rPr>
              <w:t>投标时提交承诺，可参照“格式”中《承诺函》格式）</w:t>
            </w:r>
          </w:p>
        </w:tc>
      </w:tr>
      <w:tr>
        <w:tc>
          <w:tcPr>
            <w:tcW w:type="dxa" w:w="2076"/>
          </w:tcPr>
          <w:p>
            <w:r>
              <w:rPr/>
              <w:t>★</w:t>
            </w:r>
          </w:p>
        </w:tc>
        <w:tc>
          <w:tcPr>
            <w:tcW w:type="dxa" w:w="415"/>
          </w:tcPr>
          <w:p>
            <w:r>
              <w:rPr/>
              <w:t>6</w:t>
            </w:r>
          </w:p>
        </w:tc>
        <w:tc>
          <w:tcPr>
            <w:tcW w:type="dxa" w:w="5814"/>
          </w:tcPr>
          <w:p>
            <w:r>
              <w:rPr>
                <w:b/>
                <w:sz w:val="21"/>
              </w:rPr>
              <w:t>1 UPS</w:t>
            </w:r>
            <w:r>
              <w:rPr>
                <w:b/>
                <w:sz w:val="21"/>
              </w:rPr>
              <w:t>主机及其配套设备：</w:t>
            </w:r>
            <w:r>
              <w:rPr>
                <w:sz w:val="21"/>
              </w:rPr>
              <w:t>★</w:t>
            </w:r>
            <w:r>
              <w:rPr>
                <w:sz w:val="21"/>
              </w:rPr>
              <w:t>负载电缆敷设：敷设低压二级配电房UPS负载出线柜和发射机房终端配电柜间的负载电缆，含试验、接线，路径约25米，不少于9个回路，电缆长度不小于225米（数量为预估量，以现场实际测量为准）。</w:t>
            </w:r>
            <w:r>
              <w:rPr>
                <w:sz w:val="21"/>
              </w:rPr>
              <w:t>（</w:t>
            </w:r>
            <w:r>
              <w:rPr>
                <w:sz w:val="21"/>
              </w:rPr>
              <w:t>投标时提交承诺，可参照“格式”中《承诺函》格式。）</w:t>
            </w:r>
          </w:p>
        </w:tc>
      </w:tr>
      <w:tr>
        <w:tc>
          <w:tcPr>
            <w:tcW w:type="dxa" w:w="2076"/>
          </w:tcPr>
          <w:p>
            <w:r>
              <w:rPr/>
              <w:t>★</w:t>
            </w:r>
          </w:p>
        </w:tc>
        <w:tc>
          <w:tcPr>
            <w:tcW w:type="dxa" w:w="415"/>
          </w:tcPr>
          <w:p>
            <w:r>
              <w:rPr/>
              <w:t>7</w:t>
            </w:r>
          </w:p>
        </w:tc>
        <w:tc>
          <w:tcPr>
            <w:tcW w:type="dxa" w:w="5814"/>
          </w:tcPr>
          <w:p>
            <w:r>
              <w:rPr>
                <w:b/>
              </w:rPr>
              <w:t>1 UPS主机及其配套设备：</w:t>
            </w:r>
            <w:r>
              <w:rPr>
                <w:sz w:val="21"/>
              </w:rPr>
              <w:t>★</w:t>
            </w:r>
            <w:r>
              <w:rPr>
                <w:sz w:val="21"/>
              </w:rPr>
              <w:t>负载迁移：将不少于</w:t>
            </w:r>
            <w:r>
              <w:rPr>
                <w:sz w:val="21"/>
              </w:rPr>
              <w:t>9</w:t>
            </w:r>
            <w:r>
              <w:rPr>
                <w:sz w:val="21"/>
              </w:rPr>
              <w:t>个回路的负载从旧电缆迁移至前款所述新敷设电缆供电，旧电缆废弃；另</w:t>
            </w:r>
            <w:r>
              <w:rPr>
                <w:sz w:val="21"/>
              </w:rPr>
              <w:t>将不少于5个回路负载电缆（利旧）从中部截断后，把电源侧迁移接至UPS负载出线柜，由UPS供电，电缆其余部分废弃。</w:t>
            </w:r>
            <w:r>
              <w:rPr>
                <w:sz w:val="21"/>
              </w:rPr>
              <w:t>（</w:t>
            </w:r>
            <w:r>
              <w:rPr>
                <w:sz w:val="21"/>
              </w:rPr>
              <w:t>投标时提交承诺，可参照“格式”中《承诺函》格式）</w:t>
            </w:r>
          </w:p>
        </w:tc>
      </w:tr>
      <w:tr>
        <w:tc>
          <w:tcPr>
            <w:tcW w:type="dxa" w:w="2076"/>
          </w:tcPr>
          <w:p>
            <w:r>
              <w:rPr/>
              <w:t>▲</w:t>
            </w:r>
          </w:p>
        </w:tc>
        <w:tc>
          <w:tcPr>
            <w:tcW w:type="dxa" w:w="415"/>
          </w:tcPr>
          <w:p>
            <w:r>
              <w:rPr/>
              <w:t>8</w:t>
            </w:r>
          </w:p>
        </w:tc>
        <w:tc>
          <w:tcPr>
            <w:tcW w:type="dxa" w:w="5814"/>
          </w:tcPr>
          <w:p>
            <w:r>
              <w:rPr>
                <w:b/>
                <w:sz w:val="21"/>
              </w:rPr>
              <w:t>1 UPS</w:t>
            </w:r>
            <w:r>
              <w:rPr>
                <w:b/>
                <w:sz w:val="21"/>
              </w:rPr>
              <w:t>主机及其配套设备：</w:t>
            </w:r>
            <w:r>
              <w:rPr>
                <w:sz w:val="21"/>
              </w:rPr>
              <w:t>详见第二章 采购需求</w:t>
            </w:r>
          </w:p>
        </w:tc>
      </w:tr>
      <w:tr>
        <w:tc>
          <w:tcPr>
            <w:tcW w:type="dxa" w:w="2076"/>
          </w:tcPr>
          <w:p/>
        </w:tc>
        <w:tc>
          <w:tcPr>
            <w:tcW w:type="dxa" w:w="415"/>
          </w:tcPr>
          <w:p>
            <w:r>
              <w:rPr/>
              <w:t>9</w:t>
            </w:r>
          </w:p>
        </w:tc>
        <w:tc>
          <w:tcPr>
            <w:tcW w:type="dxa" w:w="5814"/>
          </w:tcPr>
          <w:p>
            <w:r>
              <w:rPr>
                <w:b/>
              </w:rPr>
              <w:t>1 UPS主机及其配套设备：</w:t>
            </w:r>
            <w:r>
              <w:rPr/>
              <w:t>详见第二章 采购需求</w:t>
            </w:r>
          </w:p>
        </w:tc>
      </w:tr>
      <w:tr>
        <w:tc>
          <w:tcPr>
            <w:tcW w:type="dxa" w:w="2076"/>
          </w:tcPr>
          <w:p>
            <w:r>
              <w:rPr/>
              <w:t>▲</w:t>
            </w:r>
          </w:p>
        </w:tc>
        <w:tc>
          <w:tcPr>
            <w:tcW w:type="dxa" w:w="415"/>
          </w:tcPr>
          <w:p>
            <w:r>
              <w:rPr/>
              <w:t>10</w:t>
            </w:r>
          </w:p>
        </w:tc>
        <w:tc>
          <w:tcPr>
            <w:tcW w:type="dxa" w:w="5814"/>
          </w:tcPr>
          <w:p>
            <w:r>
              <w:rPr>
                <w:b/>
                <w:sz w:val="21"/>
              </w:rPr>
              <w:t>2 UPS</w:t>
            </w:r>
            <w:r>
              <w:rPr>
                <w:b/>
                <w:sz w:val="21"/>
              </w:rPr>
              <w:t>蓄电池组及其配套设备：</w:t>
            </w:r>
            <w:r>
              <w:rPr/>
              <w:t>详见第二章 采购需求</w:t>
            </w:r>
          </w:p>
        </w:tc>
      </w:tr>
      <w:tr>
        <w:tc>
          <w:tcPr>
            <w:tcW w:type="dxa" w:w="2076"/>
          </w:tcPr>
          <w:p/>
        </w:tc>
        <w:tc>
          <w:tcPr>
            <w:tcW w:type="dxa" w:w="415"/>
          </w:tcPr>
          <w:p>
            <w:r>
              <w:rPr/>
              <w:t>11</w:t>
            </w:r>
          </w:p>
        </w:tc>
        <w:tc>
          <w:tcPr>
            <w:tcW w:type="dxa" w:w="5814"/>
          </w:tcPr>
          <w:p>
            <w:r>
              <w:rPr>
                <w:b/>
                <w:sz w:val="21"/>
              </w:rPr>
              <w:t>2 UPS</w:t>
            </w:r>
            <w:r>
              <w:rPr>
                <w:b/>
                <w:sz w:val="21"/>
              </w:rPr>
              <w:t>蓄电池组及其配套设备：</w:t>
            </w:r>
            <w:r>
              <w:rPr/>
              <w:t>详见第二章 采购需求</w:t>
            </w:r>
          </w:p>
        </w:tc>
      </w:tr>
      <w:tr>
        <w:tc>
          <w:tcPr>
            <w:tcW w:type="dxa" w:w="2076"/>
          </w:tcPr>
          <w:p>
            <w:r>
              <w:rPr/>
              <w:t>▲</w:t>
            </w:r>
          </w:p>
        </w:tc>
        <w:tc>
          <w:tcPr>
            <w:tcW w:type="dxa" w:w="415"/>
          </w:tcPr>
          <w:p>
            <w:r>
              <w:rPr/>
              <w:t>12</w:t>
            </w:r>
          </w:p>
        </w:tc>
        <w:tc>
          <w:tcPr>
            <w:tcW w:type="dxa" w:w="5814"/>
          </w:tcPr>
          <w:p>
            <w:r>
              <w:rPr>
                <w:b/>
                <w:sz w:val="21"/>
              </w:rPr>
              <w:t>3</w:t>
            </w:r>
            <w:r>
              <w:rPr>
                <w:b/>
                <w:sz w:val="21"/>
              </w:rPr>
              <w:t>蓄电池在线监测系统：</w:t>
            </w:r>
            <w:r>
              <w:rPr>
                <w:sz w:val="21"/>
              </w:rPr>
              <w:t>详见第二章 采购需求</w:t>
            </w:r>
          </w:p>
        </w:tc>
      </w:tr>
      <w:tr>
        <w:tc>
          <w:tcPr>
            <w:tcW w:type="dxa" w:w="2076"/>
          </w:tcPr>
          <w:p/>
        </w:tc>
        <w:tc>
          <w:tcPr>
            <w:tcW w:type="dxa" w:w="415"/>
          </w:tcPr>
          <w:p>
            <w:r>
              <w:rPr/>
              <w:t>13</w:t>
            </w:r>
          </w:p>
        </w:tc>
        <w:tc>
          <w:tcPr>
            <w:tcW w:type="dxa" w:w="5814"/>
          </w:tcPr>
          <w:p>
            <w:r>
              <w:rPr>
                <w:b/>
              </w:rPr>
              <w:t>3 蓄电池在线监测系统：</w:t>
            </w:r>
            <w:r>
              <w:rPr/>
              <w:t>详见第二章 采购需求</w:t>
            </w:r>
          </w:p>
        </w:tc>
      </w:tr>
      <w:tr>
        <w:tc>
          <w:tcPr>
            <w:tcW w:type="dxa" w:w="2076"/>
          </w:tcPr>
          <w:p>
            <w:r>
              <w:rPr/>
              <w:t>★</w:t>
            </w:r>
          </w:p>
        </w:tc>
        <w:tc>
          <w:tcPr>
            <w:tcW w:type="dxa" w:w="415"/>
          </w:tcPr>
          <w:p>
            <w:r>
              <w:rPr/>
              <w:t>14</w:t>
            </w:r>
          </w:p>
        </w:tc>
        <w:tc>
          <w:tcPr>
            <w:tcW w:type="dxa" w:w="5814"/>
          </w:tcPr>
          <w:p>
            <w:r>
              <w:rPr>
                <w:b/>
                <w:sz w:val="21"/>
              </w:rPr>
              <w:t>4</w:t>
            </w:r>
            <w:r>
              <w:rPr>
                <w:b/>
                <w:sz w:val="21"/>
              </w:rPr>
              <w:t>新风系统：</w:t>
            </w:r>
            <w:r>
              <w:rPr>
                <w:sz w:val="21"/>
              </w:rPr>
              <w:t>★送风量/排风量：≥350m</w:t>
            </w:r>
            <w:r>
              <w:rPr>
                <w:sz w:val="21"/>
                <w:vertAlign w:val="superscript"/>
              </w:rPr>
              <w:t>3</w:t>
            </w:r>
            <w:r>
              <w:rPr>
                <w:sz w:val="21"/>
              </w:rPr>
              <w:t>/h，具备全热交换器，具备RS485通讯口及公开的通讯协议，可远程控制。提供彩页或说明书等证明材料并加盖投标人公章。</w:t>
            </w:r>
          </w:p>
        </w:tc>
      </w:tr>
      <w:tr>
        <w:tc>
          <w:tcPr>
            <w:tcW w:type="dxa" w:w="2076"/>
          </w:tcPr>
          <w:p>
            <w:r>
              <w:rPr/>
              <w:t>▲</w:t>
            </w:r>
          </w:p>
        </w:tc>
        <w:tc>
          <w:tcPr>
            <w:tcW w:type="dxa" w:w="415"/>
          </w:tcPr>
          <w:p>
            <w:r>
              <w:rPr/>
              <w:t>15</w:t>
            </w:r>
          </w:p>
        </w:tc>
        <w:tc>
          <w:tcPr>
            <w:tcW w:type="dxa" w:w="5814"/>
          </w:tcPr>
          <w:p>
            <w:r>
              <w:rPr>
                <w:b/>
                <w:sz w:val="21"/>
              </w:rPr>
              <w:t>4</w:t>
            </w:r>
            <w:r>
              <w:rPr>
                <w:b/>
                <w:sz w:val="21"/>
              </w:rPr>
              <w:t>新风系统：</w:t>
            </w:r>
            <w:r>
              <w:rPr>
                <w:sz w:val="21"/>
              </w:rPr>
              <w:t>详见第二章 采购需求</w:t>
            </w:r>
          </w:p>
        </w:tc>
      </w:tr>
      <w:tr>
        <w:tc>
          <w:tcPr>
            <w:tcW w:type="dxa" w:w="2076"/>
          </w:tcPr>
          <w:p/>
        </w:tc>
        <w:tc>
          <w:tcPr>
            <w:tcW w:type="dxa" w:w="415"/>
          </w:tcPr>
          <w:p>
            <w:r>
              <w:rPr/>
              <w:t>16</w:t>
            </w:r>
          </w:p>
        </w:tc>
        <w:tc>
          <w:tcPr>
            <w:tcW w:type="dxa" w:w="5814"/>
          </w:tcPr>
          <w:p>
            <w:r>
              <w:rPr>
                <w:b/>
                <w:sz w:val="21"/>
              </w:rPr>
              <w:t>4</w:t>
            </w:r>
            <w:r>
              <w:rPr>
                <w:b/>
                <w:sz w:val="21"/>
              </w:rPr>
              <w:t>新风系统：</w:t>
            </w:r>
            <w:r>
              <w:rPr>
                <w:sz w:val="21"/>
              </w:rPr>
              <w:t>详见第二章 采购需求</w:t>
            </w:r>
          </w:p>
        </w:tc>
      </w:tr>
      <w:tr>
        <w:tc>
          <w:tcPr>
            <w:tcW w:type="dxa" w:w="2076"/>
          </w:tcPr>
          <w:p>
            <w:r>
              <w:rPr/>
              <w:t>★</w:t>
            </w:r>
          </w:p>
        </w:tc>
        <w:tc>
          <w:tcPr>
            <w:tcW w:type="dxa" w:w="415"/>
          </w:tcPr>
          <w:p>
            <w:r>
              <w:rPr/>
              <w:t>17</w:t>
            </w:r>
          </w:p>
        </w:tc>
        <w:tc>
          <w:tcPr>
            <w:tcW w:type="dxa" w:w="5814"/>
          </w:tcPr>
          <w:p>
            <w:r>
              <w:rPr>
                <w:b/>
                <w:sz w:val="21"/>
              </w:rPr>
              <w:t>5</w:t>
            </w:r>
            <w:r>
              <w:rPr>
                <w:b/>
                <w:sz w:val="21"/>
              </w:rPr>
              <w:t>动力环境监控系统：</w:t>
            </w:r>
            <w:r>
              <w:rPr/>
              <w:t>★</w:t>
            </w:r>
            <w:r>
              <w:rPr/>
              <w:t>可对不少于以下</w:t>
            </w:r>
            <w:r>
              <w:rPr/>
              <w:t>种类、</w:t>
            </w:r>
            <w:r>
              <w:rPr/>
              <w:t>数量的设备及测点进行实时监测/控（投标时提供承诺，可参照“格式”中《承诺函》格式）：</w:t>
            </w:r>
          </w:p>
          <w:p>
            <w:pPr>
              <w:jc w:val="left"/>
            </w:pPr>
            <w:r>
              <w:rPr/>
              <w:t>（1）加</w:t>
            </w:r>
            <w:r>
              <w:rPr/>
              <w:t>装智能电量仪（包括但不限于电量仪</w:t>
            </w:r>
            <w:r>
              <w:rPr/>
              <w:t>及与之配套的</w:t>
            </w:r>
            <w:r>
              <w:rPr/>
              <w:t>互感器、断路器开关量辅助触点等配件），对位于低压一级配电房的27个抽屉式380V塑壳开关</w:t>
            </w:r>
            <w:r>
              <w:rPr/>
              <w:t>、</w:t>
            </w:r>
            <w:r>
              <w:rPr/>
              <w:t>位于发射机房备机配电箱的3个固定式380V塑壳开关</w:t>
            </w:r>
            <w:r>
              <w:rPr/>
              <w:t>和位于一号风机房的1个固定式</w:t>
            </w:r>
            <w:r>
              <w:rPr/>
              <w:t>380V塑壳开关进行监测（上述塑壳开关均为施耐德NS/NSX系列），电量仪应具备以下数据测量功能，包括但不限于：</w:t>
            </w:r>
            <w:r>
              <w:rPr/>
              <w:t>三相</w:t>
            </w:r>
            <w:r>
              <w:rPr/>
              <w:t>电流、</w:t>
            </w:r>
            <w:r>
              <w:rPr/>
              <w:t>三相</w:t>
            </w:r>
            <w:r>
              <w:rPr/>
              <w:t>电压、功率、谐波、电度、分合闸开关量、故障脱扣开关量等；</w:t>
            </w:r>
          </w:p>
          <w:p>
            <w:pPr>
              <w:jc w:val="left"/>
            </w:pPr>
            <w:r>
              <w:rPr/>
              <w:t>（2）</w:t>
            </w:r>
            <w:r>
              <w:rPr/>
              <w:t>通过已有智能电量仪（安科瑞PZ系列），对分布在</w:t>
            </w:r>
            <w:r>
              <w:rPr/>
              <w:t>一号风机房</w:t>
            </w:r>
            <w:r>
              <w:rPr/>
              <w:t>、低压二级配电房</w:t>
            </w:r>
            <w:r>
              <w:rPr/>
              <w:t>和</w:t>
            </w:r>
            <w:r>
              <w:rPr/>
              <w:t>发射机房的51个380V塑壳开关</w:t>
            </w:r>
            <w:r>
              <w:rPr/>
              <w:t>和6个配电柜母线排的三相电压</w:t>
            </w:r>
            <w:r>
              <w:rPr/>
              <w:t>进行监测；</w:t>
            </w:r>
          </w:p>
          <w:p>
            <w:pPr>
              <w:jc w:val="left"/>
            </w:pPr>
            <w:r>
              <w:rPr/>
              <w:t>（3）</w:t>
            </w:r>
            <w:r>
              <w:rPr/>
              <w:t>通过框架开关（施耐德MTZ系列）自带的</w:t>
            </w:r>
            <w:r>
              <w:rPr/>
              <w:t>控制单元</w:t>
            </w:r>
            <w:r>
              <w:rPr/>
              <w:t>，对位于低压一级配电房的10个框架开关进行监控；</w:t>
            </w:r>
          </w:p>
          <w:p>
            <w:pPr>
              <w:jc w:val="left"/>
            </w:pPr>
            <w:r>
              <w:rPr/>
              <w:t>（4）</w:t>
            </w:r>
            <w:r>
              <w:rPr/>
              <w:t>通过ATS（2台施耐德WATSN系列、1台施耐德ATMT系列）自带的控制</w:t>
            </w:r>
            <w:r>
              <w:rPr/>
              <w:t>单元</w:t>
            </w:r>
            <w:r>
              <w:rPr/>
              <w:t>（需加装通讯模块），对位于低压二级配电房的3台ATS双电源自动转换开关进行监控；</w:t>
            </w:r>
          </w:p>
          <w:p>
            <w:pPr>
              <w:jc w:val="left"/>
            </w:pPr>
            <w:r>
              <w:rPr/>
              <w:t>（5）</w:t>
            </w:r>
            <w:r>
              <w:rPr/>
              <w:t>更换带通讯功能的柴油发电机组控制器，对位于发电机房的1台柴油发电机组进行监控；新装控制器应与已有发电机组（</w:t>
            </w:r>
            <w:r>
              <w:rPr/>
              <w:t>型号：</w:t>
            </w:r>
            <w:r>
              <w:rPr/>
              <w:t>LEROY SOMER 49.1 S4 C6/4 515</w:t>
            </w:r>
            <w:r>
              <w:rPr/>
              <w:t>kW</w:t>
            </w:r>
            <w:r>
              <w:rPr/>
              <w:t>）兼容性好，功能和性能不差于原有控制器（</w:t>
            </w:r>
            <w:r>
              <w:rPr/>
              <w:t>型号：</w:t>
            </w:r>
            <w:r>
              <w:rPr/>
              <w:t>DST4600</w:t>
            </w:r>
            <w:r>
              <w:rPr/>
              <w:t>，无通讯口</w:t>
            </w:r>
            <w:r>
              <w:rPr/>
              <w:t>），</w:t>
            </w:r>
            <w:r>
              <w:rPr/>
              <w:t>不改变低压配电系统原有自动控制逻辑，</w:t>
            </w:r>
            <w:r>
              <w:rPr/>
              <w:t>具备包括但不限于水温、排气温度、油温、油压、转速、电流等超限报警、保护功能，并具备远程启停发电机功能；</w:t>
            </w:r>
          </w:p>
          <w:p>
            <w:pPr>
              <w:jc w:val="left"/>
            </w:pPr>
            <w:r>
              <w:rPr/>
              <w:t>（6）</w:t>
            </w:r>
            <w:r>
              <w:rPr/>
              <w:t>更换带通讯功能的干式变压器温湿度控制器，对位于变压器房的2台干式变压器进行监测；新装控制器性能及功能不差于原有控制器（</w:t>
            </w:r>
            <w:r>
              <w:rPr/>
              <w:t>型号：</w:t>
            </w:r>
            <w:r>
              <w:rPr/>
              <w:t>番禺天顺电工器材公司TTC-303,</w:t>
            </w:r>
            <w:r>
              <w:rPr/>
              <w:t>无通讯口</w:t>
            </w:r>
            <w:r>
              <w:rPr/>
              <w:t>），并具备以下功能，包括但不限于：三相铁芯温度监测、变压器内部湿度监测、变压器内部风机控制、风机状态监测、变压器</w:t>
            </w:r>
            <w:r>
              <w:rPr/>
              <w:t>箱</w:t>
            </w:r>
            <w:r>
              <w:rPr/>
              <w:t>开门信号（作用于10kV断路器跳闸）监测；</w:t>
            </w:r>
          </w:p>
          <w:p>
            <w:pPr>
              <w:jc w:val="left"/>
            </w:pPr>
            <w:r>
              <w:rPr/>
              <w:t>（7）</w:t>
            </w:r>
            <w:r>
              <w:rPr/>
              <w:t>加装采集设备，对位于高压配电房的2台10kV高压进线开关</w:t>
            </w:r>
            <w:r>
              <w:rPr/>
              <w:t>（现有微机保护单元型号：MERLIN GERIN sepam 2000 S26 T09 A，无通讯口）</w:t>
            </w:r>
            <w:r>
              <w:rPr/>
              <w:t>进行监测，包括但不限于三相进线电压、三相电流、频率、开关分合状态、储能状态、远程/就地控制状态等；</w:t>
            </w:r>
          </w:p>
          <w:p>
            <w:pPr>
              <w:jc w:val="left"/>
            </w:pPr>
            <w:r>
              <w:rPr/>
              <w:t>（8）</w:t>
            </w:r>
            <w:r>
              <w:rPr/>
              <w:t>加装采集设备，对位于高压配电房的1台直流屏进行监测，包括但不限于交流输入电压、交流输入电流、控母输出电压（两回路）、合母输出电压（两回路）、控制器报警信号等；</w:t>
            </w:r>
          </w:p>
          <w:p>
            <w:pPr>
              <w:jc w:val="left"/>
            </w:pPr>
            <w:r>
              <w:rPr/>
              <w:t>（9）</w:t>
            </w:r>
            <w:r>
              <w:rPr/>
              <w:t>对位于低压二级配电房的1台UPS进行</w:t>
            </w:r>
            <w:r>
              <w:rPr/>
              <w:t>监测</w:t>
            </w:r>
            <w:r>
              <w:rPr/>
              <w:t>，包括但不限于UPS主机运行状态及参数、</w:t>
            </w:r>
            <w:r>
              <w:rPr/>
              <w:t>事件数据、报警数据、</w:t>
            </w:r>
            <w:r>
              <w:rPr/>
              <w:t>UPS主路输入开关状态、旁路输出开关状态、UPS输出开关状态、蓄电池组各直流开关状态等；</w:t>
            </w:r>
          </w:p>
          <w:p>
            <w:pPr>
              <w:jc w:val="left"/>
            </w:pPr>
            <w:r>
              <w:rPr/>
              <w:t>（10）</w:t>
            </w:r>
            <w:r>
              <w:rPr/>
              <w:t>通过</w:t>
            </w:r>
            <w:r>
              <w:rPr/>
              <w:t>本项目采购的</w:t>
            </w:r>
            <w:r>
              <w:rPr/>
              <w:t>蓄电池在线监测系统，对位于低压二级配电房的所有UPS蓄电池进行监测，包括但不限于电池在线监测系统所有数据、曲线、存储事件等；</w:t>
            </w:r>
          </w:p>
          <w:p>
            <w:pPr>
              <w:jc w:val="left"/>
            </w:pPr>
            <w:r>
              <w:rPr/>
              <w:t>（</w:t>
            </w:r>
            <w:r>
              <w:rPr/>
              <w:t>11</w:t>
            </w:r>
            <w:r>
              <w:rPr/>
              <w:t>）</w:t>
            </w:r>
            <w:r>
              <w:rPr/>
              <w:t>加装油位传感器，对1个地面发电机用柴油箱和1个地下柴油库液位进行监测；</w:t>
            </w:r>
          </w:p>
          <w:p>
            <w:pPr>
              <w:jc w:val="left"/>
            </w:pPr>
            <w:r>
              <w:rPr/>
              <w:t>（</w:t>
            </w:r>
            <w:r>
              <w:rPr/>
              <w:t>12</w:t>
            </w:r>
            <w:r>
              <w:rPr/>
              <w:t>）</w:t>
            </w:r>
            <w:r>
              <w:rPr/>
              <w:t>加装10个水浸传感器，对变压器房、高压配电房、发电机房、低压二级配电房、发电机</w:t>
            </w:r>
            <w:r>
              <w:rPr/>
              <w:t>日</w:t>
            </w:r>
            <w:r>
              <w:rPr/>
              <w:t>用柴油箱连廊的水浸情况进行监测；</w:t>
            </w:r>
          </w:p>
          <w:p>
            <w:pPr>
              <w:jc w:val="left"/>
            </w:pPr>
            <w:r>
              <w:rPr/>
              <w:t>（</w:t>
            </w:r>
            <w:r>
              <w:rPr/>
              <w:t>13</w:t>
            </w:r>
            <w:r>
              <w:rPr/>
              <w:t>）</w:t>
            </w:r>
            <w:r>
              <w:rPr/>
              <w:t>加装11个烟雾感应器，对变压器房、高压配电房、发电机房、动力机房值班室、低压一级配电房、低压二级配电房、发射机房进行火警监测；</w:t>
            </w:r>
          </w:p>
          <w:p>
            <w:pPr>
              <w:jc w:val="left"/>
            </w:pPr>
            <w:r>
              <w:rPr/>
              <w:t>（</w:t>
            </w:r>
            <w:r>
              <w:rPr/>
              <w:t>14</w:t>
            </w:r>
            <w:r>
              <w:rPr/>
              <w:t>）</w:t>
            </w:r>
            <w:r>
              <w:rPr/>
              <w:t>加装2个温湿度传感器，对低压二级配电房、发射机房的温湿度进行监测；</w:t>
            </w:r>
          </w:p>
          <w:p>
            <w:pPr>
              <w:jc w:val="left"/>
            </w:pPr>
            <w:r>
              <w:rPr/>
              <w:t>（</w:t>
            </w:r>
            <w:r>
              <w:rPr/>
              <w:t>15</w:t>
            </w:r>
            <w:r>
              <w:rPr/>
              <w:t>）</w:t>
            </w:r>
            <w:r>
              <w:rPr/>
              <w:t>通过原有的5个烟雾传感器（带485通讯口），对变压器房、高压配电房、工具房、发电机房、低压一级配电房进行火警监测；</w:t>
            </w:r>
          </w:p>
          <w:p>
            <w:pPr>
              <w:jc w:val="left"/>
            </w:pPr>
            <w:r>
              <w:rPr/>
              <w:t>（</w:t>
            </w:r>
            <w:r>
              <w:rPr/>
              <w:t>16</w:t>
            </w:r>
            <w:r>
              <w:rPr/>
              <w:t>）</w:t>
            </w:r>
            <w:r>
              <w:rPr/>
              <w:t>通过原有的4个温湿度传感器，对变压器房、高压配电房、发电机房、低压一级配电房的温湿度进行监测；</w:t>
            </w:r>
          </w:p>
          <w:p>
            <w:pPr>
              <w:jc w:val="left"/>
            </w:pPr>
            <w:r>
              <w:rPr/>
              <w:t>（</w:t>
            </w:r>
            <w:r>
              <w:rPr/>
              <w:t>17</w:t>
            </w:r>
            <w:r>
              <w:rPr/>
              <w:t>）</w:t>
            </w:r>
            <w:r>
              <w:rPr/>
              <w:t>通过已有的4个水位传感器、1个智能水表对4个水池和一路自来水总管流量进行监测；</w:t>
            </w:r>
          </w:p>
          <w:p>
            <w:pPr>
              <w:jc w:val="left"/>
            </w:pPr>
            <w:r>
              <w:rPr/>
              <w:t>（</w:t>
            </w:r>
            <w:r>
              <w:rPr/>
              <w:t>18</w:t>
            </w:r>
            <w:r>
              <w:rPr/>
              <w:t>）</w:t>
            </w:r>
            <w:r>
              <w:rPr/>
              <w:t>通过原有的31个视频摄像头，对</w:t>
            </w:r>
            <w:r>
              <w:rPr/>
              <w:t>低压二级配电房、</w:t>
            </w:r>
            <w:r>
              <w:rPr/>
              <w:t>动力楼及周边区域进行视频监测，视频需接入动力环境监控系统，同时接入发射机房值班室和动力机房值班室的硬盘录像机，若原有通道不足，投标人需对录像机</w:t>
            </w:r>
            <w:r>
              <w:rPr/>
              <w:t>、交换机等</w:t>
            </w:r>
            <w:r>
              <w:rPr/>
              <w:t>进行更换；</w:t>
            </w:r>
          </w:p>
          <w:p>
            <w:pPr>
              <w:jc w:val="left"/>
            </w:pPr>
            <w:r>
              <w:rPr/>
              <w:t>（</w:t>
            </w:r>
            <w:r>
              <w:rPr/>
              <w:t>19</w:t>
            </w:r>
            <w:r>
              <w:rPr/>
              <w:t>）</w:t>
            </w:r>
            <w:r>
              <w:rPr/>
              <w:t>更换低压二级配电房门禁系统，对低压二级配电房</w:t>
            </w:r>
            <w:r>
              <w:rPr/>
              <w:t>的2个</w:t>
            </w:r>
            <w:r>
              <w:rPr/>
              <w:t>门禁进行监测；</w:t>
            </w:r>
          </w:p>
          <w:p>
            <w:pPr>
              <w:jc w:val="left"/>
            </w:pPr>
            <w:r>
              <w:rPr>
                <w:sz w:val="21"/>
              </w:rPr>
              <w:t>（</w:t>
            </w:r>
            <w:r>
              <w:rPr>
                <w:sz w:val="21"/>
              </w:rPr>
              <w:t>20</w:t>
            </w:r>
            <w:r>
              <w:rPr>
                <w:sz w:val="21"/>
              </w:rPr>
              <w:t>）</w:t>
            </w:r>
            <w:r>
              <w:rPr>
                <w:sz w:val="21"/>
              </w:rPr>
              <w:t>对低压二级配电房的1套新风系统、2台大金柜式空调进行监控</w:t>
            </w:r>
            <w:r>
              <w:rPr>
                <w:sz w:val="21"/>
              </w:rPr>
              <w:t>；</w:t>
            </w:r>
          </w:p>
          <w:p>
            <w:r>
              <w:rPr>
                <w:sz w:val="21"/>
              </w:rPr>
              <w:t>（21）对低压一级配电房的1台有源滤波柜进行监测（带485通讯口）。</w:t>
            </w:r>
          </w:p>
        </w:tc>
      </w:tr>
      <w:tr>
        <w:tc>
          <w:tcPr>
            <w:tcW w:type="dxa" w:w="2076"/>
          </w:tcPr>
          <w:p>
            <w:r>
              <w:rPr/>
              <w:t>★</w:t>
            </w:r>
          </w:p>
        </w:tc>
        <w:tc>
          <w:tcPr>
            <w:tcW w:type="dxa" w:w="415"/>
          </w:tcPr>
          <w:p>
            <w:r>
              <w:rPr/>
              <w:t>18</w:t>
            </w:r>
          </w:p>
        </w:tc>
        <w:tc>
          <w:tcPr>
            <w:tcW w:type="dxa" w:w="5814"/>
          </w:tcPr>
          <w:p>
            <w:r>
              <w:rPr>
                <w:b/>
                <w:sz w:val="21"/>
              </w:rPr>
              <w:t>5</w:t>
            </w:r>
            <w:r>
              <w:rPr>
                <w:b/>
                <w:sz w:val="21"/>
              </w:rPr>
              <w:t>动力环境监控系统：</w:t>
            </w:r>
            <w:r>
              <w:rPr>
                <w:sz w:val="21"/>
              </w:rPr>
              <w:t>★配置两台监控终端（含显示器），分别安装在发射机房值班室和动力机房值班室，连接至监控系统中心服务器，监控终端可对动力环境监控系统进行独立操作（投标时提供承诺，可参照“格式”中《承诺函》格式）。</w:t>
            </w:r>
          </w:p>
        </w:tc>
      </w:tr>
      <w:tr>
        <w:tc>
          <w:tcPr>
            <w:tcW w:type="dxa" w:w="2076"/>
          </w:tcPr>
          <w:p>
            <w:r>
              <w:rPr/>
              <w:t>★</w:t>
            </w:r>
          </w:p>
        </w:tc>
        <w:tc>
          <w:tcPr>
            <w:tcW w:type="dxa" w:w="415"/>
          </w:tcPr>
          <w:p>
            <w:r>
              <w:rPr/>
              <w:t>19</w:t>
            </w:r>
          </w:p>
        </w:tc>
        <w:tc>
          <w:tcPr>
            <w:tcW w:type="dxa" w:w="5814"/>
          </w:tcPr>
          <w:p>
            <w:r>
              <w:rPr>
                <w:b/>
                <w:sz w:val="21"/>
              </w:rPr>
              <w:t>5</w:t>
            </w:r>
            <w:r>
              <w:rPr>
                <w:b/>
                <w:sz w:val="21"/>
              </w:rPr>
              <w:t>动力环境监控系统：</w:t>
            </w:r>
            <w:r>
              <w:rPr>
                <w:sz w:val="21"/>
              </w:rPr>
              <w:t>★对主要配电设备的模拟量、开关量数据和报警事件，以及水浸、门禁、烟感等环境监测设备的开关量数据和报警事件：采集、存储周期≤2s，系统响应速度（设备的模拟量、开关量、报警事件从发生变化到反映在动力环境监控系统界面上的时间）≤2s；对温湿度、液位等环境监测设备的模拟量数据：采集、存储周期≤30s，系统响应速度≤5s。（投标时提供承诺，可参照“格式”中《承诺函》格式。）</w:t>
            </w:r>
          </w:p>
        </w:tc>
      </w:tr>
      <w:tr>
        <w:tc>
          <w:tcPr>
            <w:tcW w:type="dxa" w:w="2076"/>
          </w:tcPr>
          <w:p>
            <w:r>
              <w:rPr/>
              <w:t>▲</w:t>
            </w:r>
          </w:p>
        </w:tc>
        <w:tc>
          <w:tcPr>
            <w:tcW w:type="dxa" w:w="415"/>
          </w:tcPr>
          <w:p>
            <w:r>
              <w:rPr/>
              <w:t>20</w:t>
            </w:r>
          </w:p>
        </w:tc>
        <w:tc>
          <w:tcPr>
            <w:tcW w:type="dxa" w:w="5814"/>
          </w:tcPr>
          <w:p>
            <w:r>
              <w:rPr>
                <w:b/>
              </w:rPr>
              <w:t>5 动力环境监控系统：</w:t>
            </w:r>
            <w:r>
              <w:rPr/>
              <w:t>详见第二章 采购需求</w:t>
            </w:r>
          </w:p>
        </w:tc>
      </w:tr>
      <w:tr>
        <w:tc>
          <w:tcPr>
            <w:tcW w:type="dxa" w:w="2076"/>
          </w:tcPr>
          <w:p/>
        </w:tc>
        <w:tc>
          <w:tcPr>
            <w:tcW w:type="dxa" w:w="415"/>
          </w:tcPr>
          <w:p>
            <w:r>
              <w:rPr/>
              <w:t>21</w:t>
            </w:r>
          </w:p>
        </w:tc>
        <w:tc>
          <w:tcPr>
            <w:tcW w:type="dxa" w:w="5814"/>
          </w:tcPr>
          <w:p>
            <w:r>
              <w:rPr>
                <w:b/>
              </w:rPr>
              <w:t>5 动力环境监控系统：</w:t>
            </w:r>
            <w:r>
              <w:rPr/>
              <w:t>详见第二章 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1.采购代理机构：本项目是指广东省政府采购中心，负责整个采购活动的组织，依法负责编制和发布招标文件，对招标文件拥有最终的解释权，不以任何身份出任评标委员会成员。</w:t>
      </w:r>
    </w:p>
    <w:p>
      <w:pPr>
        <w:ind w:firstLine="480"/>
      </w:pPr>
      <w:r>
        <w:rPr/>
        <w:t>2.采购人：本项目是指</w:t>
      </w:r>
      <w:r>
        <w:rPr/>
        <w:t>广东省广播电视技术中心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采购机构代理服务收费标准：采购代理费以固定金额收费，金额为18315元。http://gpcgd.gd.gov.cn/ywdt/tzgg/content/post_3049076.html</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主持人开启远程解密起30分钟内完成。</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广东省政府采购中心网(http://gpcgd.gd.gov.cn)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广东省政府采购中心网(http://gpcgd.gd.gov.cn)</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陈小姐/龚小姐</w:t>
      </w:r>
    </w:p>
    <w:p>
      <w:pPr>
        <w:ind w:firstLine="480"/>
      </w:pPr>
      <w:r>
        <w:rPr/>
        <w:t>电话：</w:t>
      </w:r>
      <w:r>
        <w:rPr/>
        <w:t>020-83187085/83196816</w:t>
      </w:r>
    </w:p>
    <w:p>
      <w:pPr>
        <w:ind w:firstLine="480"/>
      </w:pPr>
      <w:r>
        <w:rPr/>
        <w:t>传真：</w:t>
      </w:r>
      <w:r>
        <w:rPr/>
        <w:t>/</w:t>
      </w:r>
    </w:p>
    <w:p>
      <w:pPr>
        <w:ind w:firstLine="480"/>
      </w:pPr>
      <w:r>
        <w:rPr/>
        <w:t>邮箱：</w:t>
      </w:r>
      <w:r>
        <w:rPr/>
        <w:t>gpcgdzgke@gd.gov.cn (推荐使用）</w:t>
      </w:r>
    </w:p>
    <w:p>
      <w:pPr>
        <w:ind w:firstLine="480"/>
      </w:pPr>
      <w:r>
        <w:rPr/>
        <w:t>地址：</w:t>
      </w:r>
      <w:r>
        <w:rPr/>
        <w:t>广州市越秀区越华路112号珠江国际大厦3楼质管科</w:t>
      </w:r>
    </w:p>
    <w:p>
      <w:pPr>
        <w:ind w:firstLine="480"/>
      </w:pPr>
      <w:r>
        <w:rPr/>
        <w:t>邮编：</w:t>
      </w:r>
      <w:r>
        <w:rPr/>
        <w:t>510030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越秀山电视塔低压配电系统改造项目（二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广东省政府采购中心</w:t>
      </w:r>
      <w:r>
        <w:rPr/>
        <w:t>统一对外发布。</w:t>
      </w:r>
    </w:p>
    <w:p>
      <w:pPr>
        <w:ind w:firstLine="480"/>
      </w:pPr>
      <w:r>
        <w:rPr/>
        <w:t>（2）对</w:t>
      </w:r>
      <w:r>
        <w:rPr/>
        <w:t>广东省政府采购中心</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采购包1（越秀山电视塔低压配电系统改造项目（二次））：</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1） 供应商所投产品属于“环境标志产品政府采购品目清单”范围的，提供国家确定的认证机构出具的、处于有效期之内的环境标志产品认证证书，环境标志产品核实价给予C2的价格扣除。 评审价＝核实价－环境标志产品核实价×C2（C2的取值为1%）； 2） 供应商所投产品属于“节能产品政府采购品目清单”优先采购范围（即非标注星号的产品）的，提供国家确定的认证机构出具的、处于有效期之内的节能标志产品认证证书，节能产品核实价给予C3的价格扣除。 评审价＝核实价－节能产品核实价×C3（C3的取值为1%）； 3） 供应商在《关于印发环境标志产品政府采购品目清单的通知》（财库〔2019〕18号）、《关于印发节能产品政府采购品目清单的通知》（财库〔2019〕19号）中可以查到对应的清单目录。 4） 国家确定的认证机构可在《市场监管总局关于发布参与实施政府采购节能产品、环境标志产品认证机构名录的公告》（2019年第16号）中查询。如后续有更新的，则以更新后的文件为准。</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采购包1（越秀山电视塔低压配电系统改造项目（二次））：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供应商必须是具有独立承担民事责任能力的在中华人民共和国境内注册的法人或其他组织或自然人，投标时提交有效的营业执照（或事业法人登记证或身份证等相关证明）副本复印件。分支机构投标/报价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有依法缴纳税收和社会保障资金的良好记录（提供投标截止日前6个月内任意1个月依法缴纳税收和社会保障资金的相关材料。如依法免税或不需要缴纳社会保障资金的，提供相应证明材料）。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供应商必须具有良好的商业信誉和健全的财务会计制度（提供以下2种证明材料之一：①2022年度或2023年度经会计师事务所审计的财务状况报告；②基本开户行出具的资信证明和《基本存款账号信息》）。</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供应商参加政府采购活动前三年内，在经营活动中没有重大违法记录（可参照投标函相关承诺格式内容）。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投标人应具备承装（修、试）电力设施许可证。（提供有效期内的证书复印件）</w:t>
            </w:r>
          </w:p>
        </w:tc>
        <w:tc>
          <w:tcPr>
            <w:tcW w:type="dxa" w:w="4238"/>
          </w:tcPr>
          <w:p>
            <w:r>
              <w:rPr/>
              <w:t>投标人应具备承装（修、试）电力设施许可证。（提供有效期内的证书复印件）</w:t>
            </w:r>
          </w:p>
        </w:tc>
      </w:tr>
      <w:tr>
        <w:tc>
          <w:tcPr>
            <w:tcW w:type="dxa" w:w="890"/>
          </w:tcPr>
          <w:p>
            <w:r>
              <w:rPr/>
              <w:t>9</w:t>
            </w:r>
          </w:p>
        </w:tc>
        <w:tc>
          <w:tcPr>
            <w:tcW w:type="dxa" w:w="3178"/>
          </w:tcPr>
          <w:p>
            <w:r>
              <w:rPr/>
              <w:t>供应商须符合下列情形之一： ①供应商具备乙级或以上电力行业（送电工程专业或变电工程专业或送变电工程专业）设计资质。（提供有效期内的证书复印件） ②如供应商将需求中允许分包的内容全部进行分包，接受分包的供应商具备乙级或以上电力行业（送电工程专业或变电工程专业或送变电工程专业）设计资质。投标时须按格式提供《分包意向协议书》（见需求书附件）和接受分包供应商的资质证书复印件。</w:t>
            </w:r>
          </w:p>
        </w:tc>
        <w:tc>
          <w:tcPr>
            <w:tcW w:type="dxa" w:w="4238"/>
          </w:tcPr>
          <w:p>
            <w:r>
              <w:rPr/>
              <w:t>供应商须符合下列情形之一： ①供应商具备乙级或以上电力行业（送电工程专业或变电工程专业或送变电工程专业）设计资质。（提供有效期内的证书复印件） ②如供应商将需求中允许分包的内容全部进行分包，接受分包的供应商具备乙级或以上电力行业（送电工程专业或变电工程专业或送变电工程专业）设计资质。投标时须按格式提供《分包意向协议书》（见需求书附件）和接受分包供应商的资质证书复印件。</w:t>
            </w:r>
          </w:p>
        </w:tc>
      </w:tr>
      <w:tr>
        <w:tc>
          <w:tcPr>
            <w:tcW w:type="dxa" w:w="890"/>
          </w:tcPr>
          <w:p>
            <w:r>
              <w:rPr/>
              <w:t>10</w:t>
            </w:r>
          </w:p>
        </w:tc>
        <w:tc>
          <w:tcPr>
            <w:tcW w:type="dxa" w:w="3178"/>
          </w:tcPr>
          <w:p>
            <w:r>
              <w:rPr/>
              <w:t>本项目不接受联合体投标，不允许转包。</w:t>
            </w:r>
          </w:p>
        </w:tc>
        <w:tc>
          <w:tcPr>
            <w:tcW w:type="dxa" w:w="4238"/>
          </w:tcPr>
          <w:p>
            <w:r>
              <w:rPr/>
              <w:t>本项目不接受联合体投标，不允许转包。</w:t>
            </w:r>
          </w:p>
        </w:tc>
      </w:tr>
    </w:tbl>
    <w:p/>
    <w:p>
      <w:pPr>
        <w:ind w:firstLine="480"/>
      </w:pPr>
      <w:r>
        <w:rPr/>
        <w:t>表二符合性审查表：</w:t>
      </w:r>
    </w:p>
    <w:p>
      <w:pPr>
        <w:ind w:firstLine="480"/>
      </w:pPr>
    </w:p>
    <w:p/>
    <w:p>
      <w:r>
        <w:rPr/>
        <w:t>采购包1（越秀山电视塔低压配电系统改造项目（二次））：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投标（报价）总金额是固定价且是唯一的，未超过本项目采购预算；分项报价未超过本项目采购分项预算。</w:t>
            </w:r>
          </w:p>
        </w:tc>
        <w:tc>
          <w:tcPr>
            <w:tcW w:type="dxa" w:w="4238"/>
          </w:tcPr>
          <w:p>
            <w:r>
              <w:rPr/>
              <w:t>投标（报价）总金额是固定价且是唯一的，未超过本项目采购预算；分项报价未超过本项目采购分项预算。</w:t>
            </w:r>
          </w:p>
        </w:tc>
      </w:tr>
      <w:tr>
        <w:tc>
          <w:tcPr>
            <w:tcW w:type="dxa" w:w="890"/>
          </w:tcPr>
          <w:p>
            <w:r>
              <w:rPr/>
              <w:t>2</w:t>
            </w:r>
          </w:p>
        </w:tc>
        <w:tc>
          <w:tcPr>
            <w:tcW w:type="dxa" w:w="3178"/>
          </w:tcPr>
          <w:p>
            <w:r>
              <w:rPr/>
              <w:t>对标的没有报价漏项。</w:t>
            </w:r>
          </w:p>
        </w:tc>
        <w:tc>
          <w:tcPr>
            <w:tcW w:type="dxa" w:w="4238"/>
          </w:tcPr>
          <w:p>
            <w:r>
              <w:rPr/>
              <w:t>对标的没有报价漏项。</w:t>
            </w:r>
          </w:p>
        </w:tc>
      </w:tr>
      <w:tr>
        <w:tc>
          <w:tcPr>
            <w:tcW w:type="dxa" w:w="890"/>
          </w:tcPr>
          <w:p>
            <w:r>
              <w:rPr/>
              <w:t>3</w:t>
            </w:r>
          </w:p>
        </w:tc>
        <w:tc>
          <w:tcPr>
            <w:tcW w:type="dxa" w:w="3178"/>
          </w:tcPr>
          <w:p>
            <w:r>
              <w:rPr/>
              <w:t>未以进口产品投标。</w:t>
            </w:r>
          </w:p>
        </w:tc>
        <w:tc>
          <w:tcPr>
            <w:tcW w:type="dxa" w:w="4238"/>
          </w:tcPr>
          <w:p>
            <w:r>
              <w:rPr/>
              <w:t>未以进口产品投标。</w:t>
            </w:r>
          </w:p>
        </w:tc>
      </w:tr>
      <w:tr>
        <w:tc>
          <w:tcPr>
            <w:tcW w:type="dxa" w:w="890"/>
          </w:tcPr>
          <w:p>
            <w:r>
              <w:rPr/>
              <w:t>4</w:t>
            </w:r>
          </w:p>
        </w:tc>
        <w:tc>
          <w:tcPr>
            <w:tcW w:type="dxa" w:w="3178"/>
          </w:tcPr>
          <w:p>
            <w:r>
              <w:rPr/>
              <w:t>提交投标函。投标文件完整，投标内容基本完整，无重大错漏，并按要求签署、盖章。</w:t>
            </w:r>
          </w:p>
        </w:tc>
        <w:tc>
          <w:tcPr>
            <w:tcW w:type="dxa" w:w="4238"/>
          </w:tcPr>
          <w:p>
            <w:r>
              <w:rPr/>
              <w:t>提交投标函。投标文件完整，投标内容基本完整，无重大错漏，并按要求签署、盖章。</w:t>
            </w:r>
          </w:p>
        </w:tc>
      </w:tr>
      <w:tr>
        <w:tc>
          <w:tcPr>
            <w:tcW w:type="dxa" w:w="890"/>
          </w:tcPr>
          <w:p>
            <w:r>
              <w:rPr/>
              <w:t>5</w:t>
            </w:r>
          </w:p>
        </w:tc>
        <w:tc>
          <w:tcPr>
            <w:tcW w:type="dxa" w:w="3178"/>
          </w:tcPr>
          <w:p>
            <w:r>
              <w:rPr/>
              <w:t>法定代表人/负责人资格证明书及授权委托书，按对应格式文件签署、盖章。</w:t>
            </w:r>
          </w:p>
        </w:tc>
        <w:tc>
          <w:tcPr>
            <w:tcW w:type="dxa" w:w="4238"/>
          </w:tcPr>
          <w:p>
            <w:r>
              <w:rPr/>
              <w:t>法定代表人/负责人资格证明书及授权委托书，按对应格式文件签署、盖章。</w:t>
            </w:r>
          </w:p>
        </w:tc>
      </w:tr>
      <w:tr>
        <w:tc>
          <w:tcPr>
            <w:tcW w:type="dxa" w:w="890"/>
          </w:tcPr>
          <w:p>
            <w:r>
              <w:rPr/>
              <w:t>6</w:t>
            </w:r>
          </w:p>
        </w:tc>
        <w:tc>
          <w:tcPr>
            <w:tcW w:type="dxa" w:w="3178"/>
          </w:tcPr>
          <w:p>
            <w:r>
              <w:rPr/>
              <w:t>“★”号条款满足招标文件要求。</w:t>
            </w:r>
          </w:p>
        </w:tc>
        <w:tc>
          <w:tcPr>
            <w:tcW w:type="dxa" w:w="4238"/>
          </w:tcPr>
          <w:p>
            <w:r>
              <w:rPr/>
              <w:t>“★”号条款满足招标文件要求。</w:t>
            </w:r>
          </w:p>
        </w:tc>
      </w:tr>
      <w:tr>
        <w:tc>
          <w:tcPr>
            <w:tcW w:type="dxa" w:w="890"/>
          </w:tcPr>
          <w:p>
            <w:r>
              <w:rPr/>
              <w:t>7</w:t>
            </w:r>
          </w:p>
        </w:tc>
        <w:tc>
          <w:tcPr>
            <w:tcW w:type="dxa" w:w="3178"/>
          </w:tcPr>
          <w:p>
            <w:r>
              <w:rPr/>
              <w:t>投标有效期为投标截止日起至少90天。</w:t>
            </w:r>
          </w:p>
        </w:tc>
        <w:tc>
          <w:tcPr>
            <w:tcW w:type="dxa" w:w="4238"/>
          </w:tcPr>
          <w:p>
            <w:r>
              <w:rPr/>
              <w:t>投标有效期为投标截止日起至少90天。</w:t>
            </w:r>
          </w:p>
        </w:tc>
      </w:tr>
      <w:tr>
        <w:tc>
          <w:tcPr>
            <w:tcW w:type="dxa" w:w="890"/>
          </w:tcPr>
          <w:p>
            <w:r>
              <w:rPr/>
              <w:t>8</w:t>
            </w:r>
          </w:p>
        </w:tc>
        <w:tc>
          <w:tcPr>
            <w:tcW w:type="dxa" w:w="3178"/>
          </w:tcPr>
          <w:p>
            <w:r>
              <w:rPr/>
              <w:t>如出现投标报价错误的处理原则修正后的报价，投标人按规定书面确认。</w:t>
            </w:r>
          </w:p>
        </w:tc>
        <w:tc>
          <w:tcPr>
            <w:tcW w:type="dxa" w:w="4238"/>
          </w:tcPr>
          <w:p>
            <w:r>
              <w:rPr/>
              <w:t>如出现投标报价错误的处理原则修正后的报价，投标人按规定书面确认。</w:t>
            </w:r>
          </w:p>
        </w:tc>
      </w:tr>
      <w:tr>
        <w:tc>
          <w:tcPr>
            <w:tcW w:type="dxa" w:w="890"/>
          </w:tcPr>
          <w:p>
            <w:r>
              <w:rPr/>
              <w:t>9</w:t>
            </w:r>
          </w:p>
        </w:tc>
        <w:tc>
          <w:tcPr>
            <w:tcW w:type="dxa" w:w="3178"/>
          </w:tcPr>
          <w:p>
            <w:r>
              <w:rPr/>
              <w:t>未出现视为投标人串标投标所列的情形。</w:t>
            </w:r>
          </w:p>
        </w:tc>
        <w:tc>
          <w:tcPr>
            <w:tcW w:type="dxa" w:w="4238"/>
          </w:tcPr>
          <w:p>
            <w:r>
              <w:rPr/>
              <w:t>未出现视为投标人串标投标所列的情形。</w:t>
            </w:r>
          </w:p>
        </w:tc>
      </w:tr>
      <w:tr>
        <w:tc>
          <w:tcPr>
            <w:tcW w:type="dxa" w:w="890"/>
          </w:tcPr>
          <w:p>
            <w:r>
              <w:rPr/>
              <w:t>10</w:t>
            </w:r>
          </w:p>
        </w:tc>
        <w:tc>
          <w:tcPr>
            <w:tcW w:type="dxa" w:w="3178"/>
          </w:tcPr>
          <w:p>
            <w:r>
              <w:rPr/>
              <w:t>投标文件未含有采购人不可接受的附加条件。</w:t>
            </w:r>
          </w:p>
        </w:tc>
        <w:tc>
          <w:tcPr>
            <w:tcW w:type="dxa" w:w="4238"/>
          </w:tcPr>
          <w:p>
            <w:r>
              <w:rPr/>
              <w:t>投标文件未含有采购人不可接受的附加条件。</w:t>
            </w:r>
          </w:p>
        </w:tc>
      </w:tr>
      <w:tr>
        <w:tc>
          <w:tcPr>
            <w:tcW w:type="dxa" w:w="890"/>
          </w:tcPr>
          <w:p>
            <w:r>
              <w:rPr/>
              <w:t>11</w:t>
            </w:r>
          </w:p>
        </w:tc>
        <w:tc>
          <w:tcPr>
            <w:tcW w:type="dxa" w:w="3178"/>
          </w:tcPr>
          <w:p>
            <w:r>
              <w:rPr/>
              <w:t>如果评标委员会认为投标人的报价明显低于其他通过符合性审查投标人的报价，有可能影响产品质量或者不能诚信履约的，将要求其在评标现场合理的时间内提供书面说明，必要时提交相关证明材料，包括但不限于项目的设备明细及报价、人员数量及其工作时间、项目人员的工资支出、安健环支出以及项目实施过程中可能涉及的其他费用。投标人应能证明其报价合理性。</w:t>
            </w:r>
          </w:p>
        </w:tc>
        <w:tc>
          <w:tcPr>
            <w:tcW w:type="dxa" w:w="4238"/>
          </w:tcPr>
          <w:p>
            <w:r>
              <w:rPr/>
              <w:t>如果评标委员会认为投标人的报价明显低于其他通过符合性审查投标人的报价，有可能影响产品质量或者不能诚信履约的，将要求其在评标现场合理的时间内提供书面说明，必要时提交相关证明材料，包括但不限于项目的设备明细及报价、人员数量及其工作时间、项目人员的工资支出、安健环支出以及项目实施过程中可能涉及的其他费用。投标人应能证明其报价合理性。</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采购包1(越秀山电视塔低压配电系统改造项目（二次）):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技术部分45.0分</w:t>
            </w:r>
          </w:p>
          <w:p>
            <w:r>
              <w:rPr/>
              <w:t>报价得分30.0分</w:t>
            </w:r>
          </w:p>
        </w:tc>
      </w:tr>
      <w:tr>
        <w:tc>
          <w:tcPr>
            <w:tcW w:type="dxa" w:w="922"/>
            <w:gridSpan w:val="2"/>
            <w:vMerge w:val="restart"/>
          </w:tcPr>
          <w:p>
            <w:pPr>
              <w:jc w:val="center"/>
            </w:pPr>
            <w:r>
              <w:rPr/>
              <w:t>技术部分</w:t>
            </w:r>
          </w:p>
        </w:tc>
        <w:tc>
          <w:tcPr>
            <w:tcW w:type="dxa" w:w="2307"/>
          </w:tcPr>
          <w:p>
            <w:pPr>
              <w:jc w:val="left"/>
            </w:pPr>
            <w:r>
              <w:rPr/>
              <w:t>UPS主机技术性能指标的响应程度 (10.0分)</w:t>
            </w:r>
          </w:p>
        </w:tc>
        <w:tc>
          <w:tcPr>
            <w:tcW w:type="dxa" w:w="5076"/>
          </w:tcPr>
          <w:p>
            <w:pPr>
              <w:jc w:val="left"/>
            </w:pPr>
            <w:r>
              <w:rPr/>
              <w:t>根据投标人对用户需求书“五、（三）产品技术要求”中“1 UPS主机及其配套设备”进行响应（“★”号条款除外）： 1、对带“▲”技术参数（总共7项）响应情况进行评分，每满足一项得1分，共7分。 2、对非“▲”、“★”一般性技术参数响应情况进行评分，一般性技术参数全部响应则得3分，每有一条（或以上）技术参数负偏离，则本项不得分。 注：如用户需求中有明确要求提供的证明资料，则以用户需求中要求的为准，无提供或未按要求提供证明材料的不得分；如用户需求中无明确证明材料的，以投标人响应文件中的《技术参数响应表》中的投标人填写的“是否偏离”为准，未填写或未响应的视为负偏离。</w:t>
            </w:r>
          </w:p>
        </w:tc>
      </w:tr>
      <w:tr>
        <w:tc>
          <w:tcPr>
            <w:tcW w:type="dxa" w:w="922"/>
            <w:gridSpan w:val="2"/>
            <w:vMerge/>
          </w:tcPr>
          <w:p/>
        </w:tc>
        <w:tc>
          <w:tcPr>
            <w:tcW w:type="dxa" w:w="2307"/>
          </w:tcPr>
          <w:p>
            <w:pPr>
              <w:jc w:val="left"/>
            </w:pPr>
            <w:r>
              <w:rPr/>
              <w:t>蓄电池及在线监测系统技术性能指标的响应程度 (8.0分)</w:t>
            </w:r>
          </w:p>
        </w:tc>
        <w:tc>
          <w:tcPr>
            <w:tcW w:type="dxa" w:w="5076"/>
          </w:tcPr>
          <w:p>
            <w:pPr>
              <w:jc w:val="left"/>
            </w:pPr>
            <w:r>
              <w:rPr/>
              <w:t>根据投标人对用户需求书“五、（三）产品技术要求”中“2 UPS蓄电池组及其配套设备”和“3 蓄电池在线监测系统”进行响应（“★”号条款除外）： 1、对带“▲”技术参数（总共5项）响应情况进行评分，每满足一项得1分，共5分。 2、对非“▲”、“★”一般性技术参数响应情况进行评分，一般性技术参数全部响应则得3分，每有一条（或以上）技术参数负偏离，则本项不得分。 注：如用户需求中有明确要求提供的证明资料，则以用户需求中要求的为准，无提供或未按要求提供证明材料的不得分；如用户需求中无明确证明材料的，以投标人响应文件中的《技术参数响应表》中的投标人填写的“是否偏离”为准，未填写或未响应的视为负偏离。</w:t>
            </w:r>
          </w:p>
        </w:tc>
      </w:tr>
      <w:tr>
        <w:tc>
          <w:tcPr>
            <w:tcW w:type="dxa" w:w="922"/>
            <w:gridSpan w:val="2"/>
            <w:vMerge/>
          </w:tcPr>
          <w:p/>
        </w:tc>
        <w:tc>
          <w:tcPr>
            <w:tcW w:type="dxa" w:w="2307"/>
          </w:tcPr>
          <w:p>
            <w:pPr>
              <w:jc w:val="left"/>
            </w:pPr>
            <w:r>
              <w:rPr/>
              <w:t>其他产品技术性能指标的响应程度 (10.0分)</w:t>
            </w:r>
          </w:p>
        </w:tc>
        <w:tc>
          <w:tcPr>
            <w:tcW w:type="dxa" w:w="5076"/>
          </w:tcPr>
          <w:p>
            <w:pPr>
              <w:jc w:val="left"/>
            </w:pPr>
            <w:r>
              <w:rPr/>
              <w:t>投标人对用户需求书“五、（三）产品技术要求”中“4 新风系统”和“5 动力环境监控系统”进行响应（“★”号条款除外）： 1、对带“▲”技术参数（总共8项）响应情况进行评分，每满足一项得1分，共8分。 2、对非“▲”、“★”一般性技术参数响应情况进行评分，一般性技术参数全部响应则得2分，每有一条（或以上）技术参数负偏离，则本项不得分。 注：如用户需求中有明确要求提供的证明资料，则以用户需求中要求的为准，无提供或未按要求提供证明材料的不得分；如用户需求中无明确证明材料的，以投标人响应文件中的《技术参数响应表》中的投标人填写的“是否偏离”为准，未填写或未响应的视为负偏离。</w:t>
            </w:r>
          </w:p>
        </w:tc>
      </w:tr>
      <w:tr>
        <w:tc>
          <w:tcPr>
            <w:tcW w:type="dxa" w:w="922"/>
            <w:gridSpan w:val="2"/>
            <w:vMerge/>
          </w:tcPr>
          <w:p/>
        </w:tc>
        <w:tc>
          <w:tcPr>
            <w:tcW w:type="dxa" w:w="2307"/>
          </w:tcPr>
          <w:p>
            <w:pPr>
              <w:jc w:val="left"/>
            </w:pPr>
            <w:r>
              <w:rPr/>
              <w:t>初步设计和实施方案 (5.0分)</w:t>
            </w:r>
            <w:r>
              <w:rPr/>
              <w:t>，（等次分值选择：</w:t>
            </w:r>
            <w:r>
              <w:rPr/>
              <w:t>0.0;</w:t>
            </w:r>
            <w:r>
              <w:rPr/>
              <w:t>1.0;</w:t>
            </w:r>
            <w:r>
              <w:rPr/>
              <w:t>3.0;</w:t>
            </w:r>
            <w:r>
              <w:rPr/>
              <w:t>5.0;</w:t>
            </w:r>
            <w:r>
              <w:rPr/>
              <w:t>）</w:t>
            </w:r>
          </w:p>
        </w:tc>
        <w:tc>
          <w:tcPr>
            <w:tcW w:type="dxa" w:w="5076"/>
          </w:tcPr>
          <w:p>
            <w:pPr>
              <w:jc w:val="left"/>
            </w:pPr>
            <w:r>
              <w:rPr/>
              <w:t>对应采购需求书“五、（五）初步设计和实施方案”部分，根据投标人提供的实施及技术服务方案（包括低压配电系统改造和动力环境监控系统初步设计方案、施工方案、总工期进度安排及计划书、保障进度、质量和安全的措施等）综合评价。 方案完全满足且优于项目需求的，得5分； 方案完全满足项目需求的，得3分； 方案不完全满足项目需求的，得1分； 无相关方案得0分。</w:t>
            </w:r>
          </w:p>
        </w:tc>
      </w:tr>
      <w:tr>
        <w:tc>
          <w:tcPr>
            <w:tcW w:type="dxa" w:w="922"/>
            <w:gridSpan w:val="2"/>
            <w:vMerge/>
          </w:tcPr>
          <w:p/>
        </w:tc>
        <w:tc>
          <w:tcPr>
            <w:tcW w:type="dxa" w:w="2307"/>
          </w:tcPr>
          <w:p>
            <w:pPr>
              <w:jc w:val="left"/>
            </w:pPr>
            <w:r>
              <w:rPr/>
              <w:t>动力环境监控系统现场演示  (12.0分)</w:t>
            </w:r>
          </w:p>
        </w:tc>
        <w:tc>
          <w:tcPr>
            <w:tcW w:type="dxa" w:w="5076"/>
          </w:tcPr>
          <w:p>
            <w:pPr>
              <w:jc w:val="left"/>
            </w:pPr>
            <w:r>
              <w:rPr/>
              <w:t>动力环境监控系统现场演示如下：  （一）监控总览 监控总览可查看机房整体情况，如：可查看机房、设备、测点总数；按不同维度分类，是否正常统计和展示设备测点及其相关数据、告警、事件；数据、告警、事件是否可以按不同维度进行分类，是否可以展示近30天的事件、告警情况。 （二）配电链路监控界面 配电链路界面应正常展示相关设备、测点及其数据，应以图形或动画方式直观展示各个开关的分合闸、跳闸状态；应以动画形式展示电流动态流向；点击设备应跳转详细数据界面；报警时应弹出报警框，弹出报警框应直观、醒目；点击告警应跳转电子地图界面定位设备空间位置。 （三）电子地图界面 是否支持电子地图功能，可以展示配电系统各设备所在空间位置，支持从配电链路监控、告警管理等视图跳转电子地图，协助运维人员快速定位目标设备。 （四）告警管理 能否根据设定条件进行声光告警、图元闪烁告警、弹出式窗口告警等，能否根据告警内容从知识库中提取预设的事件处置流程和方法提示，指导运维人员进行事件处置。 （五）知识库管理 能否对各设备的维护记录、操作手册、产品说明书、常见故障的处理方法等进行录入和检索；相关信息能否被告警管理模块调用，在告警时弹出相关维修和操作指引。 （六）预警提醒功能 是否支持对开关、UPS、电缆等设备进行容量预警、质保到期提醒、维保到期提醒、使用年限到期提醒等功能。 （七）设备缺陷、维护记录管理 能否记录设备的投运、缺陷、维修、巡检等记录信息，并具备检索功能，可按照设备名称、分组等方式对进行检索，以快速掌握设备的维护历史记录。 （八）蓄电池分析预测模块 支持落后电池甄别，单体电压、内阻、温度、容量不均分析，整组电池寿命预测，单体内阻预测，电池容量、充放电容量比长线趋势管理、预警等功能。 序号（一）至（八）要求：采用现场演示（演示不限于原型演示、PPT、视频等方式）：第（一）至（四）项完全满足每项得1分，其余各项完全满足每项得2分，共12分；不完全满足对应项不得分，不演示对应项不得分。</w:t>
            </w:r>
          </w:p>
        </w:tc>
      </w:tr>
      <w:tr>
        <w:tc>
          <w:tcPr>
            <w:tcW w:type="dxa" w:w="922"/>
            <w:gridSpan w:val="2"/>
            <w:vMerge w:val="restart"/>
          </w:tcPr>
          <w:p>
            <w:pPr>
              <w:jc w:val="center"/>
            </w:pPr>
            <w:r>
              <w:rPr/>
              <w:t>商务部分</w:t>
            </w:r>
          </w:p>
        </w:tc>
        <w:tc>
          <w:tcPr>
            <w:tcW w:type="dxa" w:w="2307"/>
          </w:tcPr>
          <w:p>
            <w:pPr>
              <w:jc w:val="left"/>
            </w:pPr>
            <w:r>
              <w:rPr/>
              <w:t>投标人认证情况 (2.0分)</w:t>
            </w:r>
          </w:p>
        </w:tc>
        <w:tc>
          <w:tcPr>
            <w:tcW w:type="dxa" w:w="5076"/>
          </w:tcPr>
          <w:p>
            <w:pPr>
              <w:jc w:val="left"/>
            </w:pPr>
            <w:r>
              <w:rPr/>
              <w:t>投标人具备质量管理体系ISO9001认证证书，得2分。 注：须同时提供认证证书复印件及国家认证认可监督管理委员会的“全国认证认可信息公共服务平台”（http://cx.cnca.cn）查询结果截图，失效、撤销或暂停的对应证书项不得分。供应商因成立时间不足三个月无法获得证书的，对应证书可得分。</w:t>
            </w:r>
          </w:p>
        </w:tc>
      </w:tr>
      <w:tr>
        <w:tc>
          <w:tcPr>
            <w:tcW w:type="dxa" w:w="922"/>
            <w:gridSpan w:val="2"/>
            <w:vMerge/>
          </w:tcPr>
          <w:p/>
        </w:tc>
        <w:tc>
          <w:tcPr>
            <w:tcW w:type="dxa" w:w="2307"/>
          </w:tcPr>
          <w:p>
            <w:pPr>
              <w:jc w:val="left"/>
            </w:pPr>
            <w:r>
              <w:rPr/>
              <w:t>项目管理团队专业水平 (9.0分)</w:t>
            </w:r>
          </w:p>
        </w:tc>
        <w:tc>
          <w:tcPr>
            <w:tcW w:type="dxa" w:w="5076"/>
          </w:tcPr>
          <w:p>
            <w:pPr>
              <w:jc w:val="left"/>
            </w:pPr>
            <w:r>
              <w:rPr/>
              <w:t>2.1为保证施工安全，项目管理团队具备以下资质： 1）项目负责人（项目经理）具有①高级工程师职称（电气、机电、弱电或信息类相关专业）资格证书、②硕士或以上学位证书，每项证书得1分，本项最高不超过2分； 2）项目技术负责人（电气）具有①高级工程师职称（电气或机电相关专业）资格证书、②学士或以上学位证书，每项证书得1分，本项最高不超过2分； 3）项目技术负责人（动力环境监控系统）具有①高级及以上工程师职称（弱电类专业）资格证书、②学士或以上学位证书，每项证书得1分，本项最高不超过2分。 2.1款序号1）-3）注：提供有效的证书复印件。供应商如提供国外学位证书的，须同时提供中文翻译及教育部留学服务中心出具的“国外学历学位认证书”，否则对应项不得分。 2.2项目管理团队人员具备以下业绩（以合同签订或验收报告落款时间为准）： 1）项目经理（项目负责人）具有2018年及以后单机额定容量不小于400kVA的模块化UPS电源供货项目业绩，并在项目中担任项目负责人（项目经理）角色，提供一份得0.5分，本项最高不超过1分。 2）项目技术负责人（电气）具有2018年及以后单机额定容量不小于400kVA的模块化UPS电源供货项目业绩，并在项目中担任技术负责人的角色，提供一份得0.5分，本项最高不超过1分。 3）项目技术负责人（动力环境监控系统）具有2018年及以后动力环境系统供货项目业绩，并在项目中担任技术负责人的角色，提供一份得0.5分，本项最高不超过1分。 2.2款序号1）-3）注：需提供盖有该项目用户单位公章的合同复印件或验收报告复印件，如在项目合同和验收报告体现不了人员信息的，应提供盖有用户单位公章的证明材料，所有材料均加盖投标人公章。</w:t>
            </w:r>
          </w:p>
        </w:tc>
      </w:tr>
      <w:tr>
        <w:tc>
          <w:tcPr>
            <w:tcW w:type="dxa" w:w="922"/>
            <w:gridSpan w:val="2"/>
            <w:vMerge/>
          </w:tcPr>
          <w:p/>
        </w:tc>
        <w:tc>
          <w:tcPr>
            <w:tcW w:type="dxa" w:w="2307"/>
          </w:tcPr>
          <w:p>
            <w:pPr>
              <w:jc w:val="left"/>
            </w:pPr>
            <w:r>
              <w:rPr/>
              <w:t>同类项目业绩 (6.0分)</w:t>
            </w:r>
          </w:p>
        </w:tc>
        <w:tc>
          <w:tcPr>
            <w:tcW w:type="dxa" w:w="5076"/>
          </w:tcPr>
          <w:p>
            <w:pPr>
              <w:jc w:val="left"/>
            </w:pPr>
            <w:r>
              <w:rPr/>
              <w:t>1）投标人具有2018年及以后（以合同签订时间为准）单机额定容量不小于400kVA的模块化UPS电源供货项目业绩，以加盖投标人公章的合同扫描件及验收报告为准，提供一份得1分，本项最高不超过2分。 2）投标人具有2018年及以后（以合同签订时间为准）动力环境监控系统供货项目业绩，以加盖投标人公章的合同扫描件及验收报告为准，提供一份得1分，本项最高不超过2分。 3）投标人具有2018年及以后（以合同签订时间为准）UPS及蓄电池维保运维业绩，以加盖投标人公章的合同扫描件及验收报告为准，提供一份得1分，本项最高不超过2分。 序号1）-3）注：如同一份合同同时体现上述多项业绩内容，可重复计分。</w:t>
            </w:r>
          </w:p>
        </w:tc>
      </w:tr>
      <w:tr>
        <w:tc>
          <w:tcPr>
            <w:tcW w:type="dxa" w:w="922"/>
            <w:gridSpan w:val="2"/>
            <w:vMerge/>
          </w:tcPr>
          <w:p/>
        </w:tc>
        <w:tc>
          <w:tcPr>
            <w:tcW w:type="dxa" w:w="2307"/>
          </w:tcPr>
          <w:p>
            <w:pPr>
              <w:jc w:val="left"/>
            </w:pPr>
            <w:r>
              <w:rPr/>
              <w:t>培训方案 (3.0分)</w:t>
            </w:r>
            <w:r>
              <w:rPr/>
              <w:t>，（等次分值选择：</w:t>
            </w:r>
            <w:r>
              <w:rPr/>
              <w:t>0.0;</w:t>
            </w:r>
            <w:r>
              <w:rPr/>
              <w:t>1.0;</w:t>
            </w:r>
            <w:r>
              <w:rPr/>
              <w:t>2.0;</w:t>
            </w:r>
            <w:r>
              <w:rPr/>
              <w:t>3.0;</w:t>
            </w:r>
            <w:r>
              <w:rPr/>
              <w:t>）</w:t>
            </w:r>
          </w:p>
        </w:tc>
        <w:tc>
          <w:tcPr>
            <w:tcW w:type="dxa" w:w="5076"/>
          </w:tcPr>
          <w:p>
            <w:pPr>
              <w:jc w:val="left"/>
            </w:pPr>
            <w:r>
              <w:rPr/>
              <w:t>根据需求书“六、商务要求 （十）培训”部分，对投标人提供的培训方案进行综合评审： 培训方案完全满足且优于项目需求，得3分； 培训方案完全满足项目需求，得2分； 培训方案不能完全满足项目需求，得1分； 无培训方案，得0分。</w:t>
            </w:r>
          </w:p>
        </w:tc>
      </w:tr>
      <w:tr>
        <w:tc>
          <w:tcPr>
            <w:tcW w:type="dxa" w:w="922"/>
            <w:gridSpan w:val="2"/>
            <w:vMerge/>
          </w:tcPr>
          <w:p/>
        </w:tc>
        <w:tc>
          <w:tcPr>
            <w:tcW w:type="dxa" w:w="2307"/>
          </w:tcPr>
          <w:p>
            <w:pPr>
              <w:jc w:val="left"/>
            </w:pPr>
            <w:r>
              <w:rPr/>
              <w:t>售后服务方案 (5.0分)</w:t>
            </w:r>
            <w:r>
              <w:rPr/>
              <w:t>，（等次分值选择：</w:t>
            </w:r>
            <w:r>
              <w:rPr/>
              <w:t>0.0;</w:t>
            </w:r>
            <w:r>
              <w:rPr/>
              <w:t>1.0;</w:t>
            </w:r>
            <w:r>
              <w:rPr/>
              <w:t>3.0;</w:t>
            </w:r>
            <w:r>
              <w:rPr/>
              <w:t>5.0;</w:t>
            </w:r>
            <w:r>
              <w:rPr/>
              <w:t>）</w:t>
            </w:r>
          </w:p>
        </w:tc>
        <w:tc>
          <w:tcPr>
            <w:tcW w:type="dxa" w:w="5076"/>
          </w:tcPr>
          <w:p>
            <w:pPr>
              <w:jc w:val="left"/>
            </w:pPr>
            <w:r>
              <w:rPr/>
              <w:t>根据需求书“六、商务要求 （八）售后服务”部分，对投标人提供的售后服务方案综合评价（“★”号条款除外）： 售后服务方案完全满足且优于项目需求的，得5分； 售后服务方案完全满足项目需求的，得3分； 售后服务方案不能完全满足项目需求的，得1分。 未提供方案的，得0分。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8"/>
        </w:rPr>
        <w:t xml:space="preserve"> </w:t>
      </w:r>
    </w:p>
    <w:p>
      <w:pPr>
        <w:jc w:val="center"/>
      </w:pPr>
      <w:r>
        <w:rPr>
          <w:b/>
          <w:sz w:val="48"/>
        </w:rPr>
        <w:t xml:space="preserve"> </w:t>
      </w:r>
    </w:p>
    <w:p>
      <w:pPr>
        <w:jc w:val="center"/>
      </w:pPr>
      <w:r>
        <w:rPr>
          <w:b/>
          <w:sz w:val="48"/>
        </w:rPr>
        <w:t xml:space="preserve"> </w:t>
      </w:r>
    </w:p>
    <w:p>
      <w:pPr>
        <w:jc w:val="center"/>
      </w:pPr>
      <w:r>
        <w:rPr>
          <w:b/>
          <w:sz w:val="48"/>
        </w:rPr>
        <w:t>广东省政府采购</w:t>
      </w:r>
    </w:p>
    <w:p>
      <w:pPr>
        <w:jc w:val="both"/>
      </w:pPr>
      <w:r>
        <w:rPr>
          <w:b/>
          <w:sz w:val="48"/>
        </w:rPr>
        <w:t xml:space="preserve"> </w:t>
      </w:r>
    </w:p>
    <w:p>
      <w:pPr>
        <w:jc w:val="center"/>
      </w:pPr>
      <w:r>
        <w:rPr>
          <w:b/>
          <w:sz w:val="48"/>
        </w:rPr>
        <w:t>合　同　书</w:t>
      </w:r>
    </w:p>
    <w:p>
      <w:pPr>
        <w:jc w:val="center"/>
      </w:pP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t xml:space="preserve"> </w:t>
      </w:r>
    </w:p>
    <w:p>
      <w:pPr>
        <w:jc w:val="center"/>
      </w:pPr>
    </w:p>
    <w:p>
      <w:pPr>
        <w:jc w:val="both"/>
      </w:pPr>
    </w:p>
    <w:p>
      <w:pPr>
        <w:jc w:val="both"/>
      </w:pPr>
    </w:p>
    <w:p>
      <w:pPr>
        <w:jc w:val="both"/>
      </w:pPr>
    </w:p>
    <w:p>
      <w:pPr>
        <w:jc w:val="both"/>
      </w:pPr>
    </w:p>
    <w:p>
      <w:pPr>
        <w:jc w:val="both"/>
      </w:pPr>
      <w:r>
        <w:rPr/>
        <w:t xml:space="preserve"> </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rPr>
          <w:b/>
          <w:sz w:val="24"/>
        </w:rPr>
        <w:t>甲　　方：</w:t>
      </w:r>
      <w:r>
        <w:rPr>
          <w:b/>
          <w:sz w:val="24"/>
          <w:u w:val="single"/>
        </w:rPr>
        <w:t>　　　　　　　　　　</w:t>
      </w:r>
    </w:p>
    <w:p>
      <w:pPr>
        <w:jc w:val="both"/>
      </w:pPr>
      <w:r>
        <w:rPr>
          <w:sz w:val="24"/>
        </w:rPr>
        <w:t>电　　话：</w:t>
      </w:r>
      <w:r>
        <w:rPr>
          <w:b/>
          <w:sz w:val="24"/>
          <w:u w:val="single"/>
        </w:rPr>
        <w:t>　　　　　　</w:t>
      </w:r>
      <w:r>
        <w:rPr>
          <w:sz w:val="24"/>
        </w:rPr>
        <w:t>　　传　　真：</w:t>
      </w:r>
      <w:r>
        <w:rPr>
          <w:b/>
          <w:sz w:val="24"/>
          <w:u w:val="single"/>
        </w:rPr>
        <w:t>　　　　　　</w:t>
      </w:r>
      <w:r>
        <w:rPr>
          <w:sz w:val="24"/>
        </w:rPr>
        <w:t>　　地　　址：</w:t>
      </w:r>
      <w:r>
        <w:rPr>
          <w:b/>
          <w:sz w:val="24"/>
          <w:u w:val="single"/>
        </w:rPr>
        <w:t>　　　　　　　　　　</w:t>
      </w:r>
    </w:p>
    <w:p>
      <w:pPr>
        <w:jc w:val="both"/>
      </w:pPr>
      <w:r>
        <w:rPr>
          <w:b/>
          <w:sz w:val="24"/>
        </w:rPr>
        <w:t>乙　　方：</w:t>
      </w:r>
      <w:r>
        <w:rPr>
          <w:b/>
          <w:sz w:val="24"/>
          <w:u w:val="single"/>
        </w:rPr>
        <w:t>　　　　　　　　　　</w:t>
      </w:r>
    </w:p>
    <w:p>
      <w:pPr>
        <w:jc w:val="both"/>
      </w:pPr>
      <w:r>
        <w:rPr>
          <w:sz w:val="24"/>
        </w:rPr>
        <w:t>电　　话：</w:t>
      </w:r>
      <w:r>
        <w:rPr>
          <w:b/>
          <w:sz w:val="24"/>
          <w:u w:val="single"/>
        </w:rPr>
        <w:t>　　　　　　</w:t>
      </w:r>
      <w:r>
        <w:rPr>
          <w:sz w:val="24"/>
        </w:rPr>
        <w:t>　　传　　真：</w:t>
      </w:r>
      <w:r>
        <w:rPr>
          <w:b/>
          <w:sz w:val="24"/>
          <w:u w:val="single"/>
        </w:rPr>
        <w:t>　　　　　　</w:t>
      </w:r>
      <w:r>
        <w:rPr>
          <w:sz w:val="24"/>
        </w:rPr>
        <w:t>　　地　　址：</w:t>
      </w:r>
      <w:r>
        <w:rPr>
          <w:b/>
          <w:sz w:val="24"/>
          <w:u w:val="single"/>
        </w:rPr>
        <w:t>　　　　　　　　　　</w:t>
      </w:r>
    </w:p>
    <w:p>
      <w:pPr>
        <w:jc w:val="both"/>
      </w:pPr>
      <w:r>
        <w:rPr>
          <w:sz w:val="24"/>
        </w:rPr>
        <w:t>项目名称：</w:t>
      </w:r>
      <w:r>
        <w:rPr>
          <w:sz w:val="24"/>
          <w:u w:val="single"/>
        </w:rPr>
        <w:t>　　　　　　　　　　　　　　　　　　　</w:t>
      </w:r>
      <w:r>
        <w:rPr>
          <w:sz w:val="24"/>
        </w:rPr>
        <w:t>　　采购编号：</w:t>
      </w:r>
      <w:r>
        <w:rPr>
          <w:sz w:val="24"/>
          <w:u w:val="single"/>
        </w:rPr>
        <w:t>　　　　　　　　　　</w:t>
      </w:r>
    </w:p>
    <w:p>
      <w:pPr>
        <w:jc w:val="both"/>
      </w:pPr>
    </w:p>
    <w:p>
      <w:pPr>
        <w:ind w:firstLine="480"/>
        <w:jc w:val="both"/>
      </w:pPr>
      <w:r>
        <w:rPr>
          <w:sz w:val="24"/>
        </w:rPr>
        <w:t>根据</w:t>
      </w:r>
      <w:r>
        <w:rPr>
          <w:sz w:val="24"/>
          <w:u w:val="single"/>
        </w:rPr>
        <w:t xml:space="preserve">              </w:t>
      </w:r>
      <w:r>
        <w:rPr>
          <w:sz w:val="24"/>
        </w:rPr>
        <w:t>项目的采购结果，按照《中华人民共和国政府采购法》、《中华人民共和国民法典》的规定，经双方协商，本着平等互利和诚实信用的原则，一致同意签订本合同如下。</w:t>
      </w:r>
    </w:p>
    <w:p>
      <w:pPr>
        <w:jc w:val="both"/>
      </w:pPr>
      <w:r>
        <w:rPr>
          <w:b/>
          <w:sz w:val="24"/>
        </w:rPr>
        <w:t>一、总则</w:t>
      </w:r>
    </w:p>
    <w:p>
      <w:pPr>
        <w:ind w:firstLine="480"/>
        <w:jc w:val="both"/>
      </w:pPr>
      <w:r>
        <w:rPr>
          <w:sz w:val="24"/>
        </w:rPr>
        <w:t>1.</w:t>
      </w:r>
      <w:r>
        <w:rPr>
          <w:sz w:val="24"/>
        </w:rPr>
        <w:t>本合同与招标文件的要求、投标文件的确认以及招标过程中的承诺文件不能产生抵触，如有抵触条文或未涉及的部分，则以有利于甲方要求的文件为准。</w:t>
      </w:r>
    </w:p>
    <w:p>
      <w:pPr>
        <w:ind w:firstLine="480"/>
        <w:jc w:val="both"/>
      </w:pPr>
      <w:r>
        <w:rPr>
          <w:sz w:val="24"/>
        </w:rPr>
        <w:t>2.</w:t>
      </w:r>
      <w:r>
        <w:rPr>
          <w:sz w:val="24"/>
        </w:rPr>
        <w:t>双方同意附件中各项条款为合同不可分割的部分，若附件与合同正文有任何不一致，以有利于甲方要求的文件为准。</w:t>
      </w:r>
    </w:p>
    <w:p>
      <w:pPr>
        <w:jc w:val="both"/>
      </w:pPr>
      <w:r>
        <w:rPr>
          <w:b/>
          <w:sz w:val="24"/>
        </w:rPr>
        <w:t>二、货物内容</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65"/>
        <w:gridCol w:w="1045"/>
        <w:gridCol w:w="3175"/>
        <w:gridCol w:w="814"/>
        <w:gridCol w:w="814"/>
        <w:gridCol w:w="977"/>
        <w:gridCol w:w="814"/>
      </w:tblGrid>
      <w:tr>
        <w:tc>
          <w:tcPr>
            <w:tcW w:type="dxa" w:w="665"/>
            <w:tcBorders>
              <w:top w:val="single" w:color="000000" w:sz="4"/>
              <w:left w:val="single" w:color="000000" w:sz="4"/>
              <w:bottom w:val="single" w:color="000000" w:sz="4"/>
              <w:right w:val="single" w:color="000000" w:sz="4"/>
            </w:tcBorders>
          </w:tcPr>
          <w:p>
            <w:pPr>
              <w:jc w:val="center"/>
            </w:pPr>
            <w:r>
              <w:rPr>
                <w:sz w:val="24"/>
              </w:rPr>
              <w:t>序号</w:t>
            </w:r>
          </w:p>
        </w:tc>
        <w:tc>
          <w:tcPr>
            <w:tcW w:type="dxa" w:w="1045"/>
            <w:tcBorders>
              <w:top w:val="single" w:color="000000" w:sz="4"/>
              <w:left w:val="none" w:color="000000" w:sz="4"/>
              <w:bottom w:val="single" w:color="000000" w:sz="4"/>
              <w:right w:val="single" w:color="000000" w:sz="4"/>
            </w:tcBorders>
          </w:tcPr>
          <w:p>
            <w:pPr>
              <w:jc w:val="center"/>
            </w:pPr>
            <w:r>
              <w:rPr>
                <w:sz w:val="24"/>
              </w:rPr>
              <w:t>商品名称</w:t>
            </w:r>
          </w:p>
        </w:tc>
        <w:tc>
          <w:tcPr>
            <w:tcW w:type="dxa" w:w="3175"/>
            <w:tcBorders>
              <w:top w:val="single" w:color="000000" w:sz="4"/>
              <w:left w:val="none" w:color="000000" w:sz="4"/>
              <w:bottom w:val="single" w:color="000000" w:sz="4"/>
              <w:right w:val="single" w:color="000000" w:sz="4"/>
            </w:tcBorders>
          </w:tcPr>
          <w:p>
            <w:pPr>
              <w:jc w:val="center"/>
            </w:pPr>
            <w:r>
              <w:rPr>
                <w:sz w:val="24"/>
              </w:rPr>
              <w:t>品牌、规格型号、配置（性能参数）</w:t>
            </w:r>
          </w:p>
        </w:tc>
        <w:tc>
          <w:tcPr>
            <w:tcW w:type="dxa" w:w="814"/>
            <w:tcBorders>
              <w:top w:val="single" w:color="000000" w:sz="4"/>
              <w:left w:val="none" w:color="000000" w:sz="4"/>
              <w:bottom w:val="single" w:color="000000" w:sz="4"/>
              <w:right w:val="single" w:color="000000" w:sz="4"/>
            </w:tcBorders>
          </w:tcPr>
          <w:p>
            <w:pPr>
              <w:jc w:val="center"/>
            </w:pPr>
            <w:r>
              <w:rPr>
                <w:sz w:val="24"/>
              </w:rPr>
              <w:t>产地</w:t>
            </w:r>
          </w:p>
        </w:tc>
        <w:tc>
          <w:tcPr>
            <w:tcW w:type="dxa" w:w="814"/>
            <w:tcBorders>
              <w:top w:val="single" w:color="000000" w:sz="4"/>
              <w:left w:val="none" w:color="000000" w:sz="4"/>
              <w:bottom w:val="single" w:color="000000" w:sz="4"/>
              <w:right w:val="single" w:color="000000" w:sz="4"/>
            </w:tcBorders>
          </w:tcPr>
          <w:p>
            <w:pPr>
              <w:jc w:val="center"/>
            </w:pPr>
            <w:r>
              <w:rPr>
                <w:sz w:val="24"/>
              </w:rPr>
              <w:t>数量</w:t>
            </w:r>
          </w:p>
        </w:tc>
        <w:tc>
          <w:tcPr>
            <w:tcW w:type="dxa" w:w="977"/>
            <w:tcBorders>
              <w:top w:val="single" w:color="000000" w:sz="4"/>
              <w:left w:val="none" w:color="000000" w:sz="4"/>
              <w:bottom w:val="none" w:color="000000" w:sz="4"/>
              <w:right w:val="single" w:color="000000" w:sz="4"/>
            </w:tcBorders>
          </w:tcPr>
          <w:p>
            <w:pPr>
              <w:jc w:val="center"/>
            </w:pPr>
            <w:r>
              <w:rPr>
                <w:sz w:val="24"/>
              </w:rPr>
              <w:t>单价(元)</w:t>
            </w:r>
          </w:p>
        </w:tc>
        <w:tc>
          <w:tcPr>
            <w:tcW w:type="dxa" w:w="814"/>
            <w:tcBorders>
              <w:top w:val="single" w:color="000000" w:sz="4"/>
              <w:left w:val="none" w:color="000000" w:sz="4"/>
              <w:bottom w:val="none" w:color="000000" w:sz="4"/>
              <w:right w:val="single" w:color="000000" w:sz="4"/>
            </w:tcBorders>
          </w:tcPr>
          <w:p>
            <w:pPr>
              <w:jc w:val="center"/>
            </w:pPr>
            <w:r>
              <w:rPr>
                <w:sz w:val="24"/>
              </w:rPr>
              <w:t>金额(元)</w:t>
            </w:r>
          </w:p>
        </w:tc>
      </w:tr>
      <w:tr>
        <w:tc>
          <w:tcPr>
            <w:tcW w:type="dxa" w:w="665"/>
            <w:tcBorders>
              <w:top w:val="none" w:color="000000" w:sz="4"/>
              <w:left w:val="single" w:color="000000" w:sz="4"/>
              <w:bottom w:val="single" w:color="000000" w:sz="4"/>
              <w:right w:val="single" w:color="000000" w:sz="4"/>
            </w:tcBorders>
          </w:tcPr>
          <w:p>
            <w:pPr>
              <w:jc w:val="center"/>
            </w:pPr>
            <w:r>
              <w:rPr>
                <w:sz w:val="24"/>
              </w:rPr>
              <w:t>1</w:t>
            </w:r>
          </w:p>
        </w:tc>
        <w:tc>
          <w:tcPr>
            <w:tcW w:type="dxa" w:w="1045"/>
            <w:tcBorders>
              <w:top w:val="none" w:color="000000" w:sz="4"/>
              <w:left w:val="none" w:color="000000" w:sz="4"/>
              <w:bottom w:val="single" w:color="000000" w:sz="4"/>
              <w:right w:val="single" w:color="000000" w:sz="4"/>
            </w:tcBorders>
          </w:tcPr>
          <w:p>
            <w:pPr>
              <w:jc w:val="both"/>
            </w:pPr>
          </w:p>
        </w:tc>
        <w:tc>
          <w:tcPr>
            <w:tcW w:type="dxa" w:w="3175"/>
            <w:tcBorders>
              <w:top w:val="none" w:color="000000" w:sz="4"/>
              <w:left w:val="none" w:color="000000" w:sz="4"/>
              <w:bottom w:val="single" w:color="000000" w:sz="4"/>
              <w:right w:val="single" w:color="000000" w:sz="4"/>
            </w:tcBorders>
          </w:tcPr>
          <w:p>
            <w:pPr>
              <w:jc w:val="both"/>
            </w:pPr>
          </w:p>
        </w:tc>
        <w:tc>
          <w:tcPr>
            <w:tcW w:type="dxa" w:w="814"/>
            <w:tcBorders>
              <w:top w:val="none" w:color="000000" w:sz="4"/>
              <w:left w:val="none" w:color="000000" w:sz="4"/>
              <w:bottom w:val="single" w:color="000000" w:sz="4"/>
              <w:right w:val="single" w:color="000000" w:sz="4"/>
            </w:tcBorders>
          </w:tcPr>
          <w:p>
            <w:pPr>
              <w:jc w:val="both"/>
            </w:pPr>
          </w:p>
        </w:tc>
        <w:tc>
          <w:tcPr>
            <w:tcW w:type="dxa" w:w="814"/>
            <w:tcBorders>
              <w:top w:val="none" w:color="000000" w:sz="4"/>
              <w:left w:val="none" w:color="000000" w:sz="4"/>
              <w:bottom w:val="single" w:color="000000" w:sz="4"/>
              <w:right w:val="single" w:color="000000" w:sz="4"/>
            </w:tcBorders>
          </w:tcPr>
          <w:p>
            <w:pPr>
              <w:jc w:val="both"/>
            </w:pPr>
          </w:p>
        </w:tc>
        <w:tc>
          <w:tcPr>
            <w:tcW w:type="dxa" w:w="977"/>
            <w:tcBorders>
              <w:top w:val="single" w:color="000000" w:sz="4"/>
              <w:left w:val="none" w:color="000000" w:sz="4"/>
              <w:bottom w:val="none" w:color="000000" w:sz="4"/>
              <w:right w:val="single" w:color="000000" w:sz="4"/>
            </w:tcBorders>
          </w:tcPr>
          <w:p>
            <w:pPr>
              <w:jc w:val="both"/>
            </w:pPr>
          </w:p>
        </w:tc>
        <w:tc>
          <w:tcPr>
            <w:tcW w:type="dxa" w:w="814"/>
            <w:tcBorders>
              <w:top w:val="single" w:color="000000" w:sz="4"/>
              <w:left w:val="none" w:color="000000" w:sz="4"/>
              <w:bottom w:val="none" w:color="000000" w:sz="4"/>
              <w:right w:val="single" w:color="000000" w:sz="4"/>
            </w:tcBorders>
          </w:tcPr>
          <w:p>
            <w:pPr>
              <w:jc w:val="both"/>
            </w:pPr>
          </w:p>
        </w:tc>
      </w:tr>
      <w:tr>
        <w:tc>
          <w:tcPr>
            <w:tcW w:type="dxa" w:w="665"/>
            <w:tcBorders>
              <w:top w:val="none" w:color="000000" w:sz="4"/>
              <w:left w:val="single" w:color="000000" w:sz="4"/>
              <w:bottom w:val="single" w:color="000000" w:sz="4"/>
              <w:right w:val="single" w:color="000000" w:sz="4"/>
            </w:tcBorders>
          </w:tcPr>
          <w:p>
            <w:pPr>
              <w:jc w:val="center"/>
            </w:pPr>
            <w:r>
              <w:rPr>
                <w:sz w:val="24"/>
              </w:rPr>
              <w:t>2</w:t>
            </w:r>
          </w:p>
        </w:tc>
        <w:tc>
          <w:tcPr>
            <w:tcW w:type="dxa" w:w="1045"/>
            <w:tcBorders>
              <w:top w:val="none" w:color="000000" w:sz="4"/>
              <w:left w:val="none" w:color="000000" w:sz="4"/>
              <w:bottom w:val="single" w:color="000000" w:sz="4"/>
              <w:right w:val="single" w:color="000000" w:sz="4"/>
            </w:tcBorders>
          </w:tcPr>
          <w:p>
            <w:pPr>
              <w:jc w:val="both"/>
            </w:pPr>
          </w:p>
        </w:tc>
        <w:tc>
          <w:tcPr>
            <w:tcW w:type="dxa" w:w="3175"/>
            <w:tcBorders>
              <w:top w:val="none" w:color="000000" w:sz="4"/>
              <w:left w:val="none" w:color="000000" w:sz="4"/>
              <w:bottom w:val="single" w:color="000000" w:sz="4"/>
              <w:right w:val="single" w:color="000000" w:sz="4"/>
            </w:tcBorders>
          </w:tcPr>
          <w:p>
            <w:pPr>
              <w:jc w:val="both"/>
            </w:pPr>
          </w:p>
        </w:tc>
        <w:tc>
          <w:tcPr>
            <w:tcW w:type="dxa" w:w="814"/>
            <w:tcBorders>
              <w:top w:val="none" w:color="000000" w:sz="4"/>
              <w:left w:val="none" w:color="000000" w:sz="4"/>
              <w:bottom w:val="single" w:color="000000" w:sz="4"/>
              <w:right w:val="single" w:color="000000" w:sz="4"/>
            </w:tcBorders>
          </w:tcPr>
          <w:p>
            <w:pPr>
              <w:jc w:val="both"/>
            </w:pPr>
          </w:p>
        </w:tc>
        <w:tc>
          <w:tcPr>
            <w:tcW w:type="dxa" w:w="814"/>
            <w:tcBorders>
              <w:top w:val="none" w:color="000000" w:sz="4"/>
              <w:left w:val="none" w:color="000000" w:sz="4"/>
              <w:bottom w:val="single" w:color="000000" w:sz="4"/>
              <w:right w:val="single" w:color="000000" w:sz="4"/>
            </w:tcBorders>
          </w:tcPr>
          <w:p>
            <w:pPr>
              <w:jc w:val="both"/>
            </w:pPr>
          </w:p>
        </w:tc>
        <w:tc>
          <w:tcPr>
            <w:tcW w:type="dxa" w:w="977"/>
            <w:tcBorders>
              <w:top w:val="single" w:color="000000" w:sz="4"/>
              <w:left w:val="none" w:color="000000" w:sz="4"/>
              <w:bottom w:val="none" w:color="000000" w:sz="4"/>
              <w:right w:val="single" w:color="000000" w:sz="4"/>
            </w:tcBorders>
          </w:tcPr>
          <w:p>
            <w:pPr>
              <w:jc w:val="both"/>
            </w:pPr>
          </w:p>
        </w:tc>
        <w:tc>
          <w:tcPr>
            <w:tcW w:type="dxa" w:w="814"/>
            <w:tcBorders>
              <w:top w:val="single" w:color="000000" w:sz="4"/>
              <w:left w:val="none" w:color="000000" w:sz="4"/>
              <w:bottom w:val="none" w:color="000000" w:sz="4"/>
              <w:right w:val="single" w:color="000000" w:sz="4"/>
            </w:tcBorders>
          </w:tcPr>
          <w:p>
            <w:pPr>
              <w:jc w:val="both"/>
            </w:pPr>
          </w:p>
        </w:tc>
      </w:tr>
      <w:tr>
        <w:tc>
          <w:tcPr>
            <w:tcW w:type="dxa" w:w="665"/>
            <w:tcBorders>
              <w:top w:val="none" w:color="000000" w:sz="4"/>
              <w:left w:val="single" w:color="000000" w:sz="4"/>
              <w:bottom w:val="single" w:color="000000" w:sz="4"/>
              <w:right w:val="single" w:color="000000" w:sz="4"/>
            </w:tcBorders>
          </w:tcPr>
          <w:p>
            <w:pPr>
              <w:jc w:val="center"/>
            </w:pPr>
            <w:r>
              <w:rPr>
                <w:sz w:val="24"/>
              </w:rPr>
              <w:t>3</w:t>
            </w:r>
          </w:p>
        </w:tc>
        <w:tc>
          <w:tcPr>
            <w:tcW w:type="dxa" w:w="1045"/>
            <w:tcBorders>
              <w:top w:val="none" w:color="000000" w:sz="4"/>
              <w:left w:val="none" w:color="000000" w:sz="4"/>
              <w:bottom w:val="single" w:color="000000" w:sz="4"/>
              <w:right w:val="single" w:color="000000" w:sz="4"/>
            </w:tcBorders>
          </w:tcPr>
          <w:p>
            <w:pPr>
              <w:jc w:val="both"/>
            </w:pPr>
          </w:p>
        </w:tc>
        <w:tc>
          <w:tcPr>
            <w:tcW w:type="dxa" w:w="3175"/>
            <w:tcBorders>
              <w:top w:val="none" w:color="000000" w:sz="4"/>
              <w:left w:val="none" w:color="000000" w:sz="4"/>
              <w:bottom w:val="single" w:color="000000" w:sz="4"/>
              <w:right w:val="single" w:color="000000" w:sz="4"/>
            </w:tcBorders>
          </w:tcPr>
          <w:p>
            <w:pPr>
              <w:jc w:val="both"/>
            </w:pPr>
          </w:p>
        </w:tc>
        <w:tc>
          <w:tcPr>
            <w:tcW w:type="dxa" w:w="814"/>
            <w:tcBorders>
              <w:top w:val="none" w:color="000000" w:sz="4"/>
              <w:left w:val="none" w:color="000000" w:sz="4"/>
              <w:bottom w:val="single" w:color="000000" w:sz="4"/>
              <w:right w:val="single" w:color="000000" w:sz="4"/>
            </w:tcBorders>
          </w:tcPr>
          <w:p>
            <w:pPr>
              <w:jc w:val="both"/>
            </w:pPr>
          </w:p>
        </w:tc>
        <w:tc>
          <w:tcPr>
            <w:tcW w:type="dxa" w:w="814"/>
            <w:tcBorders>
              <w:top w:val="none" w:color="000000" w:sz="4"/>
              <w:left w:val="none" w:color="000000" w:sz="4"/>
              <w:bottom w:val="single" w:color="000000" w:sz="4"/>
              <w:right w:val="single" w:color="000000" w:sz="4"/>
            </w:tcBorders>
          </w:tcPr>
          <w:p>
            <w:pPr>
              <w:jc w:val="both"/>
            </w:pPr>
          </w:p>
        </w:tc>
        <w:tc>
          <w:tcPr>
            <w:tcW w:type="dxa" w:w="977"/>
            <w:tcBorders>
              <w:top w:val="single" w:color="000000" w:sz="4"/>
              <w:left w:val="none" w:color="000000" w:sz="4"/>
              <w:bottom w:val="none" w:color="000000" w:sz="4"/>
              <w:right w:val="single" w:color="000000" w:sz="4"/>
            </w:tcBorders>
          </w:tcPr>
          <w:p>
            <w:pPr>
              <w:jc w:val="both"/>
            </w:pPr>
          </w:p>
        </w:tc>
        <w:tc>
          <w:tcPr>
            <w:tcW w:type="dxa" w:w="814"/>
            <w:tcBorders>
              <w:top w:val="single" w:color="000000" w:sz="4"/>
              <w:left w:val="none" w:color="000000" w:sz="4"/>
              <w:bottom w:val="none" w:color="000000" w:sz="4"/>
              <w:right w:val="single" w:color="000000" w:sz="4"/>
            </w:tcBorders>
          </w:tcPr>
          <w:p>
            <w:pPr>
              <w:jc w:val="both"/>
            </w:pPr>
          </w:p>
        </w:tc>
      </w:tr>
      <w:tr>
        <w:tc>
          <w:tcPr>
            <w:tcW w:type="dxa" w:w="665"/>
            <w:tcBorders>
              <w:top w:val="none" w:color="000000" w:sz="4"/>
              <w:left w:val="single" w:color="000000" w:sz="4"/>
              <w:bottom w:val="single" w:color="000000" w:sz="4"/>
              <w:right w:val="single" w:color="000000" w:sz="4"/>
            </w:tcBorders>
          </w:tcPr>
          <w:p>
            <w:pPr>
              <w:jc w:val="center"/>
            </w:pPr>
            <w:r>
              <w:rPr>
                <w:sz w:val="24"/>
              </w:rPr>
              <w:t>4</w:t>
            </w:r>
          </w:p>
        </w:tc>
        <w:tc>
          <w:tcPr>
            <w:tcW w:type="dxa" w:w="1045"/>
            <w:tcBorders>
              <w:top w:val="none" w:color="000000" w:sz="4"/>
              <w:left w:val="none" w:color="000000" w:sz="4"/>
              <w:bottom w:val="single" w:color="000000" w:sz="4"/>
              <w:right w:val="single" w:color="000000" w:sz="4"/>
            </w:tcBorders>
          </w:tcPr>
          <w:p>
            <w:pPr>
              <w:jc w:val="both"/>
            </w:pPr>
          </w:p>
        </w:tc>
        <w:tc>
          <w:tcPr>
            <w:tcW w:type="dxa" w:w="3175"/>
            <w:tcBorders>
              <w:top w:val="none" w:color="000000" w:sz="4"/>
              <w:left w:val="none" w:color="000000" w:sz="4"/>
              <w:bottom w:val="single" w:color="000000" w:sz="4"/>
              <w:right w:val="single" w:color="000000" w:sz="4"/>
            </w:tcBorders>
          </w:tcPr>
          <w:p>
            <w:pPr>
              <w:jc w:val="both"/>
            </w:pPr>
          </w:p>
        </w:tc>
        <w:tc>
          <w:tcPr>
            <w:tcW w:type="dxa" w:w="814"/>
            <w:tcBorders>
              <w:top w:val="none" w:color="000000" w:sz="4"/>
              <w:left w:val="none" w:color="000000" w:sz="4"/>
              <w:bottom w:val="single" w:color="000000" w:sz="4"/>
              <w:right w:val="single" w:color="000000" w:sz="4"/>
            </w:tcBorders>
          </w:tcPr>
          <w:p>
            <w:pPr>
              <w:jc w:val="both"/>
            </w:pPr>
          </w:p>
        </w:tc>
        <w:tc>
          <w:tcPr>
            <w:tcW w:type="dxa" w:w="814"/>
            <w:tcBorders>
              <w:top w:val="none" w:color="000000" w:sz="4"/>
              <w:left w:val="none" w:color="000000" w:sz="4"/>
              <w:bottom w:val="single" w:color="000000" w:sz="4"/>
              <w:right w:val="single" w:color="000000" w:sz="4"/>
            </w:tcBorders>
          </w:tcPr>
          <w:p>
            <w:pPr>
              <w:jc w:val="both"/>
            </w:pPr>
          </w:p>
        </w:tc>
        <w:tc>
          <w:tcPr>
            <w:tcW w:type="dxa" w:w="977"/>
            <w:tcBorders>
              <w:top w:val="single" w:color="000000" w:sz="4"/>
              <w:left w:val="none" w:color="000000" w:sz="4"/>
              <w:bottom w:val="none" w:color="000000" w:sz="4"/>
              <w:right w:val="single" w:color="000000" w:sz="4"/>
            </w:tcBorders>
          </w:tcPr>
          <w:p>
            <w:pPr>
              <w:jc w:val="both"/>
            </w:pPr>
          </w:p>
        </w:tc>
        <w:tc>
          <w:tcPr>
            <w:tcW w:type="dxa" w:w="814"/>
            <w:tcBorders>
              <w:top w:val="single" w:color="000000" w:sz="4"/>
              <w:left w:val="none" w:color="000000" w:sz="4"/>
              <w:bottom w:val="none" w:color="000000" w:sz="4"/>
              <w:right w:val="single" w:color="000000" w:sz="4"/>
            </w:tcBorders>
          </w:tcPr>
          <w:p>
            <w:pPr>
              <w:jc w:val="both"/>
            </w:pPr>
          </w:p>
        </w:tc>
      </w:tr>
      <w:tr>
        <w:tc>
          <w:tcPr>
            <w:tcW w:type="dxa" w:w="8304"/>
            <w:gridSpan w:val="7"/>
            <w:tcBorders>
              <w:top w:val="none" w:color="000000" w:sz="4"/>
              <w:left w:val="single" w:color="000000" w:sz="4"/>
              <w:bottom w:val="single" w:color="000000" w:sz="4"/>
              <w:right w:val="single" w:color="000000" w:sz="4"/>
            </w:tcBorders>
          </w:tcPr>
          <w:p>
            <w:pPr>
              <w:jc w:val="both"/>
            </w:pPr>
            <w:r>
              <w:rPr>
                <w:sz w:val="24"/>
              </w:rPr>
              <w:t>合计总额：￥</w:t>
            </w:r>
            <w:r>
              <w:rPr>
                <w:sz w:val="24"/>
                <w:u w:val="single"/>
              </w:rPr>
              <w:t xml:space="preserve">                          </w:t>
            </w:r>
            <w:r>
              <w:rPr>
                <w:sz w:val="24"/>
              </w:rPr>
              <w:t>；    大写：</w:t>
            </w:r>
            <w:r>
              <w:rPr>
                <w:sz w:val="24"/>
                <w:u w:val="single"/>
              </w:rPr>
              <w:t xml:space="preserve">                           </w:t>
            </w:r>
          </w:p>
        </w:tc>
      </w:tr>
    </w:tbl>
    <w:p>
      <w:pPr>
        <w:ind w:firstLine="480"/>
        <w:jc w:val="both"/>
      </w:pPr>
      <w:r>
        <w:rPr>
          <w:sz w:val="24"/>
        </w:rPr>
        <w:t>合同总额包括乙方设计、方案编制、图纸编制、设备制造、包装、仓储、装卸、运输、二次搬运、保险、安装、随机零配件、备品备件、标配工具、调试、测试、试运行、验收、培训、质保期售后服务、各项税费及合同实施过程中不可预见费用等。</w:t>
      </w:r>
    </w:p>
    <w:p>
      <w:pPr>
        <w:ind w:firstLine="480"/>
        <w:jc w:val="both"/>
      </w:pPr>
      <w:r>
        <w:rPr>
          <w:sz w:val="24"/>
        </w:rPr>
        <w:t>注：货物名称内容必须与投标文件中货物名称内容一致。</w:t>
      </w:r>
    </w:p>
    <w:p>
      <w:pPr>
        <w:jc w:val="both"/>
      </w:pPr>
      <w:r>
        <w:rPr>
          <w:b/>
          <w:sz w:val="24"/>
        </w:rPr>
        <w:t>三、合同金额</w:t>
      </w:r>
    </w:p>
    <w:p>
      <w:pPr>
        <w:ind w:firstLine="480"/>
        <w:jc w:val="both"/>
      </w:pPr>
      <w:r>
        <w:rPr>
          <w:sz w:val="24"/>
        </w:rPr>
        <w:t>合同金额为（大写）：</w:t>
      </w:r>
      <w:r>
        <w:rPr>
          <w:sz w:val="24"/>
        </w:rPr>
        <w:t>_________________</w:t>
      </w:r>
      <w:r>
        <w:rPr>
          <w:sz w:val="24"/>
        </w:rPr>
        <w:t>元（￥</w:t>
      </w:r>
      <w:r>
        <w:rPr>
          <w:sz w:val="24"/>
        </w:rPr>
        <w:t>_______________</w:t>
      </w:r>
      <w:r>
        <w:rPr>
          <w:sz w:val="24"/>
        </w:rPr>
        <w:t>元）人民币。</w:t>
      </w:r>
    </w:p>
    <w:p>
      <w:pPr>
        <w:jc w:val="both"/>
      </w:pPr>
      <w:r>
        <w:rPr>
          <w:b/>
          <w:sz w:val="24"/>
        </w:rPr>
        <w:t>四、履约保证金</w:t>
      </w:r>
    </w:p>
    <w:p>
      <w:pPr>
        <w:ind w:firstLine="480"/>
        <w:jc w:val="both"/>
      </w:pPr>
      <w:r>
        <w:rPr>
          <w:sz w:val="24"/>
        </w:rPr>
        <w:t>1.</w:t>
      </w:r>
      <w:r>
        <w:rPr>
          <w:sz w:val="24"/>
        </w:rPr>
        <w:t>履约保证金为合同总价的</w:t>
      </w:r>
      <w:r>
        <w:rPr>
          <w:sz w:val="24"/>
          <w:u w:val="single"/>
        </w:rPr>
        <w:t xml:space="preserve">      </w:t>
      </w:r>
      <w:r>
        <w:rPr>
          <w:sz w:val="24"/>
        </w:rPr>
        <w:t>%。</w:t>
      </w:r>
    </w:p>
    <w:p>
      <w:pPr>
        <w:ind w:firstLine="480"/>
        <w:jc w:val="both"/>
      </w:pPr>
      <w:r>
        <w:rPr>
          <w:sz w:val="24"/>
        </w:rPr>
        <w:t>2.</w:t>
      </w:r>
      <w:r>
        <w:rPr>
          <w:sz w:val="24"/>
        </w:rPr>
        <w:t>合同签订生效之日起10个工作日内，乙方以</w:t>
      </w:r>
      <w:r>
        <w:rPr>
          <w:sz w:val="24"/>
          <w:u w:val="single"/>
        </w:rPr>
        <w:t xml:space="preserve">                   </w:t>
      </w:r>
      <w:r>
        <w:rPr>
          <w:sz w:val="24"/>
        </w:rPr>
        <w:t>形式向甲方缴纳合同履约保证金，如乙方未能按合同规定履行其义务（包括履行货物质量保证义务），甲方有权先从履约保证金取得补偿。</w:t>
      </w:r>
    </w:p>
    <w:p>
      <w:pPr>
        <w:ind w:firstLine="480"/>
        <w:jc w:val="both"/>
      </w:pPr>
      <w:r>
        <w:rPr>
          <w:sz w:val="24"/>
        </w:rPr>
        <w:t>3.</w:t>
      </w:r>
      <w:r>
        <w:rPr>
          <w:sz w:val="24"/>
        </w:rPr>
        <w:t>项目最终验收合格，双方签署验收报告且乙方不存在违约情形的，乙方可以申请退还履约保证金。甲方在收到乙方提交的退还履约保证金书面申请，并履行完必要审批手续之日起30个工作日内以</w:t>
      </w:r>
      <w:r>
        <w:rPr>
          <w:sz w:val="24"/>
          <w:u w:val="single"/>
        </w:rPr>
        <w:t xml:space="preserve">                           </w:t>
      </w:r>
      <w:r>
        <w:rPr>
          <w:sz w:val="24"/>
        </w:rPr>
        <w:t>形式将履约保证金无息退还给乙方。</w:t>
      </w:r>
    </w:p>
    <w:p>
      <w:pPr>
        <w:jc w:val="both"/>
      </w:pPr>
      <w:r>
        <w:rPr>
          <w:b/>
          <w:sz w:val="24"/>
        </w:rPr>
        <w:t>五、付款方式</w:t>
      </w:r>
    </w:p>
    <w:p>
      <w:pPr>
        <w:ind w:firstLine="240"/>
        <w:jc w:val="both"/>
      </w:pPr>
      <w:r>
        <w:rPr>
          <w:sz w:val="24"/>
        </w:rPr>
        <w:t>1.</w:t>
      </w:r>
      <w:r>
        <w:rPr>
          <w:sz w:val="24"/>
        </w:rPr>
        <w:t>由甲方按下列程序付款：</w:t>
      </w:r>
    </w:p>
    <w:p>
      <w:pPr>
        <w:ind w:firstLine="480"/>
        <w:jc w:val="both"/>
      </w:pPr>
      <w:r>
        <w:rPr>
          <w:sz w:val="24"/>
        </w:rPr>
        <w:t>1.1</w:t>
      </w:r>
      <w:r>
        <w:rPr>
          <w:sz w:val="24"/>
        </w:rPr>
        <w:t>预付款：签订合同并收到乙方足额支付的履约保证金后，支付合同总价的</w:t>
      </w:r>
      <w:r>
        <w:rPr>
          <w:sz w:val="24"/>
          <w:u w:val="single"/>
        </w:rPr>
        <w:t xml:space="preserve">     </w:t>
      </w:r>
      <w:r>
        <w:rPr>
          <w:sz w:val="24"/>
        </w:rPr>
        <w:t>%。</w:t>
      </w:r>
    </w:p>
    <w:p>
      <w:pPr>
        <w:ind w:firstLine="480"/>
        <w:jc w:val="both"/>
      </w:pPr>
      <w:r>
        <w:rPr>
          <w:sz w:val="24"/>
        </w:rPr>
        <w:t>1.2</w:t>
      </w:r>
      <w:r>
        <w:rPr>
          <w:sz w:val="24"/>
        </w:rPr>
        <w:t>尾款：最终验收合格，双方完成签署验收合格书后，支付合同总价的</w:t>
      </w:r>
      <w:r>
        <w:rPr>
          <w:sz w:val="24"/>
          <w:u w:val="single"/>
        </w:rPr>
        <w:t xml:space="preserve">   </w:t>
      </w:r>
      <w:r>
        <w:rPr>
          <w:sz w:val="24"/>
        </w:rPr>
        <w:t>％。</w:t>
      </w:r>
    </w:p>
    <w:p>
      <w:pPr>
        <w:ind w:firstLine="480"/>
        <w:jc w:val="both"/>
      </w:pPr>
      <w:r>
        <w:rPr>
          <w:sz w:val="24"/>
        </w:rPr>
        <w:t>1.3</w:t>
      </w:r>
      <w:r>
        <w:rPr>
          <w:sz w:val="24"/>
        </w:rPr>
        <w:t>付款时限：对于满足以上合同约定支付条件的，甲方应当自收到乙方开具的等额正式增值税专用发票后</w:t>
      </w:r>
      <w:r>
        <w:rPr>
          <w:sz w:val="24"/>
          <w:u w:val="single"/>
        </w:rPr>
        <w:t xml:space="preserve">         </w:t>
      </w:r>
      <w:r>
        <w:rPr>
          <w:sz w:val="24"/>
        </w:rPr>
        <w:t>内将相应阶段款项支付到合同约定的乙方账户。</w:t>
      </w:r>
    </w:p>
    <w:p>
      <w:pPr>
        <w:ind w:firstLine="480"/>
        <w:jc w:val="both"/>
      </w:pPr>
      <w:r>
        <w:rPr>
          <w:sz w:val="24"/>
        </w:rPr>
        <w:t>2.</w:t>
      </w:r>
      <w:r>
        <w:rPr>
          <w:sz w:val="24"/>
        </w:rPr>
        <w:t>付款方式:银行汇付（含电汇）。</w:t>
      </w:r>
    </w:p>
    <w:p>
      <w:pPr>
        <w:ind w:firstLine="480"/>
        <w:jc w:val="both"/>
      </w:pPr>
      <w:r>
        <w:rPr>
          <w:sz w:val="24"/>
        </w:rPr>
        <w:t>3.</w:t>
      </w:r>
      <w:r>
        <w:rPr>
          <w:sz w:val="24"/>
        </w:rPr>
        <w:t>银行账户</w:t>
      </w:r>
    </w:p>
    <w:p>
      <w:pPr>
        <w:ind w:firstLine="480"/>
        <w:jc w:val="both"/>
      </w:pPr>
      <w:r>
        <w:rPr>
          <w:sz w:val="24"/>
        </w:rPr>
        <w:t>3.1</w:t>
      </w:r>
      <w:r>
        <w:rPr>
          <w:sz w:val="24"/>
        </w:rPr>
        <w:t>甲方账户信息</w:t>
      </w:r>
    </w:p>
    <w:p>
      <w:pPr>
        <w:ind w:firstLine="480"/>
        <w:jc w:val="both"/>
      </w:pPr>
      <w:r>
        <w:rPr>
          <w:sz w:val="24"/>
        </w:rPr>
        <w:t>账户名称：</w:t>
      </w:r>
      <w:r>
        <w:rPr>
          <w:sz w:val="24"/>
          <w:u w:val="single"/>
        </w:rPr>
        <w:t xml:space="preserve">                                   </w:t>
      </w:r>
    </w:p>
    <w:p>
      <w:pPr>
        <w:ind w:firstLine="480"/>
        <w:jc w:val="both"/>
      </w:pPr>
      <w:r>
        <w:rPr>
          <w:sz w:val="24"/>
        </w:rPr>
        <w:t>开户银行：</w:t>
      </w:r>
      <w:r>
        <w:rPr>
          <w:sz w:val="24"/>
          <w:u w:val="single"/>
        </w:rPr>
        <w:t xml:space="preserve">                                   </w:t>
      </w:r>
    </w:p>
    <w:p>
      <w:pPr>
        <w:ind w:firstLine="480"/>
        <w:jc w:val="both"/>
      </w:pPr>
      <w:r>
        <w:rPr>
          <w:sz w:val="24"/>
        </w:rPr>
        <w:t>银行帐号：</w:t>
      </w:r>
      <w:r>
        <w:rPr>
          <w:sz w:val="24"/>
          <w:u w:val="single"/>
        </w:rPr>
        <w:t xml:space="preserve">                                   </w:t>
      </w:r>
    </w:p>
    <w:p>
      <w:pPr>
        <w:ind w:firstLine="480"/>
        <w:jc w:val="both"/>
      </w:pPr>
      <w:r>
        <w:rPr>
          <w:sz w:val="24"/>
        </w:rPr>
        <w:t>3.2</w:t>
      </w:r>
      <w:r>
        <w:rPr>
          <w:sz w:val="24"/>
        </w:rPr>
        <w:t>乙方账户信息</w:t>
      </w:r>
    </w:p>
    <w:p>
      <w:pPr>
        <w:ind w:firstLine="480"/>
        <w:jc w:val="both"/>
      </w:pPr>
      <w:r>
        <w:rPr>
          <w:sz w:val="24"/>
        </w:rPr>
        <w:t>账户名称：</w:t>
      </w:r>
      <w:r>
        <w:rPr>
          <w:sz w:val="24"/>
          <w:u w:val="single"/>
        </w:rPr>
        <w:t xml:space="preserve">                                   </w:t>
      </w:r>
    </w:p>
    <w:p>
      <w:pPr>
        <w:ind w:firstLine="480"/>
        <w:jc w:val="both"/>
      </w:pPr>
      <w:r>
        <w:rPr>
          <w:sz w:val="24"/>
        </w:rPr>
        <w:t>开户银行：</w:t>
      </w:r>
      <w:r>
        <w:rPr>
          <w:sz w:val="24"/>
          <w:u w:val="single"/>
        </w:rPr>
        <w:t xml:space="preserve">                                   </w:t>
      </w:r>
    </w:p>
    <w:p>
      <w:pPr>
        <w:ind w:firstLine="480"/>
        <w:jc w:val="both"/>
      </w:pPr>
      <w:r>
        <w:rPr>
          <w:sz w:val="24"/>
        </w:rPr>
        <w:t>银行帐号：</w:t>
      </w:r>
      <w:r>
        <w:rPr>
          <w:sz w:val="24"/>
          <w:u w:val="single"/>
        </w:rPr>
        <w:t xml:space="preserve">                                   </w:t>
      </w:r>
    </w:p>
    <w:p>
      <w:pPr>
        <w:jc w:val="both"/>
      </w:pPr>
      <w:r>
        <w:rPr>
          <w:b/>
          <w:sz w:val="24"/>
        </w:rPr>
        <w:t>六、设备要求及适用标准</w:t>
      </w:r>
    </w:p>
    <w:p>
      <w:pPr>
        <w:ind w:firstLine="480"/>
        <w:jc w:val="both"/>
      </w:pPr>
      <w:r>
        <w:rPr>
          <w:sz w:val="24"/>
        </w:rPr>
        <w:t>1.</w:t>
      </w:r>
      <w:r>
        <w:rPr>
          <w:sz w:val="24"/>
        </w:rPr>
        <w:t>货物为原制造商制造的全新产品，整机无污染，无侵权行为、表面无划损、无任何缺陷隐患，包括货物所有权及知识产权等货物权利无瑕疵，在中国境内可依常规安全合法使用。</w:t>
      </w:r>
    </w:p>
    <w:p>
      <w:pPr>
        <w:ind w:firstLine="480"/>
        <w:jc w:val="both"/>
      </w:pPr>
      <w:r>
        <w:rPr>
          <w:sz w:val="24"/>
        </w:rPr>
        <w:t>2.</w:t>
      </w:r>
      <w:r>
        <w:rPr>
          <w:sz w:val="24"/>
        </w:rPr>
        <w:t>货物需符合本项目招、投标文件中要求和承诺的所有指标以及国家、行业相关标准。</w:t>
      </w:r>
    </w:p>
    <w:p>
      <w:pPr>
        <w:ind w:firstLine="480"/>
        <w:jc w:val="both"/>
      </w:pPr>
      <w:r>
        <w:rPr>
          <w:sz w:val="24"/>
        </w:rPr>
        <w:t>3.</w:t>
      </w:r>
      <w:r>
        <w:rPr>
          <w:sz w:val="24"/>
        </w:rPr>
        <w:t>乙方提供的产品和服务符合以下标准、规范，若以下标准、规范有更新版本，按最新版本执行：</w:t>
      </w:r>
    </w:p>
    <w:p>
      <w:pPr>
        <w:jc w:val="both"/>
      </w:pPr>
      <w:r>
        <w:rPr>
          <w:sz w:val="24"/>
        </w:rPr>
        <w:t>YD/T1051-2000</w:t>
      </w:r>
      <w:r>
        <w:rPr>
          <w:sz w:val="24"/>
        </w:rPr>
        <w:t>《通信局（站）电源系统总技术要求》</w:t>
      </w:r>
    </w:p>
    <w:p>
      <w:pPr>
        <w:jc w:val="both"/>
      </w:pPr>
      <w:r>
        <w:rPr>
          <w:sz w:val="24"/>
        </w:rPr>
        <w:t>YD/T1095-2018</w:t>
      </w:r>
      <w:r>
        <w:rPr>
          <w:sz w:val="24"/>
        </w:rPr>
        <w:t>《通信用不间断电源（UPS）》</w:t>
      </w:r>
    </w:p>
    <w:p>
      <w:pPr>
        <w:jc w:val="both"/>
      </w:pPr>
      <w:r>
        <w:rPr>
          <w:sz w:val="24"/>
        </w:rPr>
        <w:t>YD/T 2165-2017</w:t>
      </w:r>
      <w:r>
        <w:rPr>
          <w:sz w:val="24"/>
        </w:rPr>
        <w:t>《通信用模块化交流不间断电源》</w:t>
      </w:r>
    </w:p>
    <w:p>
      <w:pPr>
        <w:jc w:val="both"/>
      </w:pPr>
      <w:r>
        <w:rPr>
          <w:sz w:val="24"/>
        </w:rPr>
        <w:t>GB/T 7260</w:t>
      </w:r>
      <w:r>
        <w:rPr>
          <w:sz w:val="24"/>
        </w:rPr>
        <w:t>《不间断电源设备(UPS)》</w:t>
      </w:r>
    </w:p>
    <w:p>
      <w:pPr>
        <w:jc w:val="both"/>
      </w:pPr>
      <w:r>
        <w:rPr>
          <w:sz w:val="24"/>
        </w:rPr>
        <w:t>GB/T 14715-2017</w:t>
      </w:r>
      <w:r>
        <w:rPr>
          <w:sz w:val="24"/>
        </w:rPr>
        <w:t>《信息技术设备用不间断电源通用规范》</w:t>
      </w:r>
    </w:p>
    <w:p>
      <w:pPr>
        <w:jc w:val="both"/>
      </w:pPr>
      <w:r>
        <w:rPr>
          <w:sz w:val="24"/>
        </w:rPr>
        <w:t>GB/T 19638-2014</w:t>
      </w:r>
      <w:r>
        <w:rPr>
          <w:sz w:val="24"/>
        </w:rPr>
        <w:t>《固定型阀控密封式铅酸蓄电池》</w:t>
      </w:r>
    </w:p>
    <w:p>
      <w:pPr>
        <w:jc w:val="both"/>
      </w:pPr>
      <w:r>
        <w:rPr>
          <w:sz w:val="24"/>
        </w:rPr>
        <w:t>YD/T 3427-2018</w:t>
      </w:r>
      <w:r>
        <w:rPr>
          <w:sz w:val="24"/>
        </w:rPr>
        <w:t>《通信用高倍率阀控式密封铅酸蓄电池》</w:t>
      </w:r>
    </w:p>
    <w:p>
      <w:pPr>
        <w:ind w:firstLine="480"/>
        <w:jc w:val="both"/>
      </w:pPr>
      <w:r>
        <w:rPr>
          <w:sz w:val="24"/>
        </w:rPr>
        <w:t>GB/T 12706.1-2020</w:t>
      </w:r>
      <w:r>
        <w:rPr>
          <w:sz w:val="24"/>
        </w:rPr>
        <w:t>《额定电压1 kV(Um=1.2 kV)到35 kV(Um=40.5 kV)挤包绝缘电力电缆及附件 第1部分：额定电压1 kV(Um=1.2 kV)和3 kV(Um=3.6 kV)电缆》</w:t>
      </w:r>
    </w:p>
    <w:p>
      <w:pPr>
        <w:jc w:val="both"/>
      </w:pPr>
      <w:r>
        <w:rPr>
          <w:sz w:val="24"/>
        </w:rPr>
        <w:t>GB 50168-2018</w:t>
      </w:r>
      <w:r>
        <w:rPr>
          <w:sz w:val="24"/>
        </w:rPr>
        <w:t>《电气装置安装工程 电缆线路施工及验收标准》</w:t>
      </w:r>
    </w:p>
    <w:p>
      <w:pPr>
        <w:jc w:val="both"/>
      </w:pPr>
      <w:r>
        <w:rPr>
          <w:sz w:val="24"/>
        </w:rPr>
        <w:t>GB 50254-2014</w:t>
      </w:r>
      <w:r>
        <w:rPr>
          <w:sz w:val="24"/>
        </w:rPr>
        <w:t>《电气装置安装工程 低压电器施工及验收规范》</w:t>
      </w:r>
    </w:p>
    <w:p>
      <w:pPr>
        <w:jc w:val="both"/>
      </w:pPr>
      <w:r>
        <w:rPr>
          <w:sz w:val="24"/>
        </w:rPr>
        <w:t>GB 50150-2016</w:t>
      </w:r>
      <w:r>
        <w:rPr>
          <w:sz w:val="24"/>
        </w:rPr>
        <w:t>《电气装置安装工程 电气设备交接试验标准》</w:t>
      </w:r>
    </w:p>
    <w:p>
      <w:pPr>
        <w:ind w:firstLine="480"/>
        <w:jc w:val="both"/>
      </w:pPr>
      <w:r>
        <w:rPr>
          <w:sz w:val="24"/>
        </w:rPr>
        <w:t>本合同所使用技术标准、规范的要求不一致时，按较高要求执行；招标文件所列技术要求与所使用的技术标准、规范的要求不一致时，按较高要求执行。</w:t>
      </w:r>
    </w:p>
    <w:p>
      <w:pPr>
        <w:jc w:val="both"/>
      </w:pPr>
      <w:r>
        <w:rPr>
          <w:b/>
          <w:sz w:val="24"/>
        </w:rPr>
        <w:t>七、交付、风险及包装</w:t>
      </w:r>
    </w:p>
    <w:p>
      <w:pPr>
        <w:ind w:firstLine="480"/>
        <w:jc w:val="both"/>
      </w:pPr>
      <w:r>
        <w:rPr>
          <w:sz w:val="24"/>
        </w:rPr>
        <w:t>1.</w:t>
      </w:r>
      <w:r>
        <w:rPr>
          <w:sz w:val="24"/>
        </w:rPr>
        <w:t>交付</w:t>
      </w:r>
    </w:p>
    <w:p>
      <w:pPr>
        <w:ind w:firstLine="480"/>
        <w:jc w:val="both"/>
      </w:pPr>
      <w:r>
        <w:rPr>
          <w:sz w:val="24"/>
        </w:rPr>
        <w:t>1.1</w:t>
      </w:r>
      <w:r>
        <w:rPr>
          <w:sz w:val="24"/>
        </w:rPr>
        <w:t>交付期：</w:t>
      </w:r>
      <w:r>
        <w:rPr>
          <w:sz w:val="24"/>
          <w:u w:val="single"/>
        </w:rPr>
        <w:t xml:space="preserve">            个</w:t>
      </w:r>
      <w:r>
        <w:rPr>
          <w:sz w:val="24"/>
        </w:rPr>
        <w:t>日历天内完成设计、供货、安装、调试、试验、旧设备拆除、试运行直至验收合格交付甲方使用。</w:t>
      </w:r>
    </w:p>
    <w:p>
      <w:pPr>
        <w:ind w:firstLine="480"/>
        <w:jc w:val="both"/>
      </w:pPr>
      <w:r>
        <w:rPr>
          <w:sz w:val="24"/>
        </w:rPr>
        <w:t>1.2</w:t>
      </w:r>
      <w:r>
        <w:rPr>
          <w:sz w:val="24"/>
        </w:rPr>
        <w:t>交付地点：</w:t>
      </w:r>
      <w:r>
        <w:rPr>
          <w:sz w:val="24"/>
          <w:u w:val="single"/>
        </w:rPr>
        <w:t xml:space="preserve">                                     </w:t>
      </w:r>
      <w:r>
        <w:rPr>
          <w:sz w:val="24"/>
        </w:rPr>
        <w:t>。</w:t>
      </w:r>
    </w:p>
    <w:p>
      <w:pPr>
        <w:ind w:firstLine="480"/>
        <w:jc w:val="both"/>
      </w:pPr>
      <w:r>
        <w:rPr>
          <w:sz w:val="24"/>
        </w:rPr>
        <w:t>1.3</w:t>
      </w:r>
      <w:r>
        <w:rPr>
          <w:sz w:val="24"/>
        </w:rPr>
        <w:t>货物到场时间：</w:t>
      </w:r>
      <w:r>
        <w:rPr>
          <w:sz w:val="24"/>
          <w:u w:val="single"/>
        </w:rPr>
        <w:t xml:space="preserve">                                 </w:t>
      </w:r>
      <w:r>
        <w:rPr>
          <w:sz w:val="24"/>
        </w:rPr>
        <w:t>。</w:t>
      </w:r>
    </w:p>
    <w:p>
      <w:pPr>
        <w:ind w:firstLine="480"/>
        <w:jc w:val="both"/>
      </w:pPr>
      <w:r>
        <w:rPr>
          <w:sz w:val="24"/>
        </w:rPr>
        <w:t>1.4</w:t>
      </w:r>
      <w:r>
        <w:rPr>
          <w:sz w:val="24"/>
        </w:rPr>
        <w:t>逾期交付：未按规定交付期完成所有货物和系统的设计、供货、安装、调试、试验、旧设备拆除、试运行直至验收合格交付甲方使用的，视为逾期交付。</w:t>
      </w:r>
    </w:p>
    <w:p>
      <w:pPr>
        <w:ind w:firstLine="480"/>
        <w:jc w:val="both"/>
      </w:pPr>
      <w:r>
        <w:rPr>
          <w:sz w:val="24"/>
        </w:rPr>
        <w:t>2.</w:t>
      </w:r>
      <w:r>
        <w:rPr>
          <w:sz w:val="24"/>
        </w:rPr>
        <w:t>风险转移:</w:t>
      </w:r>
    </w:p>
    <w:p>
      <w:pPr>
        <w:ind w:firstLine="480"/>
        <w:jc w:val="both"/>
      </w:pPr>
      <w:r>
        <w:rPr>
          <w:sz w:val="24"/>
        </w:rPr>
        <w:t>2.1</w:t>
      </w:r>
      <w:r>
        <w:rPr>
          <w:sz w:val="24"/>
        </w:rPr>
        <w:t>乙方交由承运人运输的在途系统及设备，毁损、灭失的风险由乙方承担。</w:t>
      </w:r>
    </w:p>
    <w:p>
      <w:pPr>
        <w:ind w:firstLine="480"/>
        <w:jc w:val="both"/>
      </w:pPr>
      <w:r>
        <w:rPr>
          <w:sz w:val="24"/>
        </w:rPr>
        <w:t>2.2</w:t>
      </w:r>
      <w:r>
        <w:rPr>
          <w:sz w:val="24"/>
        </w:rPr>
        <w:t>系统及设备损坏、灭失的风险，在通过最终验收交付使用前由乙方承担，交付使用后风险由乙方转移至甲方。</w:t>
      </w:r>
    </w:p>
    <w:p>
      <w:pPr>
        <w:ind w:firstLine="480"/>
        <w:jc w:val="both"/>
      </w:pPr>
      <w:r>
        <w:rPr>
          <w:sz w:val="24"/>
        </w:rPr>
        <w:t>2.3</w:t>
      </w:r>
      <w:r>
        <w:rPr>
          <w:sz w:val="24"/>
        </w:rPr>
        <w:t>因系统及设备验收不合格导致甲方拒收或双方解除合同的，风险由乙方承担。</w:t>
      </w:r>
    </w:p>
    <w:p>
      <w:pPr>
        <w:ind w:firstLine="480"/>
        <w:jc w:val="both"/>
      </w:pPr>
      <w:r>
        <w:rPr>
          <w:sz w:val="24"/>
        </w:rPr>
        <w:t>2.4</w:t>
      </w:r>
      <w:r>
        <w:rPr>
          <w:sz w:val="24"/>
        </w:rPr>
        <w:t>风险的转移，不影响因乙方履行义务不符合约定，甲方要求其承担违约责任的权利。</w:t>
      </w:r>
    </w:p>
    <w:p>
      <w:pPr>
        <w:ind w:firstLine="480"/>
        <w:jc w:val="both"/>
      </w:pPr>
      <w:r>
        <w:rPr>
          <w:sz w:val="24"/>
        </w:rPr>
        <w:t>2.5</w:t>
      </w:r>
      <w:r>
        <w:rPr>
          <w:sz w:val="24"/>
        </w:rPr>
        <w:t>根据本合同关于产权与风险转移条款规定，乙方承担系统及设备到达交付地点并安装调试、最终验收合格交付使用之前的所有风险。因此，乙方应按合同总价的110％价值为系统及设备投保一切险、为派往甲方服务的人员投保人身险、为系统及设备通过最终验收交付使用前可能涉及的第三方投保相关险种，保险费用均由乙方负责。</w:t>
      </w:r>
    </w:p>
    <w:p>
      <w:pPr>
        <w:ind w:firstLine="480"/>
        <w:jc w:val="both"/>
      </w:pPr>
      <w:r>
        <w:rPr>
          <w:sz w:val="24"/>
        </w:rPr>
        <w:t>3.</w:t>
      </w:r>
      <w:r>
        <w:rPr>
          <w:sz w:val="24"/>
        </w:rPr>
        <w:t>包装:</w:t>
      </w:r>
    </w:p>
    <w:p>
      <w:pPr>
        <w:ind w:firstLine="480"/>
        <w:jc w:val="both"/>
      </w:pPr>
      <w:r>
        <w:rPr>
          <w:sz w:val="24"/>
        </w:rPr>
        <w:t>3.1</w:t>
      </w:r>
      <w:r>
        <w:rPr>
          <w:sz w:val="24"/>
        </w:rPr>
        <w:t>包装必须与运输方式相适应，包装方式的确定及包装费用均由乙方负责；由于不适当的包装而造成系统及设备在运输过程中有任何损坏、丢失由乙方负责。</w:t>
      </w:r>
    </w:p>
    <w:p>
      <w:pPr>
        <w:ind w:firstLine="480"/>
        <w:jc w:val="both"/>
      </w:pPr>
      <w:r>
        <w:rPr>
          <w:sz w:val="24"/>
        </w:rPr>
        <w:t>3.2</w:t>
      </w:r>
      <w:r>
        <w:rPr>
          <w:sz w:val="24"/>
        </w:rPr>
        <w:t>包装应足以承受整个过程中的运输、转运、装卸、储存等，充分考虑到运输途中的各种情况（如暴露于恶劣气候等），以及露天存放的需要。</w:t>
      </w:r>
    </w:p>
    <w:p>
      <w:pPr>
        <w:ind w:firstLine="480"/>
        <w:jc w:val="both"/>
      </w:pPr>
      <w:r>
        <w:rPr>
          <w:sz w:val="24"/>
        </w:rPr>
        <w:t>3.3</w:t>
      </w:r>
      <w:r>
        <w:rPr>
          <w:sz w:val="24"/>
        </w:rPr>
        <w:t>包装费、运费已包含在合同价内。</w:t>
      </w:r>
    </w:p>
    <w:p>
      <w:pPr>
        <w:jc w:val="both"/>
      </w:pPr>
      <w:r>
        <w:rPr>
          <w:b/>
          <w:sz w:val="24"/>
        </w:rPr>
        <w:t>八、供货、安装、调试与旧设备拆除</w:t>
      </w:r>
    </w:p>
    <w:p>
      <w:pPr>
        <w:ind w:firstLine="480"/>
        <w:jc w:val="both"/>
      </w:pPr>
      <w:r>
        <w:rPr>
          <w:sz w:val="24"/>
        </w:rPr>
        <w:t>1.</w:t>
      </w:r>
      <w:r>
        <w:rPr>
          <w:sz w:val="24"/>
        </w:rPr>
        <w:t>乙方投标时响应的条款中有要求承诺在签订合同后的规定时限内向甲方递交证明材料的，乙方须在签订合同后的</w:t>
      </w:r>
      <w:r>
        <w:rPr>
          <w:sz w:val="24"/>
          <w:u w:val="single"/>
        </w:rPr>
        <w:t xml:space="preserve">           </w:t>
      </w:r>
      <w:r>
        <w:rPr>
          <w:sz w:val="24"/>
        </w:rPr>
        <w:t>工作日内递交材料，且材料须完全符合所响应条款的要求。</w:t>
      </w:r>
    </w:p>
    <w:p>
      <w:pPr>
        <w:ind w:firstLine="480"/>
        <w:jc w:val="both"/>
      </w:pPr>
      <w:r>
        <w:rPr>
          <w:sz w:val="24"/>
        </w:rPr>
        <w:t>2.</w:t>
      </w:r>
      <w:r>
        <w:rPr>
          <w:sz w:val="24"/>
        </w:rPr>
        <w:t>乙方必须依照招标文件的要求和投标文件的承诺，在签订合同后</w:t>
      </w:r>
      <w:r>
        <w:rPr>
          <w:sz w:val="24"/>
          <w:u w:val="single"/>
        </w:rPr>
        <w:t xml:space="preserve">        </w:t>
      </w:r>
      <w:r>
        <w:rPr>
          <w:sz w:val="24"/>
        </w:rPr>
        <w:t>内向甲方提供低压配电系统改造和动力环境监控系统的详尽设计和施工方案，其中，低压配电系统一次结线图和布置图等施工图纸须由具备乙级或以上电力设计资质的设计院编制。方案经甲方确认后，乙方根据方案设计要求和招投标文件要求向甲方供应货物，并将设备、系统安装、调试至正常运行的最佳状态。</w:t>
      </w:r>
    </w:p>
    <w:p>
      <w:pPr>
        <w:ind w:firstLine="480"/>
        <w:jc w:val="both"/>
      </w:pPr>
      <w:r>
        <w:rPr>
          <w:sz w:val="24"/>
        </w:rPr>
        <w:t>3.</w:t>
      </w:r>
      <w:r>
        <w:rPr>
          <w:sz w:val="24"/>
        </w:rPr>
        <w:t>根据项目需要，乙方负责办理包括但不限于供电局停送电申请等报批报建手续，并按有关单位要求提供试验报告及相关材料文书，所产生的费用包含在合同总价内，甲方不再另行支付上述产生的费用。</w:t>
      </w:r>
    </w:p>
    <w:p>
      <w:pPr>
        <w:ind w:firstLine="480"/>
        <w:jc w:val="both"/>
      </w:pPr>
      <w:r>
        <w:rPr>
          <w:sz w:val="24"/>
        </w:rPr>
        <w:t>4.</w:t>
      </w:r>
      <w:r>
        <w:rPr>
          <w:sz w:val="24"/>
        </w:rPr>
        <w:t>系统和设备的设计、供货、运输、装卸、二次搬运、安装、集成、设备、调试、试验、负载接入、旧设备拆除以及试运行由乙方负责，甲方提供场地、电力和必要设施配合乙方。</w:t>
      </w:r>
    </w:p>
    <w:p>
      <w:pPr>
        <w:ind w:firstLine="480"/>
        <w:jc w:val="both"/>
      </w:pPr>
      <w:r>
        <w:rPr>
          <w:sz w:val="24"/>
        </w:rPr>
        <w:t>5.</w:t>
      </w:r>
      <w:r>
        <w:rPr>
          <w:sz w:val="24"/>
        </w:rPr>
        <w:t>乙方提供的系统、设备应能在使用现场环境条件下长期稳定运行。</w:t>
      </w:r>
    </w:p>
    <w:p>
      <w:pPr>
        <w:ind w:firstLine="480"/>
        <w:jc w:val="both"/>
      </w:pPr>
      <w:r>
        <w:rPr>
          <w:sz w:val="24"/>
        </w:rPr>
        <w:t>6.</w:t>
      </w:r>
      <w:r>
        <w:rPr>
          <w:sz w:val="24"/>
        </w:rPr>
        <w:t>设备安装、施工过程中，乙方须按照甲方要求采取适当的安健环措施保障施工人员和现场工作人员的人身安全、现场设备安全、配电系统供电安全以及电视塔播出安全，确保不发生人身伤害事故及台站播出任务不受影响。负载电缆接线、迁移等需要停电进行的施工工序实施前，乙方应向甲方递交施工计划及方案，征得甲方同意后，安排在特定的凌晨检修时段进行（每周3小时）。</w:t>
      </w:r>
    </w:p>
    <w:p>
      <w:pPr>
        <w:ind w:firstLine="480"/>
        <w:jc w:val="both"/>
      </w:pPr>
      <w:r>
        <w:rPr>
          <w:sz w:val="24"/>
        </w:rPr>
        <w:t>7.</w:t>
      </w:r>
      <w:r>
        <w:rPr>
          <w:sz w:val="24"/>
        </w:rPr>
        <w:t>广电系统政府部门规定的重要播出保障期间不得进行施工作业。</w:t>
      </w:r>
    </w:p>
    <w:p>
      <w:pPr>
        <w:ind w:firstLine="480"/>
        <w:jc w:val="both"/>
      </w:pPr>
      <w:r>
        <w:rPr>
          <w:sz w:val="24"/>
        </w:rPr>
        <w:t>8.</w:t>
      </w:r>
      <w:r>
        <w:rPr>
          <w:sz w:val="24"/>
        </w:rPr>
        <w:t>施工过程中，乙方须安排专职安全员负责现场安全管理工作，因乙方供应设备质量存在问题、工器具故障、安全管理工作不到位、安全措施采取不到位或执行国家、行业、甲乙双方单位规定不到位等原因导致的一切人身安全事故、设备安全事故、播出安全事故，所有责任由乙方承担，由此造成甲方经济损失的，乙方须负责赔偿甲方损失。</w:t>
      </w:r>
    </w:p>
    <w:p>
      <w:pPr>
        <w:ind w:firstLine="480"/>
        <w:jc w:val="both"/>
      </w:pPr>
      <w:r>
        <w:rPr>
          <w:sz w:val="24"/>
        </w:rPr>
        <w:t>9.</w:t>
      </w:r>
      <w:r>
        <w:rPr>
          <w:sz w:val="24"/>
        </w:rPr>
        <w:t>招投标文件中要求的旧设备拆除由乙方负责，包括但不限于设备拆除、搬运至现场临时存放地点、装卸、运输至甲方指定的广州市内长期存放点、二次搬运等。</w:t>
      </w:r>
    </w:p>
    <w:p>
      <w:pPr>
        <w:ind w:firstLine="480"/>
        <w:jc w:val="both"/>
      </w:pPr>
      <w:r>
        <w:rPr>
          <w:sz w:val="24"/>
        </w:rPr>
        <w:t>10.</w:t>
      </w:r>
      <w:r>
        <w:rPr>
          <w:sz w:val="24"/>
        </w:rPr>
        <w:t>乙方提供的安装、施工服务需符合国家、行业标准规范要求。</w:t>
      </w:r>
    </w:p>
    <w:p>
      <w:pPr>
        <w:ind w:firstLine="480"/>
        <w:jc w:val="both"/>
      </w:pPr>
      <w:r>
        <w:rPr>
          <w:sz w:val="24"/>
        </w:rPr>
        <w:t>11.</w:t>
      </w:r>
      <w:r>
        <w:rPr>
          <w:sz w:val="24"/>
        </w:rPr>
        <w:t>项目实施过程中造成现场地面、墙面、天花和设备等受损的，乙方应负责恢复原状，费用由乙方承担。</w:t>
      </w:r>
    </w:p>
    <w:p>
      <w:pPr>
        <w:jc w:val="both"/>
      </w:pPr>
      <w:r>
        <w:rPr>
          <w:b/>
          <w:sz w:val="24"/>
        </w:rPr>
        <w:t>九、设备试验、试运行和验收：</w:t>
      </w:r>
    </w:p>
    <w:p>
      <w:pPr>
        <w:ind w:firstLine="480"/>
        <w:jc w:val="both"/>
      </w:pPr>
      <w:r>
        <w:rPr>
          <w:sz w:val="24"/>
        </w:rPr>
        <w:t>1.</w:t>
      </w:r>
      <w:r>
        <w:rPr>
          <w:sz w:val="24"/>
        </w:rPr>
        <w:t>验收标准依次序对照适用标准为：①符合中华人民共和国国家安全质量标准、环保标准或行业标准；②符合招标文件和响应承诺中甲方认可的合理最佳配置、参数及各项要求；③货物来源国官方标准。</w:t>
      </w:r>
    </w:p>
    <w:p>
      <w:pPr>
        <w:ind w:firstLine="480"/>
        <w:jc w:val="both"/>
      </w:pPr>
      <w:r>
        <w:rPr>
          <w:sz w:val="24"/>
        </w:rPr>
        <w:t>2.</w:t>
      </w:r>
      <w:r>
        <w:rPr>
          <w:sz w:val="24"/>
        </w:rPr>
        <w:t>设备到达目的地后，乙方有义务协同甲方技术人员实施开箱检查。检查内容包括但不限于：产品外观、数量、种类等。开箱检查结果不作为免除乙方合同义务的依据。</w:t>
      </w:r>
    </w:p>
    <w:p>
      <w:pPr>
        <w:ind w:firstLine="480"/>
        <w:jc w:val="both"/>
      </w:pPr>
      <w:r>
        <w:rPr>
          <w:sz w:val="24"/>
        </w:rPr>
        <w:t>3.</w:t>
      </w:r>
      <w:r>
        <w:rPr>
          <w:sz w:val="24"/>
        </w:rPr>
        <w:t>产品安装、调试完毕后，负载接入和设备试运行前，应进行现场交接试验，包括但不限于现场UPS假负载试验，假负载功率可调，且最大功率不小于500kW。试验由具备《承装（修、试）电力设施许可证》的机构按国家、行业标准和规定实施，试验结束后出具《试验报告》。如果试验结果全部满足国家标准、行业标准、厂家规范和本需求书要求，经甲方同意，乙方将负载迁移至UPS供电，负载送电正常且甲方收到乙方出具的试运行书面申请后，进入为期三个月的试运行期。</w:t>
      </w:r>
    </w:p>
    <w:p>
      <w:pPr>
        <w:ind w:firstLine="480"/>
        <w:jc w:val="both"/>
      </w:pPr>
      <w:r>
        <w:rPr>
          <w:sz w:val="24"/>
        </w:rPr>
        <w:t>4.</w:t>
      </w:r>
      <w:r>
        <w:rPr>
          <w:sz w:val="24"/>
        </w:rPr>
        <w:t>本项目所购设备试运行期为三个月，设备试运行由乙方负责实施，甲方配合。在试运行过程中，因供货设备本身因素引起的技术要求不满足、零部件故障，乙方应负责维修设备或更换零部件，直至设备指标达到标准，此后乙方向甲方提交延长试运行期的书面申请，试运行期延长15天。如果UPS、蓄电池、动力环境监控系统等主要供货设备的质量问题无法通过维修或更换零部件消除，乙方应无偿更换相应的供货设备，设备质量问题消除后，乙方向甲方提交延长试运行期的书面申请，设备重新投入试运行，试运行时间重新开始计算。</w:t>
      </w:r>
    </w:p>
    <w:p>
      <w:pPr>
        <w:ind w:firstLine="480"/>
        <w:jc w:val="both"/>
      </w:pPr>
      <w:r>
        <w:rPr>
          <w:sz w:val="24"/>
        </w:rPr>
        <w:t>5.</w:t>
      </w:r>
      <w:r>
        <w:rPr>
          <w:sz w:val="24"/>
        </w:rPr>
        <w:t>在试运行、设备维修和更换过程中，乙方应采取必要手段保障现场用电设备的不间断稳定运行，不得影响甲方的安全播出任务，由此产生的所有费用由乙方负责。</w:t>
      </w:r>
    </w:p>
    <w:p>
      <w:pPr>
        <w:ind w:firstLine="480"/>
        <w:jc w:val="both"/>
      </w:pPr>
      <w:r>
        <w:rPr>
          <w:sz w:val="24"/>
        </w:rPr>
        <w:t>6.</w:t>
      </w:r>
      <w:r>
        <w:rPr>
          <w:sz w:val="24"/>
        </w:rPr>
        <w:t>因产品质量问题或乙方自身因素导致试运行期延长的，乙方应继续按招投标文件要求和合同约定的交付时间完成项目交付。</w:t>
      </w:r>
    </w:p>
    <w:p>
      <w:pPr>
        <w:ind w:firstLine="480"/>
        <w:jc w:val="both"/>
      </w:pPr>
      <w:r>
        <w:rPr>
          <w:sz w:val="24"/>
        </w:rPr>
        <w:t>7.</w:t>
      </w:r>
      <w:r>
        <w:rPr>
          <w:sz w:val="24"/>
        </w:rPr>
        <w:t>试运行期结束且设备无质量问题，乙方应按甲方提出的技术指标要求和国家、行业相关标准制订验收方案（含验收程序、测试方法、合格指标等），并向甲方提交书面的验收申请。验收方案经甲方认可，在双方代表均在场的情况下，甲方组织验收小组进行最终验收，确认每个设备和整个系统是否已达到验收方案中制订的各项指标。如果验收指标全部符合要求，双方共同签署验收报告。</w:t>
      </w:r>
    </w:p>
    <w:p>
      <w:pPr>
        <w:ind w:firstLine="480"/>
        <w:jc w:val="both"/>
      </w:pPr>
      <w:r>
        <w:rPr>
          <w:sz w:val="24"/>
        </w:rPr>
        <w:t>8.</w:t>
      </w:r>
      <w:r>
        <w:rPr>
          <w:sz w:val="24"/>
        </w:rPr>
        <w:t>各阶段试验、验收和试运行均按国家标准、行业规范、厂家标准、招投标文件、采购合同及其附件要求执行，各阶段试验、验收和试运行所需的资金、设备、仪器、技术人员由乙方提供。</w:t>
      </w:r>
    </w:p>
    <w:p>
      <w:pPr>
        <w:ind w:firstLine="480"/>
        <w:jc w:val="both"/>
      </w:pPr>
      <w:r>
        <w:rPr>
          <w:sz w:val="24"/>
        </w:rPr>
        <w:t>9.</w:t>
      </w:r>
      <w:r>
        <w:rPr>
          <w:sz w:val="24"/>
        </w:rPr>
        <w:t>如果系统需经过国家、行业权威检测机构按国家标准进行技术指标检测，并出具测试报告，检测费用由乙方负责。</w:t>
      </w:r>
    </w:p>
    <w:p>
      <w:pPr>
        <w:ind w:firstLine="480"/>
        <w:jc w:val="both"/>
      </w:pPr>
      <w:r>
        <w:rPr>
          <w:sz w:val="24"/>
        </w:rPr>
        <w:t>10.</w:t>
      </w:r>
      <w:r>
        <w:rPr>
          <w:sz w:val="24"/>
        </w:rPr>
        <w:t>最终验收合格，系统及设备所有性能和指标均符合甲方及国家有关部门的要求，双方用中文签署验收报告，设备交付甲方使用，。</w:t>
      </w:r>
    </w:p>
    <w:p>
      <w:pPr>
        <w:ind w:firstLine="480"/>
        <w:jc w:val="both"/>
      </w:pPr>
      <w:r>
        <w:rPr>
          <w:sz w:val="24"/>
        </w:rPr>
        <w:t>11.</w:t>
      </w:r>
      <w:r>
        <w:rPr>
          <w:sz w:val="24"/>
        </w:rPr>
        <w:t>甲方组成验收小组按国家有关规定、规范进行验收，必要时邀请相关的专业人员或机构参与验收。因货物质量问题发生争议时，由本地质量技术监督部门鉴定。货物符合质量技术标准的，鉴定费由甲方承担；不符合质量技术标准的，鉴定费由乙方承担。</w:t>
      </w:r>
    </w:p>
    <w:p>
      <w:pPr>
        <w:ind w:firstLine="480"/>
        <w:jc w:val="both"/>
      </w:pPr>
      <w:r>
        <w:rPr>
          <w:sz w:val="24"/>
        </w:rPr>
        <w:t>12.</w:t>
      </w:r>
      <w:r>
        <w:rPr>
          <w:sz w:val="24"/>
        </w:rPr>
        <w:t>验收或试运行过程中，由于乙方的原因导致设备需要维修、更换的，乙方须采取必要措施保障现场用电设备稳定运行，由此产生的费用由乙方承担。</w:t>
      </w:r>
    </w:p>
    <w:p>
      <w:pPr>
        <w:jc w:val="both"/>
      </w:pPr>
      <w:r>
        <w:rPr>
          <w:b/>
          <w:sz w:val="24"/>
        </w:rPr>
        <w:t>十、质保期及售后服务要求</w:t>
      </w:r>
    </w:p>
    <w:p>
      <w:pPr>
        <w:ind w:firstLine="480"/>
        <w:jc w:val="both"/>
      </w:pPr>
      <w:r>
        <w:rPr>
          <w:sz w:val="24"/>
        </w:rPr>
        <w:t>1.</w:t>
      </w:r>
      <w:r>
        <w:rPr>
          <w:sz w:val="24"/>
        </w:rPr>
        <w:t>本合同货</w:t>
      </w:r>
      <w:r>
        <w:rPr>
          <w:sz w:val="24"/>
        </w:rPr>
        <w:t>物的质量保证期（简称“质保期”）为</w:t>
      </w:r>
      <w:r>
        <w:rPr>
          <w:sz w:val="24"/>
          <w:u w:val="single"/>
        </w:rPr>
        <w:t xml:space="preserve">    </w:t>
      </w:r>
      <w:r>
        <w:rPr>
          <w:sz w:val="24"/>
        </w:rPr>
        <w:t>年，自最终验收合格双方签署验收报告之日起计算。</w:t>
      </w:r>
    </w:p>
    <w:p>
      <w:pPr>
        <w:ind w:firstLine="480"/>
        <w:jc w:val="both"/>
      </w:pPr>
      <w:r>
        <w:rPr>
          <w:sz w:val="24"/>
        </w:rPr>
        <w:t>2.</w:t>
      </w:r>
      <w:r>
        <w:rPr>
          <w:sz w:val="21"/>
        </w:rPr>
        <w:t>乙方</w:t>
      </w:r>
      <w:r>
        <w:rPr>
          <w:sz w:val="24"/>
        </w:rPr>
        <w:t>在本项目交付地点所在城市（广州）有售后服务点，负责供货设备的终身售后服务，服务点地点及联系方式如下：</w:t>
      </w:r>
    </w:p>
    <w:p>
      <w:pPr>
        <w:ind w:firstLine="480"/>
        <w:jc w:val="both"/>
      </w:pPr>
      <w:r>
        <w:rPr>
          <w:sz w:val="24"/>
        </w:rPr>
        <w:t>地址：</w:t>
      </w:r>
      <w:r>
        <w:rPr>
          <w:sz w:val="24"/>
          <w:u w:val="single"/>
        </w:rPr>
        <w:t xml:space="preserve">                                     </w:t>
      </w:r>
    </w:p>
    <w:p>
      <w:pPr>
        <w:ind w:firstLine="480"/>
        <w:jc w:val="both"/>
      </w:pPr>
      <w:r>
        <w:rPr>
          <w:sz w:val="24"/>
        </w:rPr>
        <w:t>联系人:</w:t>
      </w:r>
      <w:r>
        <w:rPr>
          <w:sz w:val="24"/>
          <w:u w:val="single"/>
        </w:rPr>
        <w:t xml:space="preserve">                                    </w:t>
      </w:r>
    </w:p>
    <w:p>
      <w:pPr>
        <w:ind w:firstLine="480"/>
        <w:jc w:val="both"/>
      </w:pPr>
      <w:r>
        <w:rPr>
          <w:sz w:val="24"/>
        </w:rPr>
        <w:t>联系电话：</w:t>
      </w:r>
      <w:r>
        <w:rPr>
          <w:sz w:val="24"/>
          <w:u w:val="single"/>
        </w:rPr>
        <w:t xml:space="preserve">                                 </w:t>
      </w:r>
    </w:p>
    <w:p>
      <w:pPr>
        <w:ind w:firstLine="480"/>
        <w:jc w:val="both"/>
      </w:pPr>
      <w:r>
        <w:rPr>
          <w:sz w:val="24"/>
        </w:rPr>
        <w:t>3.</w:t>
      </w:r>
      <w:r>
        <w:rPr>
          <w:sz w:val="24"/>
        </w:rPr>
        <w:t>质保期内乙方对所供货物实行包修、包换、包退服务，如设备有任何不正常情况或故障发生，乙方应调查原因并及时免费修复直至达到招投标文件和合同规定的供货指标。</w:t>
      </w:r>
    </w:p>
    <w:p>
      <w:pPr>
        <w:ind w:firstLine="480"/>
        <w:jc w:val="both"/>
      </w:pPr>
      <w:r>
        <w:rPr>
          <w:sz w:val="24"/>
        </w:rPr>
        <w:t>4.</w:t>
      </w:r>
      <w:r>
        <w:rPr>
          <w:sz w:val="24"/>
        </w:rPr>
        <w:t>质保期内乙方对所供货物提供每年</w:t>
      </w:r>
      <w:r>
        <w:rPr>
          <w:sz w:val="24"/>
          <w:u w:val="single"/>
        </w:rPr>
        <w:t xml:space="preserve">       </w:t>
      </w:r>
      <w:r>
        <w:rPr>
          <w:sz w:val="24"/>
        </w:rPr>
        <w:t>次的设备定期巡检维护和7×24小时故障维修及技术支持服务，并给甲方出具巡检维护报告。</w:t>
      </w:r>
    </w:p>
    <w:p>
      <w:pPr>
        <w:ind w:firstLine="480"/>
        <w:jc w:val="both"/>
      </w:pPr>
      <w:r>
        <w:rPr>
          <w:sz w:val="24"/>
        </w:rPr>
        <w:t>5.</w:t>
      </w:r>
      <w:r>
        <w:rPr>
          <w:sz w:val="24"/>
        </w:rPr>
        <w:t>乙方提供的设备定期巡检维护服务内容应符合招投标文件要求，且乙方应提供详细的定期巡检维护方案作为本合同附件。</w:t>
      </w:r>
    </w:p>
    <w:p>
      <w:pPr>
        <w:ind w:firstLine="480"/>
        <w:jc w:val="both"/>
      </w:pPr>
      <w:r>
        <w:rPr>
          <w:sz w:val="24"/>
        </w:rPr>
        <w:t>6.</w:t>
      </w:r>
      <w:r>
        <w:rPr>
          <w:sz w:val="24"/>
        </w:rPr>
        <w:t>质保期内，乙方应为甲方提供不少于3台新增设备（带通讯口）的动力环境监控系统接入的服务，所产生的费用包含在合同总价内，甲方不再另行支付上述产生的费用。</w:t>
      </w:r>
    </w:p>
    <w:p>
      <w:pPr>
        <w:ind w:firstLine="480"/>
        <w:jc w:val="both"/>
      </w:pPr>
      <w:r>
        <w:rPr>
          <w:sz w:val="24"/>
        </w:rPr>
        <w:t>7.</w:t>
      </w:r>
      <w:r>
        <w:rPr>
          <w:sz w:val="24"/>
        </w:rPr>
        <w:t>质保期内，如设备或零部件因质量原因出现故障而造成短期停用时，则质保期和免费维修期相应顺延。如停用时间累计超过60天则质保期重新计算。</w:t>
      </w:r>
    </w:p>
    <w:p>
      <w:pPr>
        <w:ind w:firstLine="480"/>
        <w:jc w:val="both"/>
      </w:pPr>
      <w:r>
        <w:rPr>
          <w:sz w:val="24"/>
        </w:rPr>
        <w:t>8.</w:t>
      </w:r>
      <w:r>
        <w:rPr>
          <w:sz w:val="24"/>
        </w:rPr>
        <w:t>设备发生故障时，在接到甲方的服务通知后，乙方须在1小时内响应，4小时内到达现场，12小时内处理完毕。若在12小时内仍未能有效解决故障，乙方须在48小时内免费提供同档次的设备予甲方临时使用，直至设备故障处理完毕。</w:t>
      </w:r>
    </w:p>
    <w:p>
      <w:pPr>
        <w:ind w:firstLine="480"/>
        <w:jc w:val="both"/>
      </w:pPr>
      <w:r>
        <w:rPr>
          <w:sz w:val="24"/>
        </w:rPr>
        <w:t>9.</w:t>
      </w:r>
      <w:r>
        <w:rPr>
          <w:sz w:val="24"/>
        </w:rPr>
        <w:t>乙方须对供货设备提供终身维修服务，质保期外的维修服务，乙方应给与甲方人工费优惠，对于所更换的零部件，只收成本费用。</w:t>
      </w:r>
    </w:p>
    <w:p>
      <w:pPr>
        <w:ind w:firstLine="480"/>
        <w:jc w:val="both"/>
      </w:pPr>
      <w:r>
        <w:rPr>
          <w:sz w:val="24"/>
        </w:rPr>
        <w:t>10.</w:t>
      </w:r>
      <w:r>
        <w:rPr>
          <w:sz w:val="24"/>
        </w:rPr>
        <w:t>对于所供货物的关键零部件，乙方承诺提供不少于15年的备品供应服务。</w:t>
      </w:r>
    </w:p>
    <w:p>
      <w:pPr>
        <w:ind w:firstLine="480"/>
        <w:jc w:val="both"/>
      </w:pPr>
      <w:r>
        <w:rPr>
          <w:sz w:val="24"/>
        </w:rPr>
        <w:t>11.</w:t>
      </w:r>
      <w:r>
        <w:rPr>
          <w:sz w:val="24"/>
        </w:rPr>
        <w:t>质保期外的售后响应时间要求与质保期内一样。</w:t>
      </w:r>
    </w:p>
    <w:p>
      <w:pPr>
        <w:ind w:firstLine="480"/>
        <w:jc w:val="both"/>
      </w:pPr>
      <w:r>
        <w:rPr>
          <w:sz w:val="24"/>
        </w:rPr>
        <w:t>12.</w:t>
      </w:r>
      <w:r>
        <w:rPr>
          <w:sz w:val="24"/>
        </w:rPr>
        <w:t>质保期外，如甲方向乙方采购设备定期巡检维护服务，乙方应给与优惠，只收成本费用。</w:t>
      </w:r>
    </w:p>
    <w:p>
      <w:pPr>
        <w:ind w:firstLine="480"/>
        <w:jc w:val="both"/>
      </w:pPr>
      <w:r>
        <w:rPr>
          <w:sz w:val="24"/>
        </w:rPr>
        <w:t>13.</w:t>
      </w:r>
      <w:r>
        <w:rPr>
          <w:sz w:val="24"/>
        </w:rPr>
        <w:t>乙方应提供所供产品零部件、维修服务和定期巡检维护服务参考价格清单作为本合同附件，清单应包括各项目的市场参考价格、成本费用、优惠价格等。</w:t>
      </w:r>
    </w:p>
    <w:p>
      <w:pPr>
        <w:ind w:firstLine="480"/>
        <w:jc w:val="both"/>
      </w:pPr>
      <w:r>
        <w:rPr>
          <w:sz w:val="24"/>
        </w:rPr>
        <w:t>14.</w:t>
      </w:r>
      <w:r>
        <w:rPr>
          <w:sz w:val="24"/>
        </w:rPr>
        <w:t>质保期内，设备维修、更换期间乙方应采取必要措施保障现场用电设备稳定运行，由此产生的费用由乙方承担。</w:t>
      </w:r>
    </w:p>
    <w:p>
      <w:pPr>
        <w:jc w:val="both"/>
      </w:pPr>
      <w:r>
        <w:rPr>
          <w:b/>
          <w:sz w:val="24"/>
        </w:rPr>
        <w:t>十一、培训</w:t>
      </w:r>
    </w:p>
    <w:p>
      <w:pPr>
        <w:ind w:firstLine="480"/>
        <w:jc w:val="both"/>
      </w:pPr>
      <w:r>
        <w:rPr>
          <w:sz w:val="24"/>
        </w:rPr>
        <w:t>1.</w:t>
      </w:r>
      <w:r>
        <w:rPr>
          <w:sz w:val="24"/>
        </w:rPr>
        <w:t>乙方应为甲方提供本项目设备运行、检修、维护、故障排查、应急处置所必须的培训，任教的培训讲师应该是有经验的工程师，培训教材应由乙方提供，培训费用（包括但不限于讲师费用、教材费用、食宿费用、交通费用等）由乙方负责。要求如下：</w:t>
      </w:r>
    </w:p>
    <w:p>
      <w:pPr>
        <w:ind w:firstLine="480"/>
        <w:jc w:val="both"/>
      </w:pPr>
      <w:r>
        <w:rPr>
          <w:sz w:val="24"/>
        </w:rPr>
        <w:t>（1）培训人数：≥</w:t>
      </w:r>
      <w:r>
        <w:rPr>
          <w:sz w:val="24"/>
          <w:u w:val="single"/>
        </w:rPr>
        <w:t xml:space="preserve">        </w:t>
      </w:r>
      <w:r>
        <w:rPr>
          <w:sz w:val="24"/>
        </w:rPr>
        <w:t>人；</w:t>
      </w:r>
    </w:p>
    <w:p>
      <w:pPr>
        <w:ind w:firstLine="480"/>
        <w:jc w:val="both"/>
      </w:pPr>
      <w:r>
        <w:rPr>
          <w:sz w:val="24"/>
        </w:rPr>
        <w:t>（2）培训时间：≥</w:t>
      </w:r>
      <w:r>
        <w:rPr>
          <w:sz w:val="24"/>
          <w:u w:val="single"/>
        </w:rPr>
        <w:t xml:space="preserve">        </w:t>
      </w:r>
      <w:r>
        <w:rPr>
          <w:sz w:val="24"/>
        </w:rPr>
        <w:t>天；</w:t>
      </w:r>
    </w:p>
    <w:p>
      <w:pPr>
        <w:ind w:firstLine="480"/>
        <w:jc w:val="both"/>
      </w:pPr>
      <w:r>
        <w:rPr>
          <w:sz w:val="24"/>
        </w:rPr>
        <w:t>（3）培训地点：广州。</w:t>
      </w:r>
    </w:p>
    <w:p>
      <w:pPr>
        <w:ind w:firstLine="480"/>
        <w:jc w:val="both"/>
      </w:pPr>
      <w:r>
        <w:rPr>
          <w:sz w:val="24"/>
        </w:rPr>
        <w:t>2.</w:t>
      </w:r>
      <w:r>
        <w:rPr>
          <w:sz w:val="24"/>
        </w:rPr>
        <w:t>培训内容及其他相关要求按招标文件中的要求和乙方投标文件中的承诺执行。</w:t>
      </w:r>
    </w:p>
    <w:p>
      <w:pPr>
        <w:jc w:val="both"/>
      </w:pPr>
      <w:r>
        <w:rPr>
          <w:b/>
          <w:sz w:val="24"/>
        </w:rPr>
        <w:t>十二、违约责任与赔偿损失</w:t>
      </w:r>
    </w:p>
    <w:p>
      <w:pPr>
        <w:ind w:firstLine="480"/>
        <w:jc w:val="both"/>
      </w:pPr>
      <w:r>
        <w:rPr>
          <w:sz w:val="24"/>
        </w:rPr>
        <w:t>1.</w:t>
      </w:r>
      <w:r>
        <w:rPr>
          <w:sz w:val="24"/>
        </w:rPr>
        <w:t>乙方逾期交付设备的，甲方有权以如下方式向乙方追究逾期交付的违约责任：每延迟1个日历天交付，乙方应按本合同总价0.3%的数额向甲方支付违约金。上述违约金总值不超过合同总价的15%。上述违约责任不解除乙方的交付责任。如果乙方逾期</w:t>
      </w:r>
      <w:r>
        <w:rPr>
          <w:sz w:val="24"/>
          <w:u w:val="single"/>
        </w:rPr>
        <w:t xml:space="preserve">        </w:t>
      </w:r>
      <w:r>
        <w:rPr>
          <w:sz w:val="24"/>
        </w:rPr>
        <w:t>未能交付，甲方有权终止合同，乙方须退还甲方已支付的全部款项，并向甲方支付合同总价20%的违约金，由此造成的甲方经济损失由乙方承担。</w:t>
      </w:r>
    </w:p>
    <w:p>
      <w:pPr>
        <w:ind w:firstLine="480"/>
        <w:jc w:val="both"/>
      </w:pPr>
      <w:r>
        <w:rPr>
          <w:sz w:val="24"/>
        </w:rPr>
        <w:t>2.</w:t>
      </w:r>
      <w:r>
        <w:rPr>
          <w:sz w:val="24"/>
        </w:rPr>
        <w:t>乙方所交付的系统及设备的品种、型号、规格、质量等不符合招标文件、投标文件、合同及附件规定的，甲方有权拒收。甲方拒收的，乙方须退还甲方已支付的全部款项，并向甲方支付合同总价20%的违约金，由此造成的甲方经济损失由乙方承担。</w:t>
      </w:r>
    </w:p>
    <w:p>
      <w:pPr>
        <w:ind w:firstLine="480"/>
        <w:jc w:val="both"/>
      </w:pPr>
      <w:r>
        <w:rPr>
          <w:sz w:val="24"/>
        </w:rPr>
        <w:t>3.</w:t>
      </w:r>
      <w:r>
        <w:rPr>
          <w:sz w:val="24"/>
        </w:rPr>
        <w:t>乙方投标时响应的条款中有要求承诺在签订合同后的规定时限内向甲方递交检验报告等证明材料的，如乙方未按要求在规定的时限内向甲方递交相关材料，或递交的材料不符合所响应条款要求，或材料中记录的数据不符合所响应条款要求，视为乙方所交付货物或服务不符合招标文件、投标文件要求，甲方有权拒收。甲方拒收的，乙方须退还甲方已支付的全部款项，并向甲方支付合同总价20%的违约金，由此造成的甲方经济损失由乙方承担。</w:t>
      </w:r>
    </w:p>
    <w:p>
      <w:pPr>
        <w:ind w:firstLine="480"/>
        <w:jc w:val="both"/>
      </w:pPr>
      <w:r>
        <w:rPr>
          <w:sz w:val="24"/>
        </w:rPr>
        <w:t>4.</w:t>
      </w:r>
      <w:r>
        <w:rPr>
          <w:sz w:val="24"/>
        </w:rPr>
        <w:t>乙方保证本合同项下货物的权利无瑕疵，包括货物所有权及知识产权等权利无瑕疵。如任何第三方经法院（或仲裁机构）裁决有权对上述货物主张权利或国家机关依法对货物进行没收查处的，乙方须退还甲方已支付的全部款项，并向甲方支付合同总价20%的违约金，由此造成的甲方经济损失由乙方承担。</w:t>
      </w:r>
    </w:p>
    <w:p>
      <w:pPr>
        <w:ind w:firstLine="480"/>
        <w:jc w:val="both"/>
      </w:pPr>
      <w:r>
        <w:rPr>
          <w:sz w:val="24"/>
        </w:rPr>
        <w:t>5.</w:t>
      </w:r>
      <w:r>
        <w:rPr>
          <w:sz w:val="24"/>
        </w:rPr>
        <w:t>因乙方的原因导致未能通过验收或延迟通过验收，造成逾期交付的，甲方有权按逾期交付追究乙方违约责任。</w:t>
      </w:r>
    </w:p>
    <w:p>
      <w:pPr>
        <w:ind w:firstLine="480"/>
        <w:jc w:val="both"/>
      </w:pPr>
      <w:r>
        <w:rPr>
          <w:sz w:val="24"/>
        </w:rPr>
        <w:t>6.</w:t>
      </w:r>
      <w:r>
        <w:rPr>
          <w:sz w:val="24"/>
        </w:rPr>
        <w:t>在乙方在本合同及其附件承诺的或国家规定的质量保证期内（取两者中最长的期限），如经乙方三次维修或更换，设备仍不能达到合同约定的质量标准，严重影响甲方正常使用的，甲方有权退货，乙方应退回相应款项，并应向甲方支付合同总价20%的违约金，由此造成的甲方经济损失由乙方承担。</w:t>
      </w:r>
    </w:p>
    <w:p>
      <w:pPr>
        <w:ind w:firstLine="480"/>
        <w:jc w:val="both"/>
      </w:pPr>
      <w:r>
        <w:rPr>
          <w:sz w:val="24"/>
        </w:rPr>
        <w:t>7.</w:t>
      </w:r>
      <w:r>
        <w:rPr>
          <w:sz w:val="24"/>
        </w:rPr>
        <w:t>乙方未按本合同的规定及附件的服务承诺提供售后服务的，每延迟一日提供相应服务的，应按合同总价的0.1%向甲方承担违约责任。如延迟提供相应服务超过10日，乙方应向甲方支付合同总价10%的违约金。如因延迟提供服务造成甲方损失的，乙方应赔偿甲方因此遭受的实际损失。</w:t>
      </w:r>
    </w:p>
    <w:p>
      <w:pPr>
        <w:ind w:firstLine="480"/>
        <w:jc w:val="both"/>
      </w:pPr>
      <w:r>
        <w:rPr>
          <w:sz w:val="24"/>
        </w:rPr>
        <w:t>8.</w:t>
      </w:r>
      <w:r>
        <w:rPr>
          <w:sz w:val="24"/>
        </w:rPr>
        <w:t>如乙方违反本合同及附件中的约定及承诺，乙方应承担相应违约责任，甲方有权从履约保证金或任何一笔货款中直接扣除相关金额作为违约金，甲方同时向乙方通知违约行为涉及的违约金额及相应原因。如乙方对该违约责任有异议,应在接到甲方通知后15日内提出。</w:t>
      </w:r>
    </w:p>
    <w:p>
      <w:pPr>
        <w:ind w:firstLine="480"/>
        <w:jc w:val="both"/>
      </w:pPr>
      <w:r>
        <w:rPr>
          <w:sz w:val="24"/>
        </w:rPr>
        <w:t>9.</w:t>
      </w:r>
      <w:r>
        <w:rPr>
          <w:sz w:val="24"/>
        </w:rPr>
        <w:t>甲方无正当理由逾期退还履约保证金，导致乙方权益受损的，甲方除应退还履约保证金外，按每延期一个自然日加付本项目履约保证金的0.1%作为违约金，违约金总额不超过本项目履约保证金的5%。</w:t>
      </w:r>
    </w:p>
    <w:p>
      <w:pPr>
        <w:ind w:firstLine="480"/>
        <w:jc w:val="both"/>
      </w:pPr>
      <w:r>
        <w:rPr>
          <w:sz w:val="24"/>
        </w:rPr>
        <w:t>10.</w:t>
      </w:r>
      <w:r>
        <w:rPr>
          <w:sz w:val="24"/>
        </w:rPr>
        <w:t>甲方无正当理由拒收货物/接受服务，到期无正当理由拒付货物/服务款项的，甲方向乙方偿付本合同总的10%的违约金。甲方无正当理由逾期付款，则每日历天按本合同总价的0.3%向乙方偿付违约金。</w:t>
      </w:r>
    </w:p>
    <w:p>
      <w:pPr>
        <w:ind w:firstLine="480"/>
        <w:jc w:val="both"/>
      </w:pPr>
      <w:r>
        <w:rPr>
          <w:sz w:val="24"/>
        </w:rPr>
        <w:t>11.</w:t>
      </w:r>
      <w:r>
        <w:rPr>
          <w:sz w:val="24"/>
        </w:rPr>
        <w:t>对于因甲方原因导致合同终止的，甲方应当依照以下合同约定对供应商受到的损失予以赔偿或者补偿：</w:t>
      </w:r>
      <w:r>
        <w:rPr>
          <w:sz w:val="24"/>
          <w:u w:val="single"/>
        </w:rPr>
        <w:t xml:space="preserve">                                         </w:t>
      </w:r>
      <w:r>
        <w:rPr>
          <w:sz w:val="24"/>
        </w:rPr>
        <w:t xml:space="preserve">                                         </w:t>
      </w:r>
    </w:p>
    <w:p>
      <w:pPr>
        <w:ind w:firstLine="480"/>
        <w:jc w:val="both"/>
      </w:pPr>
      <w:r>
        <w:rPr>
          <w:sz w:val="24"/>
        </w:rPr>
        <w:t>12.</w:t>
      </w:r>
      <w:r>
        <w:rPr>
          <w:sz w:val="24"/>
        </w:rPr>
        <w:t>其他违约责任按《中华人民共和国民法典》处理。</w:t>
      </w:r>
    </w:p>
    <w:p>
      <w:pPr>
        <w:jc w:val="both"/>
      </w:pPr>
      <w:r>
        <w:rPr>
          <w:b/>
          <w:sz w:val="24"/>
        </w:rPr>
        <w:t>十三、争议的解决</w:t>
      </w:r>
    </w:p>
    <w:p>
      <w:pPr>
        <w:ind w:firstLine="480"/>
        <w:jc w:val="both"/>
      </w:pPr>
      <w:r>
        <w:rPr>
          <w:sz w:val="24"/>
        </w:rPr>
        <w:t>1.</w:t>
      </w:r>
      <w:r>
        <w:rPr>
          <w:sz w:val="24"/>
        </w:rPr>
        <w:t>所有有关本合同和执行本合同过程中发生的争议，均应由双方通过友好协商解决。</w:t>
      </w:r>
    </w:p>
    <w:p>
      <w:pPr>
        <w:ind w:firstLine="480"/>
        <w:jc w:val="both"/>
      </w:pPr>
      <w:r>
        <w:rPr>
          <w:sz w:val="24"/>
        </w:rPr>
        <w:t>2.</w:t>
      </w:r>
      <w:r>
        <w:rPr>
          <w:sz w:val="24"/>
        </w:rPr>
        <w:t>凡因履行本合同引起的或与本合同有关的任何争议，双方应协商解决，协商不成的，提交甲方所在地有管辖权的人民法院裁决。</w:t>
      </w:r>
    </w:p>
    <w:p>
      <w:pPr>
        <w:ind w:firstLine="480"/>
        <w:jc w:val="both"/>
      </w:pPr>
      <w:r>
        <w:rPr>
          <w:sz w:val="24"/>
        </w:rPr>
        <w:t>3.</w:t>
      </w:r>
      <w:r>
        <w:rPr>
          <w:sz w:val="24"/>
        </w:rPr>
        <w:t>在诉讼过程中，双方应继续执行合同的其它部分。</w:t>
      </w:r>
    </w:p>
    <w:p>
      <w:pPr>
        <w:jc w:val="both"/>
      </w:pPr>
      <w:r>
        <w:rPr>
          <w:b/>
          <w:sz w:val="24"/>
        </w:rPr>
        <w:t>十四、不可抗力</w:t>
      </w:r>
    </w:p>
    <w:p>
      <w:pPr>
        <w:ind w:firstLine="480"/>
        <w:jc w:val="both"/>
      </w:pPr>
      <w:r>
        <w:rPr>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sz w:val="24"/>
        </w:rPr>
        <w:t>十五、税费</w:t>
      </w:r>
    </w:p>
    <w:p>
      <w:pPr>
        <w:ind w:firstLine="480"/>
        <w:jc w:val="both"/>
      </w:pPr>
      <w:r>
        <w:rPr>
          <w:sz w:val="24"/>
        </w:rPr>
        <w:t>1.</w:t>
      </w:r>
      <w:r>
        <w:rPr>
          <w:sz w:val="24"/>
        </w:rPr>
        <w:t>在中国境内、外发生的与本合同执行有关的一切税费均由乙方负担。</w:t>
      </w:r>
    </w:p>
    <w:p>
      <w:pPr>
        <w:jc w:val="both"/>
      </w:pPr>
      <w:r>
        <w:rPr>
          <w:b/>
          <w:sz w:val="24"/>
        </w:rPr>
        <w:t>十六、其它</w:t>
      </w:r>
    </w:p>
    <w:p>
      <w:pPr>
        <w:ind w:firstLine="480"/>
        <w:jc w:val="both"/>
      </w:pPr>
      <w:r>
        <w:rPr>
          <w:sz w:val="24"/>
        </w:rPr>
        <w:t>1.</w:t>
      </w:r>
      <w:r>
        <w:rPr>
          <w:sz w:val="24"/>
        </w:rPr>
        <w:t>本合同所有附件、招标文件、投标文件、中标通知书均为合同的有效组成部分，与本合同具有同等法律效力。</w:t>
      </w:r>
    </w:p>
    <w:p>
      <w:pPr>
        <w:ind w:firstLine="480"/>
        <w:jc w:val="both"/>
      </w:pPr>
      <w:r>
        <w:rPr>
          <w:sz w:val="24"/>
        </w:rPr>
        <w:t>2.</w:t>
      </w:r>
      <w:r>
        <w:rPr>
          <w:sz w:val="24"/>
        </w:rPr>
        <w:t>在执行本合同的过程中，所有经双方签署确认的文件（包括会议纪要、补充协议、往来信函）即成为本合同的有效组成部分。</w:t>
      </w:r>
    </w:p>
    <w:p>
      <w:pPr>
        <w:ind w:firstLine="480"/>
        <w:jc w:val="both"/>
      </w:pPr>
      <w:r>
        <w:rPr>
          <w:sz w:val="24"/>
        </w:rPr>
        <w:t>3.</w:t>
      </w:r>
      <w:r>
        <w:rPr>
          <w:sz w:val="24"/>
        </w:rPr>
        <w:t>如一方地址、电话、传真号码有变更，应在变更当日内书面通知对方，否则，应承担相应责任。</w:t>
      </w:r>
    </w:p>
    <w:p>
      <w:pPr>
        <w:ind w:firstLine="480"/>
        <w:jc w:val="both"/>
      </w:pPr>
      <w:r>
        <w:rPr>
          <w:sz w:val="24"/>
        </w:rPr>
        <w:t>4.</w:t>
      </w:r>
      <w:r>
        <w:rPr>
          <w:sz w:val="24"/>
        </w:rPr>
        <w:t>除甲方事先书面同意外，乙方不得部分或全部转让其应履行的合同项下的义务。</w:t>
      </w:r>
    </w:p>
    <w:p>
      <w:pPr>
        <w:jc w:val="both"/>
      </w:pPr>
      <w:r>
        <w:rPr>
          <w:b/>
          <w:sz w:val="24"/>
        </w:rPr>
        <w:t>十七、合同生效</w:t>
      </w:r>
    </w:p>
    <w:p>
      <w:pPr>
        <w:ind w:firstLine="480"/>
        <w:jc w:val="both"/>
      </w:pPr>
      <w:r>
        <w:rPr>
          <w:sz w:val="24"/>
        </w:rPr>
        <w:t>1.</w:t>
      </w:r>
      <w:r>
        <w:rPr>
          <w:sz w:val="24"/>
        </w:rPr>
        <w:t>本合同在甲乙双方法人代表或其授权代表签字盖章后生效。</w:t>
      </w:r>
    </w:p>
    <w:p>
      <w:pPr>
        <w:ind w:firstLine="480"/>
        <w:jc w:val="both"/>
      </w:pPr>
      <w:r>
        <w:rPr>
          <w:sz w:val="24"/>
        </w:rPr>
        <w:t>2.</w:t>
      </w:r>
      <w:r>
        <w:rPr>
          <w:sz w:val="24"/>
        </w:rPr>
        <w:t>合同一式    份。</w:t>
      </w:r>
    </w:p>
    <w:p>
      <w:pPr>
        <w:jc w:val="both"/>
      </w:pPr>
    </w:p>
    <w:p>
      <w:pPr>
        <w:jc w:val="both"/>
      </w:pPr>
      <w:r>
        <w:rPr>
          <w:b/>
          <w:sz w:val="24"/>
        </w:rPr>
        <w:t>甲方（盖章）：                    乙方（盖章）：</w:t>
      </w:r>
    </w:p>
    <w:p>
      <w:pPr>
        <w:jc w:val="both"/>
      </w:pPr>
      <w:r>
        <w:rPr>
          <w:b/>
          <w:sz w:val="24"/>
        </w:rPr>
        <w:t>代表：                           代表：</w:t>
      </w:r>
    </w:p>
    <w:p>
      <w:pPr>
        <w:jc w:val="both"/>
      </w:pPr>
      <w:r>
        <w:rPr>
          <w:sz w:val="24"/>
        </w:rPr>
        <w:t>签定地点：</w:t>
      </w:r>
    </w:p>
    <w:p>
      <w:pPr>
        <w:jc w:val="both"/>
      </w:pPr>
      <w:r>
        <w:rPr>
          <w:sz w:val="24"/>
        </w:rPr>
        <w:t>签定日期：　　　年　　月　　日       签定日期：　　　年　　月　　日</w:t>
      </w:r>
    </w:p>
    <w:p>
      <w:pPr>
        <w:jc w:val="both"/>
      </w:pPr>
      <w:r>
        <w:rPr>
          <w:sz w:val="21"/>
        </w:rPr>
        <w:t xml:space="preserve">                                    </w:t>
      </w:r>
    </w:p>
    <w:p>
      <w:pPr>
        <w:jc w:val="both"/>
      </w:pPr>
    </w:p>
    <w:p>
      <w:pPr>
        <w:jc w:val="center"/>
      </w:pPr>
      <w:r>
        <w:rPr>
          <w:b/>
          <w:sz w:val="44"/>
        </w:rPr>
        <w:t>廉 政 合 同</w:t>
      </w:r>
    </w:p>
    <w:p>
      <w:pPr>
        <w:jc w:val="both"/>
      </w:pPr>
      <w:r>
        <w:rPr>
          <w:sz w:val="21"/>
        </w:rPr>
        <w:t xml:space="preserve"> </w:t>
      </w:r>
    </w:p>
    <w:p>
      <w:pPr>
        <w:jc w:val="both"/>
      </w:pPr>
      <w:r>
        <w:rPr>
          <w:sz w:val="21"/>
        </w:rPr>
        <w:t>甲方：</w:t>
      </w:r>
      <w:r>
        <w:rPr>
          <w:sz w:val="21"/>
          <w:u w:val="single"/>
        </w:rPr>
        <w:t xml:space="preserve">                    </w:t>
      </w:r>
    </w:p>
    <w:p>
      <w:pPr>
        <w:jc w:val="both"/>
      </w:pPr>
      <w:r>
        <w:rPr>
          <w:sz w:val="21"/>
        </w:rPr>
        <w:t>乙方：</w:t>
      </w:r>
      <w:r>
        <w:rPr>
          <w:sz w:val="21"/>
          <w:u w:val="single"/>
        </w:rPr>
        <w:t xml:space="preserve">                      </w:t>
      </w:r>
      <w:r>
        <w:rPr>
          <w:sz w:val="21"/>
        </w:rPr>
        <w:t xml:space="preserve"> </w:t>
      </w:r>
    </w:p>
    <w:p>
      <w:pPr>
        <w:ind w:firstLine="420"/>
        <w:jc w:val="both"/>
      </w:pPr>
      <w:r>
        <w:rPr>
          <w:sz w:val="21"/>
        </w:rPr>
        <w:t>根据国家、省有关廉政建设的规定，为做好技术中心廉政建设，提高资金的有效使用和投资效益，甲乙双方就加强合同的廉政建设，订立本合同。</w:t>
      </w:r>
    </w:p>
    <w:p>
      <w:pPr>
        <w:ind w:firstLine="422"/>
        <w:jc w:val="both"/>
      </w:pPr>
      <w:r>
        <w:rPr>
          <w:b/>
          <w:sz w:val="21"/>
        </w:rPr>
        <w:t xml:space="preserve">1 </w:t>
      </w:r>
      <w:r>
        <w:rPr>
          <w:b/>
          <w:sz w:val="21"/>
        </w:rPr>
        <w:t>双方权利和义务</w:t>
      </w:r>
    </w:p>
    <w:p>
      <w:pPr>
        <w:ind w:firstLine="420"/>
        <w:jc w:val="both"/>
      </w:pPr>
      <w:r>
        <w:rPr>
          <w:sz w:val="21"/>
        </w:rPr>
        <w:t xml:space="preserve">1.1 </w:t>
      </w:r>
      <w:r>
        <w:rPr>
          <w:sz w:val="21"/>
        </w:rPr>
        <w:t>严格遵守国家有关法律法规的规定。</w:t>
      </w:r>
    </w:p>
    <w:p>
      <w:pPr>
        <w:ind w:firstLine="420"/>
        <w:jc w:val="both"/>
      </w:pPr>
      <w:r>
        <w:rPr>
          <w:sz w:val="21"/>
        </w:rPr>
        <w:t xml:space="preserve">1.2 </w:t>
      </w:r>
      <w:r>
        <w:rPr>
          <w:sz w:val="21"/>
        </w:rPr>
        <w:t>严格执行一切合同文件，自觉按合同办事。</w:t>
      </w:r>
    </w:p>
    <w:p>
      <w:pPr>
        <w:ind w:firstLine="420"/>
        <w:jc w:val="both"/>
      </w:pPr>
      <w:r>
        <w:rPr>
          <w:sz w:val="21"/>
        </w:rPr>
        <w:t xml:space="preserve">1.3 </w:t>
      </w:r>
      <w:r>
        <w:rPr>
          <w:sz w:val="21"/>
        </w:rPr>
        <w:t>双方的业务活动坚持公平、公开、公正和诚信的原则（法律认定的商业秘密和合同文件另有规定除外），不得损害国家和集体利益，不得违反国家、省和技术中心采购管理相关规章制度。</w:t>
      </w:r>
    </w:p>
    <w:p>
      <w:pPr>
        <w:ind w:firstLine="420"/>
        <w:jc w:val="both"/>
      </w:pPr>
      <w:r>
        <w:rPr>
          <w:sz w:val="21"/>
        </w:rPr>
        <w:t xml:space="preserve">1.4 </w:t>
      </w:r>
      <w:r>
        <w:rPr>
          <w:sz w:val="21"/>
        </w:rPr>
        <w:t>建立健全廉政制度，开展廉政教育，设立廉政告示牌，公布举报电话，监督并认真查处违法违纪行为。</w:t>
      </w:r>
    </w:p>
    <w:p>
      <w:pPr>
        <w:ind w:firstLine="420"/>
        <w:jc w:val="both"/>
      </w:pPr>
      <w:r>
        <w:rPr>
          <w:sz w:val="21"/>
        </w:rPr>
        <w:t xml:space="preserve">1.5 </w:t>
      </w:r>
      <w:r>
        <w:rPr>
          <w:sz w:val="21"/>
        </w:rPr>
        <w:t>发现对方在业务活动中有违反廉政建设规定的行为，应及时给予提醒和纠正。</w:t>
      </w:r>
    </w:p>
    <w:p>
      <w:pPr>
        <w:ind w:firstLine="420"/>
        <w:jc w:val="both"/>
      </w:pPr>
      <w:r>
        <w:rPr>
          <w:sz w:val="21"/>
        </w:rPr>
        <w:t xml:space="preserve">1.6 </w:t>
      </w:r>
      <w:r>
        <w:rPr>
          <w:sz w:val="21"/>
        </w:rPr>
        <w:t>发现对方严重违反合同的行为，有向其上级部门举报、建议给予处理并要求告知处理结果的权利。</w:t>
      </w:r>
    </w:p>
    <w:p>
      <w:pPr>
        <w:ind w:firstLine="422"/>
        <w:jc w:val="both"/>
      </w:pPr>
      <w:r>
        <w:rPr>
          <w:b/>
          <w:sz w:val="21"/>
        </w:rPr>
        <w:t xml:space="preserve">2 </w:t>
      </w:r>
      <w:r>
        <w:rPr>
          <w:b/>
          <w:sz w:val="21"/>
        </w:rPr>
        <w:t>甲方义务</w:t>
      </w:r>
    </w:p>
    <w:p>
      <w:pPr>
        <w:ind w:firstLine="420"/>
        <w:jc w:val="both"/>
      </w:pPr>
      <w:r>
        <w:rPr>
          <w:sz w:val="21"/>
        </w:rPr>
        <w:t xml:space="preserve">2.1 </w:t>
      </w:r>
      <w:r>
        <w:rPr>
          <w:sz w:val="21"/>
        </w:rPr>
        <w:t>甲方及其工作人员不得索要或接受承包人的礼金、有价证券和贵重物品，不得在乙方报销任何应由发包人或工作人员个人支付的费用等。</w:t>
      </w:r>
    </w:p>
    <w:p>
      <w:pPr>
        <w:ind w:firstLine="420"/>
        <w:jc w:val="both"/>
      </w:pPr>
      <w:r>
        <w:rPr>
          <w:sz w:val="21"/>
        </w:rPr>
        <w:t xml:space="preserve">2.2 </w:t>
      </w:r>
      <w:r>
        <w:rPr>
          <w:sz w:val="21"/>
        </w:rPr>
        <w:t>甲方及其工作人员不得参加承包人安排的宴请（工作餐除外）和娱乐活动；不得接受乙方提供的通讯工具、交通工具和高档办公用品等。</w:t>
      </w:r>
    </w:p>
    <w:p>
      <w:pPr>
        <w:ind w:firstLine="420"/>
        <w:jc w:val="both"/>
      </w:pPr>
      <w:r>
        <w:rPr>
          <w:sz w:val="21"/>
        </w:rPr>
        <w:t xml:space="preserve">2.3 </w:t>
      </w:r>
      <w:r>
        <w:rPr>
          <w:sz w:val="21"/>
        </w:rPr>
        <w:t>甲方及其工作人员不得要求或者接受乙方为其住房装修、婚丧嫁娶活动、配偶子女的工作安排以及出国出境、旅游等提供方便等。</w:t>
      </w:r>
    </w:p>
    <w:p>
      <w:pPr>
        <w:ind w:firstLine="420"/>
        <w:jc w:val="both"/>
      </w:pPr>
      <w:r>
        <w:rPr>
          <w:sz w:val="21"/>
        </w:rPr>
        <w:t xml:space="preserve">2.4 </w:t>
      </w:r>
      <w:r>
        <w:rPr>
          <w:sz w:val="21"/>
        </w:rPr>
        <w:t>甲方及其工作人员及其配偶、子女不得从事与甲方有关的采购活动。</w:t>
      </w:r>
    </w:p>
    <w:p>
      <w:pPr>
        <w:ind w:firstLine="420"/>
        <w:jc w:val="both"/>
      </w:pPr>
      <w:r>
        <w:rPr>
          <w:sz w:val="21"/>
        </w:rPr>
        <w:t xml:space="preserve">2.5 </w:t>
      </w:r>
      <w:r>
        <w:rPr>
          <w:sz w:val="21"/>
        </w:rPr>
        <w:t>甲方及其工作人员不得以任何理由向乙方推荐或指定相关货物供应商，不得要求乙方购买合同约定外的其他货物。</w:t>
      </w:r>
    </w:p>
    <w:p>
      <w:pPr>
        <w:ind w:firstLine="420"/>
        <w:jc w:val="both"/>
      </w:pPr>
      <w:r>
        <w:rPr>
          <w:sz w:val="21"/>
        </w:rPr>
        <w:t xml:space="preserve">2.6 </w:t>
      </w:r>
      <w:r>
        <w:rPr>
          <w:sz w:val="21"/>
        </w:rPr>
        <w:t>甲方及其工作人员要秉公办事，不准营私舞弊，不准利用职权从事各种个人有偿中介活动和指定供应商。</w:t>
      </w:r>
    </w:p>
    <w:p>
      <w:pPr>
        <w:ind w:firstLine="422"/>
        <w:jc w:val="both"/>
      </w:pPr>
      <w:r>
        <w:rPr>
          <w:b/>
          <w:sz w:val="21"/>
        </w:rPr>
        <w:t xml:space="preserve">3 </w:t>
      </w:r>
      <w:r>
        <w:rPr>
          <w:b/>
          <w:sz w:val="21"/>
        </w:rPr>
        <w:t>乙方义务</w:t>
      </w:r>
    </w:p>
    <w:p>
      <w:pPr>
        <w:ind w:firstLine="420"/>
        <w:jc w:val="both"/>
      </w:pPr>
      <w:r>
        <w:rPr>
          <w:sz w:val="21"/>
        </w:rPr>
        <w:t xml:space="preserve">3.1 </w:t>
      </w:r>
      <w:r>
        <w:rPr>
          <w:sz w:val="21"/>
        </w:rPr>
        <w:t>乙方不得以任何理由向甲方及其工作人员行贿或馈赠礼金、有价证券、贵重礼品。</w:t>
      </w:r>
    </w:p>
    <w:p>
      <w:pPr>
        <w:ind w:firstLine="420"/>
        <w:jc w:val="both"/>
      </w:pPr>
      <w:r>
        <w:rPr>
          <w:sz w:val="21"/>
        </w:rPr>
        <w:t xml:space="preserve">3.2  </w:t>
      </w:r>
      <w:r>
        <w:rPr>
          <w:sz w:val="21"/>
        </w:rPr>
        <w:t>乙方不得以任何名义为甲方及其工作人员报销应由甲方或工作人员个人支付的任何费用。</w:t>
      </w:r>
    </w:p>
    <w:p>
      <w:pPr>
        <w:ind w:firstLine="420"/>
        <w:jc w:val="both"/>
      </w:pPr>
      <w:r>
        <w:rPr>
          <w:sz w:val="21"/>
        </w:rPr>
        <w:t xml:space="preserve">3.3 </w:t>
      </w:r>
      <w:r>
        <w:rPr>
          <w:sz w:val="21"/>
        </w:rPr>
        <w:t>乙方不得以任何理由安排甲方及其工作人员参加宴请（工作餐除外）及娱乐活动。</w:t>
      </w:r>
    </w:p>
    <w:p>
      <w:pPr>
        <w:ind w:firstLine="420"/>
        <w:jc w:val="both"/>
      </w:pPr>
      <w:r>
        <w:rPr>
          <w:sz w:val="21"/>
        </w:rPr>
        <w:t xml:space="preserve">3.4 </w:t>
      </w:r>
      <w:r>
        <w:rPr>
          <w:sz w:val="21"/>
        </w:rPr>
        <w:t>乙方不得为甲方和个人购置或提供通讯工具、交通工具和高档办公用品等。</w:t>
      </w:r>
    </w:p>
    <w:p>
      <w:pPr>
        <w:ind w:firstLine="422"/>
        <w:jc w:val="both"/>
      </w:pPr>
      <w:r>
        <w:rPr>
          <w:b/>
          <w:sz w:val="21"/>
        </w:rPr>
        <w:t xml:space="preserve">4 </w:t>
      </w:r>
      <w:r>
        <w:rPr>
          <w:b/>
          <w:sz w:val="21"/>
        </w:rPr>
        <w:t>违约责任</w:t>
      </w:r>
    </w:p>
    <w:p>
      <w:pPr>
        <w:ind w:firstLine="420"/>
        <w:jc w:val="both"/>
      </w:pPr>
      <w:r>
        <w:rPr>
          <w:sz w:val="21"/>
        </w:rPr>
        <w:t xml:space="preserve">4.1 </w:t>
      </w:r>
      <w:r>
        <w:rPr>
          <w:sz w:val="21"/>
        </w:rPr>
        <w:t>甲方及其工作人员违反本合同第</w:t>
      </w:r>
      <w:r>
        <w:rPr>
          <w:sz w:val="21"/>
        </w:rPr>
        <w:t>1</w:t>
      </w:r>
      <w:r>
        <w:rPr>
          <w:sz w:val="21"/>
        </w:rPr>
        <w:t>条和第</w:t>
      </w:r>
      <w:r>
        <w:rPr>
          <w:sz w:val="21"/>
        </w:rPr>
        <w:t>2</w:t>
      </w:r>
      <w:r>
        <w:rPr>
          <w:sz w:val="21"/>
        </w:rPr>
        <w:t>条规定，应依据有关规定给予廉政建设规定的处分；涉嫌犯罪的，移交司法机关追究刑事责任；给乙方造成经济损失的，应予赔偿。</w:t>
      </w:r>
    </w:p>
    <w:p>
      <w:pPr>
        <w:ind w:firstLine="420"/>
        <w:jc w:val="both"/>
      </w:pPr>
      <w:r>
        <w:rPr>
          <w:sz w:val="21"/>
        </w:rPr>
        <w:t xml:space="preserve">4.2 </w:t>
      </w:r>
      <w:r>
        <w:rPr>
          <w:sz w:val="21"/>
        </w:rPr>
        <w:t>乙方及其工作人员违反本合同第</w:t>
      </w:r>
      <w:r>
        <w:rPr>
          <w:sz w:val="21"/>
        </w:rPr>
        <w:t>1</w:t>
      </w:r>
      <w:r>
        <w:rPr>
          <w:sz w:val="21"/>
        </w:rPr>
        <w:t>条和第</w:t>
      </w:r>
      <w:r>
        <w:rPr>
          <w:sz w:val="21"/>
        </w:rPr>
        <w:t>3</w:t>
      </w:r>
      <w:r>
        <w:rPr>
          <w:sz w:val="21"/>
        </w:rPr>
        <w:t>条规定，应依据有关规定给予廉政建设规定的处分；给甲方造成经济损失的，应予赔偿。</w:t>
      </w:r>
    </w:p>
    <w:p>
      <w:pPr>
        <w:ind w:firstLine="422"/>
        <w:jc w:val="both"/>
      </w:pPr>
      <w:r>
        <w:rPr>
          <w:b/>
          <w:sz w:val="21"/>
        </w:rPr>
        <w:t xml:space="preserve">5 </w:t>
      </w:r>
      <w:r>
        <w:rPr>
          <w:b/>
          <w:sz w:val="21"/>
        </w:rPr>
        <w:t>双方约定</w:t>
      </w:r>
    </w:p>
    <w:p>
      <w:pPr>
        <w:ind w:firstLine="420"/>
        <w:jc w:val="both"/>
      </w:pPr>
      <w:r>
        <w:rPr>
          <w:sz w:val="21"/>
        </w:rPr>
        <w:t>本合同由双方或其上级部门负责监督执行，并由双方或其上级部门相互约请对本合同执行情况进行检查。</w:t>
      </w:r>
    </w:p>
    <w:p>
      <w:pPr>
        <w:ind w:firstLine="422"/>
        <w:jc w:val="both"/>
      </w:pPr>
      <w:r>
        <w:rPr>
          <w:b/>
          <w:sz w:val="21"/>
        </w:rPr>
        <w:t xml:space="preserve">6 </w:t>
      </w:r>
      <w:r>
        <w:rPr>
          <w:b/>
          <w:sz w:val="21"/>
        </w:rPr>
        <w:t>合同生效</w:t>
      </w:r>
    </w:p>
    <w:p>
      <w:pPr>
        <w:ind w:firstLine="420"/>
        <w:jc w:val="both"/>
      </w:pPr>
      <w:r>
        <w:rPr>
          <w:sz w:val="21"/>
        </w:rPr>
        <w:t>本合同的有效期，自双方签署之日起至采购项目结束之日止。</w:t>
      </w:r>
    </w:p>
    <w:p>
      <w:pPr>
        <w:ind w:firstLine="422"/>
        <w:jc w:val="both"/>
      </w:pPr>
      <w:r>
        <w:rPr>
          <w:b/>
          <w:sz w:val="21"/>
        </w:rPr>
        <w:t xml:space="preserve">7 </w:t>
      </w:r>
      <w:r>
        <w:rPr>
          <w:b/>
          <w:sz w:val="21"/>
        </w:rPr>
        <w:t>合同法律效力</w:t>
      </w:r>
    </w:p>
    <w:p>
      <w:pPr>
        <w:ind w:firstLine="420"/>
        <w:jc w:val="both"/>
      </w:pPr>
      <w:r>
        <w:rPr>
          <w:sz w:val="21"/>
        </w:rPr>
        <w:t>本合同作为</w:t>
      </w:r>
      <w:r>
        <w:rPr>
          <w:sz w:val="21"/>
          <w:u w:val="single"/>
        </w:rPr>
        <w:t xml:space="preserve">              </w:t>
      </w:r>
      <w:r>
        <w:rPr>
          <w:sz w:val="21"/>
        </w:rPr>
        <w:t>合同的附件，与采购合同具有同等的法律效力，经双方签署后生效。</w:t>
      </w:r>
    </w:p>
    <w:p>
      <w:pPr>
        <w:ind w:firstLine="422"/>
        <w:jc w:val="both"/>
      </w:pPr>
      <w:r>
        <w:rPr>
          <w:b/>
          <w:sz w:val="21"/>
        </w:rPr>
        <w:t xml:space="preserve">8 </w:t>
      </w:r>
      <w:r>
        <w:rPr>
          <w:b/>
          <w:sz w:val="21"/>
        </w:rPr>
        <w:t>合同份数</w:t>
      </w:r>
    </w:p>
    <w:p>
      <w:pPr>
        <w:ind w:firstLine="420"/>
        <w:jc w:val="both"/>
      </w:pPr>
      <w:r>
        <w:rPr>
          <w:sz w:val="21"/>
        </w:rPr>
        <w:t>本合同一式</w:t>
      </w:r>
      <w:r>
        <w:rPr>
          <w:sz w:val="21"/>
          <w:u w:val="single"/>
        </w:rPr>
        <w:t>陆</w:t>
      </w:r>
      <w:r>
        <w:rPr>
          <w:sz w:val="21"/>
        </w:rPr>
        <w:t>份，甲方</w:t>
      </w:r>
      <w:r>
        <w:rPr>
          <w:sz w:val="21"/>
          <w:u w:val="single"/>
        </w:rPr>
        <w:t>肆</w:t>
      </w:r>
      <w:r>
        <w:rPr>
          <w:sz w:val="21"/>
        </w:rPr>
        <w:t>份，乙方</w:t>
      </w:r>
      <w:r>
        <w:rPr>
          <w:sz w:val="21"/>
          <w:u w:val="single"/>
        </w:rPr>
        <w:t>贰</w:t>
      </w:r>
      <w:r>
        <w:rPr>
          <w:sz w:val="21"/>
        </w:rPr>
        <w:t>份，</w:t>
      </w:r>
      <w:r>
        <w:rPr>
          <w:sz w:val="21"/>
        </w:rPr>
        <w:t>具有同等法律效力</w:t>
      </w:r>
      <w:r>
        <w:rPr>
          <w:sz w:val="21"/>
        </w:rPr>
        <w:t>。</w:t>
      </w:r>
    </w:p>
    <w:p>
      <w:pPr>
        <w:jc w:val="both"/>
      </w:pPr>
      <w:r>
        <w:rPr>
          <w:sz w:val="21"/>
        </w:rPr>
        <w:t xml:space="preserve"> </w:t>
      </w:r>
    </w:p>
    <w:p>
      <w:pPr>
        <w:jc w:val="both"/>
      </w:pPr>
      <w:r>
        <w:rPr>
          <w:b/>
          <w:sz w:val="21"/>
        </w:rPr>
        <w:t>甲方（盖章）：广东省广播电视        乙方（盖章）：</w:t>
      </w:r>
    </w:p>
    <w:p>
      <w:pPr>
        <w:jc w:val="both"/>
      </w:pPr>
      <w:r>
        <w:rPr>
          <w:b/>
          <w:sz w:val="21"/>
        </w:rPr>
        <w:t xml:space="preserve">技术中心                              </w:t>
      </w:r>
    </w:p>
    <w:p>
      <w:pPr>
        <w:jc w:val="both"/>
      </w:pPr>
    </w:p>
    <w:p>
      <w:pPr>
        <w:jc w:val="both"/>
      </w:pPr>
      <w:r>
        <w:rPr>
          <w:b/>
          <w:sz w:val="21"/>
        </w:rPr>
        <w:t>代表：                               代表：</w:t>
      </w:r>
    </w:p>
    <w:p>
      <w:pPr>
        <w:jc w:val="both"/>
      </w:pPr>
    </w:p>
    <w:p>
      <w:pPr>
        <w:jc w:val="both"/>
      </w:pPr>
      <w:r>
        <w:rPr>
          <w:sz w:val="21"/>
        </w:rPr>
        <w:t>签定日期：　　　年　　月　　日            签定日期：　　　年　　月　　日</w:t>
      </w:r>
    </w:p>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440001-2024-03417</w:t>
      </w:r>
    </w:p>
    <w:p>
      <w:pPr>
        <w:jc w:val="center"/>
      </w:pPr>
      <w:r>
        <w:rPr>
          <w:b/>
          <w:sz w:val="24"/>
        </w:rPr>
        <w:t>采购项目编号：</w:t>
      </w:r>
      <w:r>
        <w:rPr>
          <w:b/>
          <w:sz w:val="24"/>
        </w:rPr>
        <w:t>GPCGD233185HG178F</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广东省政府采购中心</w:t>
      </w:r>
    </w:p>
    <w:p>
      <w:pPr>
        <w:ind w:firstLine="480"/>
      </w:pPr>
      <w:r>
        <w:rPr/>
        <w:t>你方组织的</w:t>
      </w:r>
      <w:r>
        <w:rPr>
          <w:u w:val="single"/>
        </w:rPr>
        <w:t>“</w:t>
      </w:r>
      <w:r>
        <w:rPr>
          <w:u w:val="single"/>
        </w:rPr>
        <w:t>越秀山电视塔低压配电系统改造项目（二次）</w:t>
      </w:r>
      <w:r>
        <w:rPr>
          <w:u w:val="single"/>
        </w:rPr>
        <w:t>”</w:t>
      </w:r>
      <w:r>
        <w:rPr/>
        <w:t>项目的招标[采购项目编号为：</w:t>
      </w:r>
      <w:r>
        <w:rPr>
          <w:u w:val="single"/>
        </w:rPr>
        <w:t>GPCGD233185HG178F</w:t>
      </w:r>
      <w:r>
        <w:rPr/>
        <w:t>]，我方愿参与投标。</w:t>
      </w:r>
    </w:p>
    <w:p>
      <w:pPr>
        <w:ind w:firstLine="480"/>
      </w:pPr>
      <w:r>
        <w:rPr/>
        <w:t>我方确认收到贵方提供的</w:t>
      </w:r>
      <w:r>
        <w:rPr>
          <w:u w:val="single"/>
        </w:rPr>
        <w:t>“</w:t>
      </w:r>
      <w:r>
        <w:rPr>
          <w:u w:val="single"/>
        </w:rPr>
        <w:t>越秀山电视塔低压配电系统改造项目（二次）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广东省政府采购中心</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越秀山电视塔低压配电系统改造项目（二次）</w:t>
      </w:r>
      <w:r>
        <w:rPr/>
        <w:t>”项目采购[采购项目编号为</w:t>
      </w:r>
      <w:r>
        <w:rPr/>
        <w:t>GPCGD233185HG178F</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广东省广播电视技术中心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广东省政府采购中心</w:t>
      </w:r>
    </w:p>
    <w:p>
      <w:pPr>
        <w:ind w:firstLine="480"/>
      </w:pPr>
      <w:r>
        <w:rPr/>
        <w:t>如果我方在贵采购代理机构组织的</w:t>
      </w:r>
      <w:r>
        <w:rPr/>
        <w:t>越秀山电视塔低压配电系统改造项目（二次）</w:t>
      </w:r>
      <w:r>
        <w:rPr/>
        <w:t>招标中获中标（采购项目编号：</w:t>
      </w:r>
      <w:r>
        <w:rPr/>
        <w:t>GPCGD233185HG178F</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广东省政府采购中心</w:t>
      </w:r>
    </w:p>
    <w:p>
      <w:pPr>
        <w:ind w:firstLine="480"/>
      </w:pPr>
      <w:r>
        <w:rPr/>
        <w:t>我单位已登记并准备参与“</w:t>
      </w:r>
      <w:r>
        <w:rPr/>
        <w:t>越秀山电视塔低压配电系统改造项目（二次）</w:t>
      </w:r>
      <w:r>
        <w:rPr/>
        <w:t>”项目（采购项目编号：</w:t>
      </w:r>
      <w:r>
        <w:rPr/>
        <w:t>GPCGD233185HG178F</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 Id="rId7" Target="media/image2.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