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440001-2023-26149</w:t>
      </w:r>
    </w:p>
    <w:p>
      <w:pPr>
        <w:jc w:val="center"/>
      </w:pPr>
      <w:r>
        <w:rPr>
          <w:b/>
          <w:sz w:val="24"/>
        </w:rPr>
        <w:t>采购项目编号：</w:t>
      </w:r>
      <w:r>
        <w:rPr>
          <w:b/>
          <w:sz w:val="24"/>
        </w:rPr>
        <w:t>GPCGD231156HG169J</w:t>
      </w:r>
    </w:p>
    <w:p>
      <w:pPr>
        <w:jc w:val="center"/>
      </w:pPr>
      <w:r>
        <w:rPr>
          <w:b/>
          <w:sz w:val="24"/>
        </w:rPr>
        <w:t>项目名称：</w:t>
      </w:r>
      <w:r>
        <w:rPr>
          <w:b/>
          <w:sz w:val="24"/>
        </w:rPr>
        <w:t>广东机电职业技术学院综合实训楼S1智慧教室建设项目</w:t>
      </w:r>
    </w:p>
    <w:p>
      <w:pPr>
        <w:jc w:val="center"/>
      </w:pPr>
      <w:r>
        <w:rPr>
          <w:b/>
          <w:sz w:val="24"/>
        </w:rPr>
        <w:t>采购人：</w:t>
      </w:r>
      <w:r>
        <w:rPr>
          <w:b/>
          <w:sz w:val="24"/>
        </w:rPr>
        <w:t>广东机电职业技术学院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广东机电职业技术学院</w:t>
      </w:r>
      <w:r>
        <w:rPr/>
        <w:t>的委托，采用</w:t>
      </w:r>
      <w:r>
        <w:rPr/>
        <w:t>公开招标</w:t>
      </w:r>
      <w:r>
        <w:rPr/>
        <w:t>方式组织采购</w:t>
      </w:r>
      <w:r>
        <w:rPr/>
        <w:t>广东机电职业技术学院综合实训楼S1智慧教室建设项目</w:t>
      </w:r>
      <w:r>
        <w:rPr/>
        <w:t>。欢迎符合资格条件的国内供应商参加投标。</w:t>
      </w:r>
    </w:p>
    <w:p>
      <w:r>
        <w:rPr>
          <w:b/>
          <w:sz w:val="28"/>
        </w:rPr>
        <w:t>一.项目概述</w:t>
      </w:r>
    </w:p>
    <w:p>
      <w:r>
        <w:rPr>
          <w:b/>
          <w:sz w:val="24"/>
        </w:rPr>
        <w:t>1.名称与编号</w:t>
      </w:r>
    </w:p>
    <w:p>
      <w:pPr>
        <w:ind w:firstLine="480"/>
      </w:pPr>
      <w:r>
        <w:rPr/>
        <w:t>项目名称：</w:t>
      </w:r>
      <w:r>
        <w:rPr/>
        <w:t>广东机电职业技术学院综合实训楼S1智慧教室建设项目</w:t>
      </w:r>
    </w:p>
    <w:p>
      <w:pPr>
        <w:ind w:firstLine="480"/>
      </w:pPr>
      <w:r>
        <w:rPr/>
        <w:t>采购计划编号：</w:t>
      </w:r>
      <w:r>
        <w:rPr/>
        <w:t>440001-2023-26149</w:t>
      </w:r>
    </w:p>
    <w:p>
      <w:pPr>
        <w:ind w:firstLine="480"/>
      </w:pPr>
      <w:r>
        <w:rPr/>
        <w:t>采购项目编号：</w:t>
      </w:r>
      <w:r>
        <w:rPr/>
        <w:t>GPCGD231156HG169J</w:t>
      </w:r>
    </w:p>
    <w:p>
      <w:pPr>
        <w:ind w:firstLine="480"/>
      </w:pPr>
      <w:r>
        <w:rPr/>
        <w:t>采购方式：</w:t>
      </w:r>
      <w:r>
        <w:rPr/>
        <w:t>公开招标</w:t>
      </w:r>
    </w:p>
    <w:p>
      <w:pPr>
        <w:ind w:firstLine="480"/>
      </w:pPr>
      <w:r>
        <w:rPr/>
        <w:t>预算金额：</w:t>
      </w:r>
      <w:r>
        <w:rPr/>
        <w:t>6,310,000.00</w:t>
      </w:r>
      <w:r>
        <w:rPr/>
        <w:t>元</w:t>
      </w:r>
    </w:p>
    <w:p>
      <w:r>
        <w:rPr>
          <w:b/>
          <w:sz w:val="24"/>
        </w:rPr>
        <w:t>2.项目内容及需求情况（采购项目技术规格、参数及要求）</w:t>
      </w:r>
    </w:p>
    <w:p>
      <w:pPr>
        <w:ind w:firstLine="480"/>
      </w:pPr>
    </w:p>
    <w:p/>
    <w:p>
      <w:r>
        <w:rPr/>
        <w:t>采购包1(广东机电职业技术学院综合实训楼S1智慧教室建设项目):</w:t>
      </w:r>
    </w:p>
    <w:p>
      <w:r>
        <w:rPr/>
        <w:t>采购包预算金额：6,310,000.00元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教学仪器</w:t>
            </w:r>
          </w:p>
        </w:tc>
        <w:tc>
          <w:tcPr>
            <w:tcW w:type="dxa" w:w="2052"/>
          </w:tcPr>
          <w:p>
            <w:r>
              <w:rPr/>
              <w:t>86英寸交互智能平板</w:t>
            </w:r>
          </w:p>
        </w:tc>
        <w:tc>
          <w:tcPr>
            <w:tcW w:type="dxa" w:w="977"/>
          </w:tcPr>
          <w:p>
            <w:r>
              <w:rPr/>
              <w:t>39(台)</w:t>
            </w:r>
          </w:p>
        </w:tc>
        <w:tc>
          <w:tcPr>
            <w:tcW w:type="dxa" w:w="977"/>
          </w:tcPr>
          <w:p>
            <w:r>
              <w:rPr/>
              <w:t>详见第二章</w:t>
            </w:r>
          </w:p>
        </w:tc>
        <w:tc>
          <w:tcPr>
            <w:tcW w:type="dxa" w:w="977"/>
          </w:tcPr>
          <w:p>
            <w:r>
              <w:rPr/>
              <w:t>655,980.00</w:t>
            </w:r>
          </w:p>
        </w:tc>
        <w:tc>
          <w:tcPr>
            <w:tcW w:type="dxa" w:w="977"/>
          </w:tcPr>
          <w:p>
            <w:r>
              <w:rPr/>
              <w:t>否</w:t>
            </w:r>
          </w:p>
        </w:tc>
      </w:tr>
      <w:tr>
        <w:tc>
          <w:tcPr>
            <w:tcW w:type="dxa" w:w="977"/>
          </w:tcPr>
          <w:p>
            <w:r>
              <w:rPr/>
              <w:t>1-2</w:t>
            </w:r>
          </w:p>
        </w:tc>
        <w:tc>
          <w:tcPr>
            <w:tcW w:type="dxa" w:w="1368"/>
          </w:tcPr>
          <w:p>
            <w:r>
              <w:rPr/>
              <w:t>教学仪器</w:t>
            </w:r>
          </w:p>
        </w:tc>
        <w:tc>
          <w:tcPr>
            <w:tcW w:type="dxa" w:w="2052"/>
          </w:tcPr>
          <w:p>
            <w:r>
              <w:rPr/>
              <w:t>智慧教学管理平台</w:t>
            </w:r>
          </w:p>
        </w:tc>
        <w:tc>
          <w:tcPr>
            <w:tcW w:type="dxa" w:w="977"/>
          </w:tcPr>
          <w:p>
            <w:r>
              <w:rPr/>
              <w:t>1(项)</w:t>
            </w:r>
          </w:p>
        </w:tc>
        <w:tc>
          <w:tcPr>
            <w:tcW w:type="dxa" w:w="977"/>
          </w:tcPr>
          <w:p>
            <w:r>
              <w:rPr/>
              <w:t>详见第二章</w:t>
            </w:r>
          </w:p>
        </w:tc>
        <w:tc>
          <w:tcPr>
            <w:tcW w:type="dxa" w:w="977"/>
          </w:tcPr>
          <w:p>
            <w:r>
              <w:rPr/>
              <w:t>227,540.00</w:t>
            </w:r>
          </w:p>
        </w:tc>
        <w:tc>
          <w:tcPr>
            <w:tcW w:type="dxa" w:w="977"/>
          </w:tcPr>
          <w:p>
            <w:r>
              <w:rPr/>
              <w:t>否</w:t>
            </w:r>
          </w:p>
        </w:tc>
      </w:tr>
      <w:tr>
        <w:tc>
          <w:tcPr>
            <w:tcW w:type="dxa" w:w="977"/>
          </w:tcPr>
          <w:p>
            <w:r>
              <w:rPr/>
              <w:t>1-3</w:t>
            </w:r>
          </w:p>
        </w:tc>
        <w:tc>
          <w:tcPr>
            <w:tcW w:type="dxa" w:w="1368"/>
          </w:tcPr>
          <w:p>
            <w:r>
              <w:rPr/>
              <w:t>教学仪器</w:t>
            </w:r>
          </w:p>
        </w:tc>
        <w:tc>
          <w:tcPr>
            <w:tcW w:type="dxa" w:w="2052"/>
          </w:tcPr>
          <w:p>
            <w:r>
              <w:rPr/>
              <w:t>其他设备</w:t>
            </w:r>
          </w:p>
        </w:tc>
        <w:tc>
          <w:tcPr>
            <w:tcW w:type="dxa" w:w="977"/>
          </w:tcPr>
          <w:p>
            <w:r>
              <w:rPr/>
              <w:t>1(批)</w:t>
            </w:r>
          </w:p>
        </w:tc>
        <w:tc>
          <w:tcPr>
            <w:tcW w:type="dxa" w:w="977"/>
          </w:tcPr>
          <w:p>
            <w:r>
              <w:rPr/>
              <w:t>详见第二章</w:t>
            </w:r>
          </w:p>
        </w:tc>
        <w:tc>
          <w:tcPr>
            <w:tcW w:type="dxa" w:w="977"/>
          </w:tcPr>
          <w:p>
            <w:r>
              <w:rPr/>
              <w:t>5,426,480.00</w:t>
            </w:r>
          </w:p>
        </w:tc>
        <w:tc>
          <w:tcPr>
            <w:tcW w:type="dxa" w:w="977"/>
          </w:tcPr>
          <w:p>
            <w:r>
              <w:rPr/>
              <w:t>否</w:t>
            </w:r>
          </w:p>
        </w:tc>
      </w:tr>
    </w:tbl>
    <w:p/>
    <w:p>
      <w:r>
        <w:rPr/>
        <w:t>本采购包不接受联合体投标</w:t>
      </w:r>
    </w:p>
    <w:p/>
    <w:p>
      <w:r>
        <w:rPr/>
        <w:t>合同履行期限：货物的交货并投入使用时间：合同签订后90个日历天内。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采购包1（广东机电职业技术学院综合实训楼S1智慧教室建设项目）：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3)本项目不接受联合体投标，不接受分包。</w:t>
      </w:r>
    </w:p>
    <w:p/>
    <w:p>
      <w:r>
        <w:rPr/>
        <w:t>4)供应商必须符合法律、行政法规规定的其他条件（可参照投标函相关承诺格式内容）。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广东机电职业技术学院</w:t>
      </w:r>
    </w:p>
    <w:p>
      <w:pPr>
        <w:ind w:firstLine="480"/>
      </w:pPr>
      <w:r>
        <w:rPr/>
        <w:t>地址：</w:t>
      </w:r>
      <w:r>
        <w:rPr/>
        <w:t>广州市白云区沙太路麒麟岗</w:t>
      </w:r>
    </w:p>
    <w:p>
      <w:pPr>
        <w:ind w:firstLine="480"/>
      </w:pPr>
      <w:r>
        <w:rPr/>
        <w:t>联系方式：</w:t>
      </w:r>
      <w:r>
        <w:rPr/>
        <w:t>13922205350</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020-83187186</w:t>
      </w:r>
    </w:p>
    <w:p>
      <w:r>
        <w:rPr>
          <w:b/>
          <w:sz w:val="24"/>
        </w:rPr>
        <w:t>3.项目联系方式</w:t>
      </w:r>
    </w:p>
    <w:p>
      <w:pPr>
        <w:ind w:firstLine="480"/>
      </w:pPr>
      <w:r>
        <w:rPr/>
        <w:t>项目联系人：</w:t>
      </w:r>
      <w:r>
        <w:rPr/>
        <w:t>李工</w:t>
      </w:r>
    </w:p>
    <w:p>
      <w:pPr>
        <w:ind w:firstLine="480"/>
      </w:pPr>
      <w:r>
        <w:rPr/>
        <w:t>电话：</w:t>
      </w:r>
      <w:r>
        <w:rPr/>
        <w:t>020-83187186</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详见用户需求书。</w:t>
      </w:r>
    </w:p>
    <w:p/>
    <w:p>
      <w:pPr>
        <w:ind w:firstLine="480"/>
      </w:pPr>
    </w:p>
    <w:p/>
    <w:p>
      <w:r>
        <w:rPr/>
        <w:t>采购包1（广东机电职业技术学院综合实训楼S1智慧教室建设项目）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合同签订后90个日历天内。</w:t>
            </w:r>
          </w:p>
        </w:tc>
      </w:tr>
      <w:tr>
        <w:tc>
          <w:tcPr>
            <w:tcW w:type="dxa" w:w="4153"/>
          </w:tcPr>
          <w:p>
            <w:r>
              <w:rPr/>
              <w:t>标的提供的地点</w:t>
            </w:r>
          </w:p>
        </w:tc>
        <w:tc>
          <w:tcPr>
            <w:tcW w:type="dxa" w:w="4153"/>
          </w:tcPr>
          <w:p/>
          <w:p>
            <w:r>
              <w:rPr/>
              <w:t>广东机电职业技术学院指定地点。</w:t>
            </w:r>
          </w:p>
        </w:tc>
      </w:tr>
      <w:tr>
        <w:tc>
          <w:tcPr>
            <w:tcW w:type="dxa" w:w="4153"/>
          </w:tcPr>
          <w:p>
            <w:r>
              <w:rPr/>
              <w:t>付款方式</w:t>
            </w:r>
          </w:p>
        </w:tc>
        <w:tc>
          <w:tcPr>
            <w:tcW w:type="dxa" w:w="4153"/>
          </w:tcPr>
          <w:p/>
          <w:p/>
          <w:p>
            <w:r>
              <w:rPr/>
              <w:t>1期：支付比例30%,一期：双方在合同签署生效后10个工作日内，采购人支付合同总金额的30%给中标人作为预付款。</w:t>
            </w:r>
          </w:p>
          <w:p/>
          <w:p>
            <w:r>
              <w:rPr/>
              <w:t>2期：支付比例40%,二期：中标人将货物全部运抵采购人指定地点后，采购人凭《到货确认单》支付合同总金额的40%给中标人。</w:t>
            </w:r>
          </w:p>
          <w:p/>
          <w:p>
            <w:r>
              <w:rPr/>
              <w:t>3期：支付比例30%,三期：货物验收合格后30个工作日内，采购人凭验收合格文件支付剩余合同款给中标人。 注：在第一次货款结算前，中标人需交纳合同总金额的5%给采购人作为履约保证金或提供对应金额的银行保函。在货物正常使用前提下，自验收合格之日起10个工作日内采购人无息返还中标人交纳的履约保证金或退还银行保函。 每次货款结算前，中标人需提供符合国家有关财税规定的等额票据。</w:t>
            </w:r>
          </w:p>
        </w:tc>
      </w:tr>
      <w:tr>
        <w:tc>
          <w:tcPr>
            <w:tcW w:type="dxa" w:w="4153"/>
          </w:tcPr>
          <w:p>
            <w:r>
              <w:rPr/>
              <w:t>验收要求</w:t>
            </w:r>
          </w:p>
        </w:tc>
        <w:tc>
          <w:tcPr>
            <w:tcW w:type="dxa" w:w="4153"/>
          </w:tcPr>
          <w:p/>
          <w:p/>
          <w:p/>
          <w:p>
            <w:r>
              <w:rPr/>
              <w:t>1期：4.4.验收： 4.4.1货物到达甲方现场后，双方就货物质量.规格和型号进行初步检验，因货物的质量问题发生争议，采购人有权要求有关部门进行检验（由广东或广州市商检部门进行质量鉴定）。货物符合质量标准的，鉴定费采购人承担；货物不符合质量标准的，鉴定费由中标人承担,并赔偿采购人的损失。 4.4.2验收按国家有关规定.规范进行。验收时如发现所交付的货物有短装、次品、损坏或其它不符合本合同规定之情形者，采购人应做出详尽的现场记录，或由双方签署备忘录。此现场记录或备忘录可用作补充缺失和更换损坏部件的有效证据，因补充缺失或更换损坏部件等产生的相关费用由中标人承担。中标人不能修理或不能调换损坏部件的，均按不能交货处理。 4.4.3对货物的硬件及软件配置标准须与国家有关政策相符合。否则，出现的一切责任都由中标人负责。 4.4.4.投标人须提供其投标货物执行的制造标准和测试验收标准。 4.4.5.交货时应提供产品质量合格证书、测试报告和主要设备材料的原产地证书。 4.4.6.提供设备制造、检验和验收的执行标准。 4.4.7.投标人应提供有关设备安装和验收的执行标准。</w:t>
            </w:r>
          </w:p>
        </w:tc>
      </w:tr>
      <w:tr>
        <w:tc>
          <w:tcPr>
            <w:tcW w:type="dxa" w:w="4153"/>
          </w:tcPr>
          <w:p>
            <w:r>
              <w:rPr/>
              <w:t>履约保证金</w:t>
            </w:r>
          </w:p>
        </w:tc>
        <w:tc>
          <w:tcPr>
            <w:tcW w:type="dxa" w:w="4153"/>
          </w:tcPr>
          <w:p/>
          <w:p/>
          <w:p/>
          <w:p/>
          <w:p>
            <w:r>
              <w:rPr/>
              <w:t>收取比例：5%,说明：在第一次货款结算前，中标人需交纳合同总金额的5%给采购人作为履约保证金或提供对应金额的银行保函。在货物正常使用前提下，自验收合格之日起10个工作日内采购人无息返还中标人交纳的履约保证金或退还银行保函。 每次货款结算前，中标人需提供符合国家有关财税规定的等额票据。</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本项目采购设备清单中的产品如有属于《节能产品政府采购品目清单》范围中政府强制采购产品类别的，投标人所投产品须获得由国家确定的认证机构出具的、处于有效期之内的节能产品认证证书。投标人应承诺在交货时提供《节能产品认证证书》复印件。投标时提供相关承诺。</w:t>
            </w:r>
          </w:p>
        </w:tc>
        <w:tc>
          <w:tcPr>
            <w:tcW w:type="dxa" w:w="2076"/>
          </w:tcPr>
          <w:p>
            <w:pPr>
              <w:jc w:val="left"/>
            </w:pPr>
            <w:r>
              <w:rPr/>
              <w:t>★本项目采购设备清单中的产品如有属于《节能产品政府采购品目清单》范围中政府强制采购产品类别的，投标人所投产品须获得由国家确定的认证机构出具的、处于有效期之内的节能产品认证证书。投标人应承诺在交货时提供《节能产品认证证书》复印件。投标时提供相关承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教学仪器</w:t>
            </w:r>
          </w:p>
        </w:tc>
        <w:tc>
          <w:tcPr>
            <w:tcW w:type="dxa" w:w="831"/>
          </w:tcPr>
          <w:p>
            <w:pPr>
              <w:jc w:val="left"/>
            </w:pPr>
            <w:r>
              <w:rPr/>
              <w:t>86英寸交互智能平板</w:t>
            </w:r>
          </w:p>
        </w:tc>
        <w:tc>
          <w:tcPr>
            <w:tcW w:type="dxa" w:w="831"/>
          </w:tcPr>
          <w:p>
            <w:pPr>
              <w:jc w:val="left"/>
            </w:pPr>
            <w:r>
              <w:rPr/>
              <w:t>台</w:t>
            </w:r>
          </w:p>
        </w:tc>
        <w:tc>
          <w:tcPr>
            <w:tcW w:type="dxa" w:w="831"/>
          </w:tcPr>
          <w:p>
            <w:pPr>
              <w:jc w:val="right"/>
            </w:pPr>
            <w:r>
              <w:rPr/>
              <w:t>39.00</w:t>
            </w:r>
          </w:p>
        </w:tc>
        <w:tc>
          <w:tcPr>
            <w:tcW w:type="dxa" w:w="831"/>
          </w:tcPr>
          <w:p>
            <w:pPr>
              <w:jc w:val="right"/>
            </w:pPr>
            <w:r>
              <w:rPr/>
              <w:t>16,820.00</w:t>
            </w:r>
          </w:p>
        </w:tc>
        <w:tc>
          <w:tcPr>
            <w:tcW w:type="dxa" w:w="831"/>
          </w:tcPr>
          <w:p>
            <w:pPr>
              <w:jc w:val="right"/>
            </w:pPr>
            <w:r>
              <w:rPr/>
              <w:t>655,980.00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教学仪器</w:t>
            </w:r>
          </w:p>
        </w:tc>
        <w:tc>
          <w:tcPr>
            <w:tcW w:type="dxa" w:w="831"/>
          </w:tcPr>
          <w:p>
            <w:pPr>
              <w:jc w:val="left"/>
            </w:pPr>
            <w:r>
              <w:rPr/>
              <w:t>智慧教学管理平台</w:t>
            </w:r>
          </w:p>
        </w:tc>
        <w:tc>
          <w:tcPr>
            <w:tcW w:type="dxa" w:w="831"/>
          </w:tcPr>
          <w:p>
            <w:pPr>
              <w:jc w:val="left"/>
            </w:pPr>
            <w:r>
              <w:rPr/>
              <w:t>项</w:t>
            </w:r>
          </w:p>
        </w:tc>
        <w:tc>
          <w:tcPr>
            <w:tcW w:type="dxa" w:w="831"/>
          </w:tcPr>
          <w:p>
            <w:pPr>
              <w:jc w:val="right"/>
            </w:pPr>
            <w:r>
              <w:rPr/>
              <w:t>1.00</w:t>
            </w:r>
          </w:p>
        </w:tc>
        <w:tc>
          <w:tcPr>
            <w:tcW w:type="dxa" w:w="831"/>
          </w:tcPr>
          <w:p>
            <w:pPr>
              <w:jc w:val="right"/>
            </w:pPr>
            <w:r>
              <w:rPr/>
              <w:t>227,540.00</w:t>
            </w:r>
          </w:p>
        </w:tc>
        <w:tc>
          <w:tcPr>
            <w:tcW w:type="dxa" w:w="831"/>
          </w:tcPr>
          <w:p>
            <w:pPr>
              <w:jc w:val="right"/>
            </w:pPr>
            <w:r>
              <w:rPr/>
              <w:t>227,540.00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其他设备</w:t>
            </w:r>
          </w:p>
        </w:tc>
        <w:tc>
          <w:tcPr>
            <w:tcW w:type="dxa" w:w="831"/>
          </w:tcPr>
          <w:p>
            <w:pPr>
              <w:jc w:val="left"/>
            </w:pPr>
            <w:r>
              <w:rPr/>
              <w:t>批</w:t>
            </w:r>
          </w:p>
        </w:tc>
        <w:tc>
          <w:tcPr>
            <w:tcW w:type="dxa" w:w="831"/>
          </w:tcPr>
          <w:p>
            <w:pPr>
              <w:jc w:val="right"/>
            </w:pPr>
            <w:r>
              <w:rPr/>
              <w:t>1.00</w:t>
            </w:r>
          </w:p>
        </w:tc>
        <w:tc>
          <w:tcPr>
            <w:tcW w:type="dxa" w:w="831"/>
          </w:tcPr>
          <w:p>
            <w:pPr>
              <w:jc w:val="right"/>
            </w:pPr>
            <w:r>
              <w:rPr/>
              <w:t>5,426,480.00</w:t>
            </w:r>
          </w:p>
        </w:tc>
        <w:tc>
          <w:tcPr>
            <w:tcW w:type="dxa" w:w="831"/>
          </w:tcPr>
          <w:p>
            <w:pPr>
              <w:jc w:val="right"/>
            </w:pPr>
            <w:r>
              <w:rPr/>
              <w:t>5,426,480.00</w:t>
            </w:r>
          </w:p>
        </w:tc>
        <w:tc>
          <w:tcPr>
            <w:tcW w:type="dxa" w:w="831"/>
          </w:tcPr>
          <w:p>
            <w:r>
              <w:rPr/>
              <w:t>工业</w:t>
            </w:r>
          </w:p>
        </w:tc>
        <w:tc>
          <w:tcPr>
            <w:tcW w:type="dxa" w:w="831"/>
          </w:tcPr>
          <w:p>
            <w:r>
              <w:rPr/>
              <w:t>详见附表三</w:t>
            </w:r>
          </w:p>
        </w:tc>
      </w:tr>
    </w:tbl>
    <w:p/>
    <w:p>
      <w:r>
        <w:rPr>
          <w:b/>
        </w:rPr>
        <w:t>附表</w:t>
      </w:r>
      <w:r>
        <w:rPr>
          <w:b/>
        </w:rPr>
        <w:t>一</w:t>
      </w:r>
      <w:r>
        <w:rPr>
          <w:b/>
        </w:rPr>
        <w:t>：</w:t>
      </w:r>
      <w:r>
        <w:rPr>
          <w:b/>
        </w:rPr>
        <w:t>86英寸交互智能平板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w:t>
            </w:r>
            <w:r>
              <w:rPr>
                <w:color w:val="000000"/>
                <w:sz w:val="21"/>
              </w:rPr>
              <w:t>10.</w:t>
            </w:r>
            <w:r>
              <w:rPr>
                <w:color w:val="000000"/>
                <w:sz w:val="21"/>
              </w:rPr>
              <w:t>整机支持蓝牙Bluetooth 5.2标准，固件版本号HCI11.20/LMP11.20。</w:t>
            </w:r>
          </w:p>
        </w:tc>
      </w:tr>
      <w:tr>
        <w:tc>
          <w:tcPr>
            <w:tcW w:type="dxa" w:w="2076"/>
          </w:tcPr>
          <w:p>
            <w:r>
              <w:rPr/>
              <w:t>▲</w:t>
            </w:r>
          </w:p>
        </w:tc>
        <w:tc>
          <w:tcPr>
            <w:tcW w:type="dxa" w:w="415"/>
          </w:tcPr>
          <w:p>
            <w:r>
              <w:rPr/>
              <w:t>2</w:t>
            </w:r>
          </w:p>
        </w:tc>
        <w:tc>
          <w:tcPr>
            <w:tcW w:type="dxa" w:w="5814"/>
          </w:tcPr>
          <w:p>
            <w:pPr>
              <w:jc w:val="both"/>
            </w:pPr>
            <w:r>
              <w:rPr>
                <w:color w:val="000000"/>
                <w:sz w:val="21"/>
              </w:rPr>
              <w:t>▲</w:t>
            </w:r>
            <w:r>
              <w:rPr>
                <w:color w:val="000000"/>
                <w:sz w:val="21"/>
              </w:rPr>
              <w:t>15.</w:t>
            </w:r>
            <w:r>
              <w:rPr>
                <w:color w:val="000000"/>
                <w:sz w:val="21"/>
              </w:rPr>
              <w:t>支持红外触控，支持Windows系统中进行40点或以上触控，安卓系统中进行 32点或以上触控。（投标时提供第三方机构出具的具有CMA或CNAS标识的第三方检测报告扫描件）</w:t>
            </w:r>
          </w:p>
        </w:tc>
      </w:tr>
      <w:tr>
        <w:tc>
          <w:tcPr>
            <w:tcW w:type="dxa" w:w="2076"/>
          </w:tcPr>
          <w:p/>
        </w:tc>
        <w:tc>
          <w:tcPr>
            <w:tcW w:type="dxa" w:w="415"/>
          </w:tcPr>
          <w:p>
            <w:r>
              <w:rPr/>
              <w:t>3</w:t>
            </w:r>
          </w:p>
        </w:tc>
        <w:tc>
          <w:tcPr>
            <w:tcW w:type="dxa" w:w="5814"/>
          </w:tcPr>
          <w:p/>
          <w:tbl>
            <w:tblGrid>
              <w:gridCol w:w="5598"/>
            </w:tblGrid>
            <w:tr>
              <w:tc>
                <w:tcPr>
                  <w:tcW w:type="dxa" w:w="5598"/>
                  <w:tcBorders>
                    <w:top w:val="none" w:color="000000" w:sz="4"/>
                    <w:left w:val="none" w:color="000000" w:sz="4"/>
                    <w:bottom w:val="single" w:color="000000" w:sz="4"/>
                    <w:right w:val="single" w:color="000000" w:sz="4"/>
                  </w:tcBorders>
                </w:tcPr>
                <w:p>
                  <w:pPr>
                    <w:jc w:val="both"/>
                  </w:pPr>
                  <w:r>
                    <w:rPr>
                      <w:color w:val="000000"/>
                      <w:sz w:val="21"/>
                    </w:rPr>
                    <w:t>一、结构设计</w:t>
                  </w:r>
                </w:p>
                <w:p>
                  <w:pPr>
                    <w:jc w:val="both"/>
                  </w:pPr>
                  <w:r>
                    <w:rPr>
                      <w:color w:val="000000"/>
                      <w:sz w:val="21"/>
                    </w:rPr>
                    <w:t>1.</w:t>
                  </w:r>
                  <w:r>
                    <w:rPr>
                      <w:color w:val="000000"/>
                      <w:sz w:val="21"/>
                    </w:rPr>
                    <w:t>整机屏幕采用86英寸UHD超高清LED 液晶屏，屏幕图像分辨率达3840*2160。显示比例16:9，具备防眩光效果。</w:t>
                  </w:r>
                </w:p>
                <w:p>
                  <w:pPr>
                    <w:jc w:val="both"/>
                  </w:pPr>
                  <w:r>
                    <w:rPr>
                      <w:color w:val="000000"/>
                      <w:sz w:val="21"/>
                    </w:rPr>
                    <w:t>2.</w:t>
                  </w:r>
                  <w:r>
                    <w:rPr>
                      <w:color w:val="000000"/>
                      <w:sz w:val="21"/>
                    </w:rPr>
                    <w:t>整机采用一体设计，外部无任何可见内部功能模块连接线。</w:t>
                  </w:r>
                </w:p>
                <w:p>
                  <w:pPr>
                    <w:jc w:val="both"/>
                  </w:pPr>
                  <w:r>
                    <w:rPr>
                      <w:color w:val="000000"/>
                      <w:sz w:val="21"/>
                    </w:rPr>
                    <w:t>3.</w:t>
                  </w:r>
                  <w:r>
                    <w:rPr>
                      <w:color w:val="000000"/>
                      <w:sz w:val="21"/>
                    </w:rPr>
                    <w:t>整机采用全金属外壳设计，边角采用弧形设计，表面无尖锐边缘或凸起。</w:t>
                  </w:r>
                </w:p>
                <w:p>
                  <w:pPr>
                    <w:jc w:val="both"/>
                  </w:pPr>
                  <w:r>
                    <w:rPr>
                      <w:color w:val="000000"/>
                      <w:sz w:val="21"/>
                    </w:rPr>
                    <w:t>4.</w:t>
                  </w:r>
                  <w:r>
                    <w:rPr>
                      <w:color w:val="000000"/>
                      <w:sz w:val="21"/>
                    </w:rPr>
                    <w:t>整机具备至少6个前置按键，实现老师开关机、调出中控菜单、音量+/-、护眼、录屏的操作。（投标时提供内容的录播演示）5.设备支持通过前置物理按键一键启动录屏功能，可将屏幕中显示的课件、音频内容与老师人声同时录制。</w:t>
                  </w:r>
                </w:p>
                <w:p>
                  <w:pPr>
                    <w:jc w:val="both"/>
                  </w:pPr>
                  <w:r>
                    <w:rPr>
                      <w:color w:val="000000"/>
                      <w:sz w:val="21"/>
                    </w:rPr>
                    <w:t>6.</w:t>
                  </w:r>
                  <w:r>
                    <w:rPr>
                      <w:color w:val="000000"/>
                      <w:sz w:val="21"/>
                    </w:rPr>
                    <w:t>整机内置非独立摄像头，拍摄照片像素数≥1300万。整机内置摄像头（非外扩），PC通道下支持通过视频展台软件调用摄像头进行二维码扫码识别。</w:t>
                  </w:r>
                </w:p>
                <w:p>
                  <w:pPr>
                    <w:jc w:val="both"/>
                  </w:pPr>
                  <w:r>
                    <w:rPr>
                      <w:color w:val="000000"/>
                      <w:sz w:val="21"/>
                    </w:rPr>
                    <w:t>7.</w:t>
                  </w:r>
                  <w:r>
                    <w:rPr>
                      <w:color w:val="000000"/>
                      <w:sz w:val="21"/>
                    </w:rPr>
                    <w:t>整机内置非独立外扩展的4阵列麦克风，可用于对教室环境音频进行采集，拾音距离≥12m。</w:t>
                  </w:r>
                </w:p>
                <w:p>
                  <w:pPr>
                    <w:jc w:val="both"/>
                  </w:pPr>
                  <w:r>
                    <w:rPr>
                      <w:color w:val="000000"/>
                      <w:sz w:val="21"/>
                    </w:rPr>
                    <w:t>8.</w:t>
                  </w:r>
                  <w:r>
                    <w:rPr>
                      <w:color w:val="000000"/>
                      <w:sz w:val="21"/>
                    </w:rPr>
                    <w:t>整机扬声器在100%音量下，可做到1米处声压级≥88db，10米处声压级≥73dB</w:t>
                  </w:r>
                </w:p>
                <w:p>
                  <w:pPr>
                    <w:jc w:val="both"/>
                  </w:pPr>
                  <w:r>
                    <w:rPr>
                      <w:color w:val="000000"/>
                      <w:sz w:val="21"/>
                    </w:rPr>
                    <w:t>9.</w:t>
                  </w:r>
                  <w:r>
                    <w:rPr>
                      <w:color w:val="000000"/>
                      <w:sz w:val="21"/>
                    </w:rPr>
                    <w:t>整机支持通过人脸识别进行解锁设备以及人脸识别进行登录账号。</w:t>
                  </w:r>
                </w:p>
                <w:p>
                  <w:pPr>
                    <w:jc w:val="both"/>
                  </w:pPr>
                  <w:r>
                    <w:rPr>
                      <w:color w:val="000000"/>
                      <w:sz w:val="21"/>
                    </w:rPr>
                    <w:t>▲</w:t>
                  </w:r>
                  <w:r>
                    <w:rPr>
                      <w:color w:val="000000"/>
                      <w:sz w:val="21"/>
                    </w:rPr>
                    <w:t>10.</w:t>
                  </w:r>
                  <w:r>
                    <w:rPr>
                      <w:color w:val="000000"/>
                      <w:sz w:val="21"/>
                    </w:rPr>
                    <w:t>整机支持蓝牙Bluetooth 5.2标准，固件版本号HCI11.20/LMP11.20。</w:t>
                  </w:r>
                </w:p>
                <w:p>
                  <w:pPr>
                    <w:jc w:val="both"/>
                  </w:pPr>
                  <w:r>
                    <w:rPr>
                      <w:color w:val="000000"/>
                      <w:sz w:val="21"/>
                    </w:rPr>
                    <w:t>11.Wi-Fi</w:t>
                  </w:r>
                  <w:r>
                    <w:rPr>
                      <w:color w:val="000000"/>
                      <w:sz w:val="21"/>
                    </w:rPr>
                    <w:t>及AP热点支持频段2.4GHz/5GHz， Wi-Fi制式支持IEEE 802.11 a/b/g/n/ac/ax；支持版本Wi-Fi6。</w:t>
                  </w:r>
                </w:p>
                <w:p>
                  <w:pPr>
                    <w:jc w:val="both"/>
                  </w:pPr>
                  <w:r>
                    <w:rPr>
                      <w:color w:val="000000"/>
                      <w:sz w:val="21"/>
                    </w:rPr>
                    <w:t>12.</w:t>
                  </w:r>
                  <w:r>
                    <w:rPr>
                      <w:color w:val="000000"/>
                      <w:sz w:val="21"/>
                    </w:rPr>
                    <w:t>整机支持主动发现蓝牙外设从而连接（无需整机进入发现模式），支持连接外部蓝牙音箱播放音频。</w:t>
                  </w:r>
                </w:p>
                <w:p>
                  <w:pPr>
                    <w:jc w:val="both"/>
                  </w:pPr>
                  <w:r>
                    <w:rPr>
                      <w:color w:val="000000"/>
                      <w:sz w:val="21"/>
                    </w:rPr>
                    <w:t>13.</w:t>
                  </w:r>
                  <w:r>
                    <w:rPr>
                      <w:color w:val="000000"/>
                      <w:sz w:val="21"/>
                    </w:rPr>
                    <w:t>整机无需外接无线网卡，在Windows系统下接入无线网络，切换到嵌入式Android系统下可直接实现无线上网功能，不需手动重复设置。部署单根网线可实现Android、Windows双系统有线网络连通。</w:t>
                  </w:r>
                </w:p>
                <w:p>
                  <w:pPr>
                    <w:jc w:val="both"/>
                  </w:pPr>
                  <w:r>
                    <w:rPr>
                      <w:color w:val="000000"/>
                      <w:sz w:val="21"/>
                    </w:rPr>
                    <w:t>14.</w:t>
                  </w:r>
                  <w:r>
                    <w:rPr>
                      <w:color w:val="000000"/>
                      <w:sz w:val="21"/>
                    </w:rPr>
                    <w:t>外接电脑设备经双头Type-C线连接至整机，可调用整机内置的摄像头、麦克风、扬声器，在外接电脑即可控制整机拍摄教室画面。</w:t>
                  </w:r>
                </w:p>
                <w:p>
                  <w:pPr>
                    <w:jc w:val="both"/>
                  </w:pPr>
                  <w:r>
                    <w:rPr>
                      <w:color w:val="000000"/>
                      <w:sz w:val="21"/>
                    </w:rPr>
                    <w:t>二、触摸系统</w:t>
                  </w:r>
                </w:p>
                <w:p>
                  <w:pPr>
                    <w:jc w:val="both"/>
                  </w:pPr>
                  <w:r>
                    <w:rPr>
                      <w:color w:val="000000"/>
                      <w:sz w:val="21"/>
                    </w:rPr>
                    <w:t>▲</w:t>
                  </w:r>
                  <w:r>
                    <w:rPr>
                      <w:color w:val="000000"/>
                      <w:sz w:val="21"/>
                    </w:rPr>
                    <w:t>15.</w:t>
                  </w:r>
                  <w:r>
                    <w:rPr>
                      <w:color w:val="000000"/>
                      <w:sz w:val="21"/>
                    </w:rPr>
                    <w:t>支持红外触控，支持Windows系统中进行40点或以上触控，安卓系统中进行 32点或以上触控。（投标时提供第三方机构出具的具有CMA或CNAS标识的第三方检测报告扫描件）</w:t>
                  </w:r>
                </w:p>
                <w:p>
                  <w:pPr>
                    <w:jc w:val="both"/>
                  </w:pPr>
                  <w:r>
                    <w:rPr>
                      <w:color w:val="000000"/>
                      <w:sz w:val="21"/>
                    </w:rPr>
                    <w:t>16.</w:t>
                  </w:r>
                  <w:r>
                    <w:rPr>
                      <w:color w:val="000000"/>
                      <w:sz w:val="21"/>
                    </w:rPr>
                    <w:t>整机屏幕触摸有效识别高度不超过3.5mm,，即触摸物体距离玻璃外表面高度不超过3.5mm时，触摸屏识别为点击操作。</w:t>
                  </w:r>
                </w:p>
                <w:p>
                  <w:pPr>
                    <w:jc w:val="both"/>
                  </w:pPr>
                  <w:r>
                    <w:rPr>
                      <w:color w:val="000000"/>
                      <w:sz w:val="21"/>
                    </w:rPr>
                    <w:t>17.</w:t>
                  </w:r>
                  <w:r>
                    <w:rPr>
                      <w:color w:val="000000"/>
                      <w:sz w:val="21"/>
                    </w:rPr>
                    <w:t>触摸屏具有防遮挡功能，触摸接收器在单点或多点遮挡后仍能正常书写。</w:t>
                  </w:r>
                </w:p>
                <w:p>
                  <w:pPr>
                    <w:jc w:val="both"/>
                  </w:pPr>
                  <w:r>
                    <w:rPr>
                      <w:color w:val="000000"/>
                      <w:sz w:val="21"/>
                    </w:rPr>
                    <w:t>18.WindowsXP</w:t>
                  </w:r>
                  <w:r>
                    <w:rPr>
                      <w:color w:val="000000"/>
                      <w:sz w:val="21"/>
                    </w:rPr>
                    <w:t>、Windows7、Windows8、Windows8.1、Windows 10、Linux、MacOs系统外置电脑操作系统接入时，无需安装触摸框驱动。</w:t>
                  </w:r>
                </w:p>
                <w:p>
                  <w:pPr>
                    <w:jc w:val="both"/>
                  </w:pPr>
                  <w:r>
                    <w:rPr>
                      <w:color w:val="000000"/>
                      <w:sz w:val="21"/>
                    </w:rPr>
                    <w:t>19.</w:t>
                  </w:r>
                  <w:r>
                    <w:rPr>
                      <w:color w:val="000000"/>
                      <w:sz w:val="21"/>
                    </w:rPr>
                    <w:t>支持同一支红外笔笔头、笔尾书写不同的颜色，且颜色可自定义。</w:t>
                  </w:r>
                </w:p>
                <w:p>
                  <w:pPr>
                    <w:jc w:val="both"/>
                  </w:pPr>
                  <w:r>
                    <w:rPr>
                      <w:color w:val="000000"/>
                      <w:sz w:val="21"/>
                    </w:rPr>
                    <w:t>20.</w:t>
                  </w:r>
                  <w:r>
                    <w:rPr>
                      <w:color w:val="000000"/>
                      <w:sz w:val="21"/>
                    </w:rPr>
                    <w:t>外接电脑设备连接整机且触摸信号连通时，外接电脑设备可直接读取整机前置USB接口的移动存储设备数据，连接整机前置USB接口的翻页笔和无线键鼠可直接使用于外接电脑。</w:t>
                  </w:r>
                </w:p>
                <w:p>
                  <w:pPr>
                    <w:jc w:val="both"/>
                  </w:pPr>
                  <w:r>
                    <w:rPr>
                      <w:color w:val="000000"/>
                      <w:sz w:val="21"/>
                    </w:rPr>
                    <w:t>三、嵌入式系统</w:t>
                  </w:r>
                </w:p>
                <w:p>
                  <w:pPr>
                    <w:jc w:val="both"/>
                  </w:pPr>
                  <w:r>
                    <w:rPr>
                      <w:color w:val="000000"/>
                      <w:sz w:val="21"/>
                    </w:rPr>
                    <w:t>21.</w:t>
                  </w:r>
                  <w:r>
                    <w:rPr>
                      <w:color w:val="000000"/>
                      <w:sz w:val="21"/>
                    </w:rPr>
                    <w:t>嵌入式系统版本不低于Android 11，内存≥2GB，存储空间≥8GB。（提供国家广播电视产品质量监督检验中心所出具的权威检测报告复印件）</w:t>
                  </w:r>
                </w:p>
                <w:p>
                  <w:pPr>
                    <w:jc w:val="both"/>
                  </w:pPr>
                  <w:r>
                    <w:rPr>
                      <w:color w:val="000000"/>
                      <w:sz w:val="21"/>
                    </w:rPr>
                    <w:t>22.</w:t>
                  </w:r>
                  <w:r>
                    <w:rPr>
                      <w:color w:val="000000"/>
                      <w:sz w:val="21"/>
                    </w:rPr>
                    <w:t>整机全通道侧边栏快捷菜单中应用软件可以进行实时切换并打开，无需在已经开启任意应用软件全屏模式下退出当前应用再选择更换。</w:t>
                  </w:r>
                </w:p>
                <w:p>
                  <w:pPr>
                    <w:jc w:val="both"/>
                  </w:pPr>
                  <w:r>
                    <w:rPr>
                      <w:color w:val="000000"/>
                      <w:sz w:val="21"/>
                    </w:rPr>
                    <w:t>23.</w:t>
                  </w:r>
                  <w:r>
                    <w:rPr>
                      <w:color w:val="000000"/>
                      <w:sz w:val="21"/>
                    </w:rPr>
                    <w:t>整机全通道侧边栏快捷菜单中可以随时调起切换智能息屏、经典护眼模式、纸质护眼模式、自动亮度模式，并可支持快捷调节音量、亮度。（</w:t>
                  </w:r>
                  <w:r>
                    <w:rPr>
                      <w:color w:val="000000"/>
                      <w:sz w:val="21"/>
                    </w:rPr>
                    <w:t>投标时提供内容的录播演示）</w:t>
                  </w:r>
                </w:p>
                <w:p>
                  <w:pPr>
                    <w:jc w:val="both"/>
                  </w:pPr>
                  <w:r>
                    <w:rPr>
                      <w:color w:val="000000"/>
                      <w:sz w:val="21"/>
                    </w:rPr>
                    <w:t>24.</w:t>
                  </w:r>
                  <w:r>
                    <w:rPr>
                      <w:color w:val="000000"/>
                      <w:sz w:val="21"/>
                    </w:rPr>
                    <w:t>整机安卓和全部外接通道（HDMI、Type-c）下侧边栏支持通过扫描二维码加入班级，老师设置题型，学生回答后提交，教师查看正确率比例及详细讲解；支持随机抽选、实时弹幕；支持管理当前班级成员；支持导出学生报告。</w:t>
                  </w:r>
                  <w:r>
                    <w:rPr>
                      <w:color w:val="000000"/>
                      <w:sz w:val="21"/>
                    </w:rPr>
                    <w:t>（投标时提供内容的录播演示）</w:t>
                  </w:r>
                </w:p>
                <w:p>
                  <w:pPr>
                    <w:jc w:val="both"/>
                  </w:pPr>
                  <w:r>
                    <w:rPr>
                      <w:color w:val="000000"/>
                      <w:sz w:val="21"/>
                    </w:rPr>
                    <w:t>25.</w:t>
                  </w:r>
                  <w:r>
                    <w:rPr>
                      <w:color w:val="000000"/>
                      <w:sz w:val="21"/>
                    </w:rPr>
                    <w:t>整机全通道侧边栏快捷菜单中可以实时查看物联设备的连接情况，点击任意一台设备图标即可调出中控菜单进行管控。（投标时提供内容录播演示）</w:t>
                  </w:r>
                </w:p>
                <w:p>
                  <w:pPr>
                    <w:jc w:val="both"/>
                  </w:pPr>
                  <w:r>
                    <w:rPr>
                      <w:sz w:val="21"/>
                    </w:rPr>
                    <w:t>四、与本次招标总序“</w:t>
                  </w:r>
                  <w:r>
                    <w:rPr>
                      <w:sz w:val="21"/>
                    </w:rPr>
                    <w:t>91</w:t>
                  </w:r>
                  <w:r>
                    <w:rPr>
                      <w:sz w:val="21"/>
                    </w:rPr>
                    <w:t>”、设备名称“</w:t>
                  </w:r>
                  <w:r>
                    <w:rPr>
                      <w:sz w:val="21"/>
                    </w:rPr>
                    <w:t>PC</w:t>
                  </w:r>
                  <w:r>
                    <w:rPr>
                      <w:sz w:val="21"/>
                    </w:rPr>
                    <w:t>模块”配套使用，并实现：采用按压式卡扣，确保</w:t>
                  </w:r>
                  <w:r>
                    <w:rPr>
                      <w:sz w:val="21"/>
                    </w:rPr>
                    <w:t>PC</w:t>
                  </w:r>
                  <w:r>
                    <w:rPr>
                      <w:sz w:val="21"/>
                    </w:rPr>
                    <w:t>模块安装固定到位，同时无需工具就可快速拆卸电脑模块。电脑接口高度集成，降低接口损坏率，提高传输稳定性，采用≤</w:t>
                  </w:r>
                  <w:r>
                    <w:rPr>
                      <w:sz w:val="21"/>
                    </w:rPr>
                    <w:t>40pin</w:t>
                  </w:r>
                  <w:r>
                    <w:rPr>
                      <w:sz w:val="21"/>
                    </w:rPr>
                    <w:t>接口。</w:t>
                  </w:r>
                  <w:r>
                    <w:rPr>
                      <w:sz w:val="21"/>
                    </w:rPr>
                    <w:t>（投标时提供内容的录播演示）</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智慧教学管理平台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color w:val="000000"/>
                <w:sz w:val="21"/>
              </w:rPr>
              <w:t>★</w:t>
            </w:r>
            <w:r>
              <w:rPr>
                <w:color w:val="000000"/>
                <w:sz w:val="21"/>
              </w:rPr>
              <w:t>3.</w:t>
            </w:r>
            <w:r>
              <w:rPr>
                <w:color w:val="000000"/>
                <w:sz w:val="21"/>
              </w:rPr>
              <w:t>平台要求本地化部署。（响应时提供承诺函，格式见后附）</w:t>
            </w:r>
          </w:p>
        </w:tc>
      </w:tr>
      <w:tr>
        <w:tc>
          <w:tcPr>
            <w:tcW w:type="dxa" w:w="2076"/>
          </w:tcPr>
          <w:p/>
        </w:tc>
        <w:tc>
          <w:tcPr>
            <w:tcW w:type="dxa" w:w="415"/>
          </w:tcPr>
          <w:p>
            <w:r>
              <w:rPr/>
              <w:t>2</w:t>
            </w:r>
          </w:p>
        </w:tc>
        <w:tc>
          <w:tcPr>
            <w:tcW w:type="dxa" w:w="5814"/>
          </w:tcPr>
          <w:p/>
          <w:tbl>
            <w:tblGrid>
              <w:gridCol w:w="5598"/>
            </w:tblGrid>
            <w:tr>
              <w:tc>
                <w:tcPr>
                  <w:tcW w:type="dxa" w:w="5598"/>
                  <w:tcBorders>
                    <w:top w:val="none" w:color="000000" w:sz="4"/>
                    <w:left w:val="none" w:color="000000" w:sz="4"/>
                    <w:bottom w:val="single" w:color="000000" w:sz="4"/>
                    <w:right w:val="single" w:color="000000" w:sz="4"/>
                  </w:tcBorders>
                </w:tcPr>
                <w:p>
                  <w:pPr>
                    <w:jc w:val="both"/>
                  </w:pPr>
                  <w:r>
                    <w:rPr>
                      <w:b/>
                      <w:color w:val="000000"/>
                      <w:sz w:val="21"/>
                    </w:rPr>
                    <w:t>一、基础服务</w:t>
                  </w:r>
                </w:p>
                <w:p>
                  <w:pPr>
                    <w:jc w:val="both"/>
                  </w:pPr>
                  <w:r>
                    <w:rPr>
                      <w:color w:val="000000"/>
                      <w:sz w:val="21"/>
                    </w:rPr>
                    <w:t>1.</w:t>
                  </w:r>
                  <w:r>
                    <w:rPr>
                      <w:color w:val="000000"/>
                      <w:sz w:val="21"/>
                    </w:rPr>
                    <w:t>系统采用模块化的架构设计B/S架构，通过浏览器打开即可使用教师空间中的各项功能模块。</w:t>
                  </w:r>
                </w:p>
                <w:p>
                  <w:pPr>
                    <w:jc w:val="both"/>
                  </w:pPr>
                  <w:r>
                    <w:rPr>
                      <w:color w:val="000000"/>
                      <w:sz w:val="21"/>
                    </w:rPr>
                    <w:t>2.</w:t>
                  </w:r>
                  <w:r>
                    <w:rPr>
                      <w:color w:val="000000"/>
                      <w:sz w:val="21"/>
                    </w:rPr>
                    <w:t>系统语言支持中（简体中文）英文切换。</w:t>
                  </w:r>
                </w:p>
                <w:p>
                  <w:pPr>
                    <w:jc w:val="both"/>
                  </w:pPr>
                  <w:r>
                    <w:rPr>
                      <w:b/>
                      <w:color w:val="000000"/>
                      <w:sz w:val="21"/>
                    </w:rPr>
                    <w:t>★</w:t>
                  </w:r>
                  <w:r>
                    <w:rPr>
                      <w:color w:val="000000"/>
                      <w:sz w:val="21"/>
                    </w:rPr>
                    <w:t>3.</w:t>
                  </w:r>
                  <w:r>
                    <w:rPr>
                      <w:color w:val="000000"/>
                      <w:sz w:val="21"/>
                    </w:rPr>
                    <w:t>平台要求本地化部署。（响应时提供承诺函，格式见后附）</w:t>
                  </w:r>
                </w:p>
                <w:p>
                  <w:pPr>
                    <w:jc w:val="both"/>
                  </w:pPr>
                  <w:r>
                    <w:rPr>
                      <w:b/>
                      <w:color w:val="000000"/>
                      <w:sz w:val="21"/>
                    </w:rPr>
                    <w:t>二、数据对接</w:t>
                  </w:r>
                </w:p>
                <w:p>
                  <w:pPr>
                    <w:jc w:val="both"/>
                  </w:pPr>
                  <w:r>
                    <w:rPr>
                      <w:color w:val="000000"/>
                      <w:sz w:val="21"/>
                    </w:rPr>
                    <w:t>1.</w:t>
                  </w:r>
                  <w:r>
                    <w:rPr>
                      <w:color w:val="000000"/>
                      <w:sz w:val="21"/>
                    </w:rPr>
                    <w:t>实现与学校数字校园的统一身份认证、单点登陆集成。</w:t>
                  </w:r>
                </w:p>
                <w:p>
                  <w:pPr>
                    <w:jc w:val="both"/>
                  </w:pPr>
                  <w:r>
                    <w:rPr>
                      <w:color w:val="000000"/>
                      <w:sz w:val="21"/>
                    </w:rPr>
                    <w:t>2.</w:t>
                  </w:r>
                  <w:r>
                    <w:rPr>
                      <w:color w:val="000000"/>
                      <w:sz w:val="21"/>
                    </w:rPr>
                    <w:t>实现与学校综合服务门户的信息集成。</w:t>
                  </w:r>
                </w:p>
                <w:p>
                  <w:pPr>
                    <w:jc w:val="both"/>
                  </w:pPr>
                  <w:r>
                    <w:rPr>
                      <w:color w:val="000000"/>
                      <w:sz w:val="21"/>
                    </w:rPr>
                    <w:t>3.</w:t>
                  </w:r>
                  <w:r>
                    <w:rPr>
                      <w:color w:val="000000"/>
                      <w:sz w:val="21"/>
                    </w:rPr>
                    <w:t>实现与学校公共数据库的数据共享。包括但不限于课堂教学数据和统计结果数据。</w:t>
                  </w:r>
                </w:p>
                <w:p>
                  <w:pPr>
                    <w:jc w:val="both"/>
                  </w:pPr>
                  <w:r>
                    <w:rPr>
                      <w:color w:val="000000"/>
                      <w:sz w:val="21"/>
                    </w:rPr>
                    <w:t>4.</w:t>
                  </w:r>
                  <w:r>
                    <w:rPr>
                      <w:color w:val="000000"/>
                      <w:sz w:val="21"/>
                    </w:rPr>
                    <w:t>确保结构化数据，利用数据交换平台实现与其它业务系统的数据交换。包括但不限于师生基本信息、课表信息等。</w:t>
                  </w:r>
                </w:p>
                <w:p>
                  <w:pPr>
                    <w:jc w:val="both"/>
                  </w:pPr>
                  <w:r>
                    <w:rPr>
                      <w:color w:val="000000"/>
                      <w:sz w:val="21"/>
                    </w:rPr>
                    <w:t>5.</w:t>
                  </w:r>
                  <w:r>
                    <w:rPr>
                      <w:color w:val="000000"/>
                      <w:sz w:val="21"/>
                    </w:rPr>
                    <w:t>提供移动端接口以便对接到学校的企业微信移动平台中。同时对接学校企业微信信息接口，平台信息统一通过企业微信发送。</w:t>
                  </w:r>
                </w:p>
                <w:p>
                  <w:pPr>
                    <w:jc w:val="both"/>
                  </w:pPr>
                  <w:r>
                    <w:rPr>
                      <w:color w:val="000000"/>
                      <w:sz w:val="21"/>
                    </w:rPr>
                    <w:t>6.</w:t>
                  </w:r>
                  <w:r>
                    <w:rPr>
                      <w:color w:val="000000"/>
                      <w:sz w:val="21"/>
                    </w:rPr>
                    <w:t>提供完整、正确、规范的全部数据字典和代码表。</w:t>
                  </w:r>
                </w:p>
                <w:p>
                  <w:pPr>
                    <w:jc w:val="both"/>
                  </w:pPr>
                  <w:r>
                    <w:rPr>
                      <w:color w:val="000000"/>
                      <w:sz w:val="21"/>
                    </w:rPr>
                    <w:t>7.</w:t>
                  </w:r>
                  <w:r>
                    <w:rPr>
                      <w:color w:val="000000"/>
                      <w:sz w:val="21"/>
                    </w:rPr>
                    <w:t>提供的系统对外接口（中间库或API接口等）中所使用的代码表、编码规则须符合学校给定的标准代码和编码规则，完成从系统到对外接口之间的数据映射、转换并保证其正确性、有效性。</w:t>
                  </w:r>
                </w:p>
                <w:p>
                  <w:pPr>
                    <w:jc w:val="both"/>
                  </w:pPr>
                  <w:r>
                    <w:rPr>
                      <w:color w:val="000000"/>
                      <w:sz w:val="21"/>
                    </w:rPr>
                    <w:t>8.</w:t>
                  </w:r>
                  <w:r>
                    <w:rPr>
                      <w:color w:val="000000"/>
                      <w:sz w:val="21"/>
                    </w:rPr>
                    <w:t>上述对接均需提供免费的接口，并与所建设系统同时交付。同时需承诺当系统升级、调整时，须提供更新的版本。</w:t>
                  </w:r>
                </w:p>
                <w:p>
                  <w:pPr>
                    <w:jc w:val="both"/>
                  </w:pPr>
                  <w:r>
                    <w:rPr>
                      <w:b/>
                      <w:color w:val="000000"/>
                      <w:sz w:val="21"/>
                    </w:rPr>
                    <w:t>三、混合教学平台</w:t>
                  </w:r>
                </w:p>
                <w:p>
                  <w:pPr>
                    <w:jc w:val="both"/>
                  </w:pPr>
                  <w:r>
                    <w:rPr>
                      <w:color w:val="000000"/>
                      <w:sz w:val="21"/>
                    </w:rPr>
                    <w:t>（一）课程管理系统</w:t>
                  </w:r>
                </w:p>
                <w:p>
                  <w:pPr>
                    <w:jc w:val="both"/>
                  </w:pPr>
                  <w:r>
                    <w:rPr>
                      <w:color w:val="000000"/>
                      <w:sz w:val="21"/>
                    </w:rPr>
                    <w:t>1.</w:t>
                  </w:r>
                  <w:r>
                    <w:rPr>
                      <w:color w:val="000000"/>
                      <w:sz w:val="21"/>
                    </w:rPr>
                    <w:t>课程创建：支持创建课程，修改课程名称，设置考勤模式，删除课程</w:t>
                  </w:r>
                </w:p>
                <w:p>
                  <w:pPr>
                    <w:jc w:val="both"/>
                  </w:pPr>
                  <w:r>
                    <w:rPr>
                      <w:color w:val="000000"/>
                      <w:sz w:val="21"/>
                    </w:rPr>
                    <w:t>2.</w:t>
                  </w:r>
                  <w:r>
                    <w:rPr>
                      <w:color w:val="000000"/>
                      <w:sz w:val="21"/>
                    </w:rPr>
                    <w:t>班级管理：支持教师在Web端创建班级，自定义班级名称进行班级管理；支持电子名册，可通过填写学生的名称、手机号码、学生学号、学生学院、学生班级信息，让学生加入班级；对班级内学生进行管理。</w:t>
                  </w:r>
                </w:p>
                <w:p>
                  <w:pPr>
                    <w:jc w:val="both"/>
                  </w:pPr>
                  <w:r>
                    <w:rPr>
                      <w:color w:val="000000"/>
                      <w:sz w:val="21"/>
                    </w:rPr>
                    <w:t>3.</w:t>
                  </w:r>
                  <w:r>
                    <w:rPr>
                      <w:color w:val="000000"/>
                      <w:sz w:val="21"/>
                    </w:rPr>
                    <w:t>课程管理：支持课程创建，并且对课程信息进行编辑修改，包括：课程封面、考勤模式、课程名称、学科信息、课程简介、课程目标、教学计划、学习要求、考核标准、课程编号、学期号及主选班级。</w:t>
                  </w:r>
                </w:p>
                <w:p>
                  <w:pPr>
                    <w:jc w:val="both"/>
                  </w:pPr>
                  <w:r>
                    <w:rPr>
                      <w:color w:val="000000"/>
                      <w:sz w:val="21"/>
                    </w:rPr>
                    <w:t>（二）线上教学系统</w:t>
                  </w:r>
                </w:p>
                <w:p>
                  <w:pPr>
                    <w:jc w:val="both"/>
                  </w:pPr>
                  <w:r>
                    <w:rPr>
                      <w:color w:val="000000"/>
                      <w:sz w:val="21"/>
                    </w:rPr>
                    <w:t>1.</w:t>
                  </w:r>
                  <w:r>
                    <w:rPr>
                      <w:color w:val="000000"/>
                      <w:sz w:val="21"/>
                    </w:rPr>
                    <w:t>课程资料管理：支持上传课程课件，同时支持添加章节测验，并对课程资料进行管理。老师可以直接在互动教学软件授课端打开课程调取相关课件进行授课，学生可以同步在互动教学软件APP的学习空间里面打开文件进行自主学习。</w:t>
                  </w:r>
                </w:p>
                <w:p>
                  <w:pPr>
                    <w:jc w:val="both"/>
                  </w:pPr>
                  <w:r>
                    <w:rPr>
                      <w:color w:val="000000"/>
                      <w:sz w:val="21"/>
                    </w:rPr>
                    <w:t>2.</w:t>
                  </w:r>
                  <w:r>
                    <w:rPr>
                      <w:color w:val="000000"/>
                      <w:sz w:val="21"/>
                    </w:rPr>
                    <w:t>创建作业：支持在教师空间进行作业布置，支持创建作业，包括：作业标题，作业说明，作业附件，作业内容；其添加的附件格式支持图片格式和文档格式，图片格式包括：png，jpg，gif三种图片格式，文档格式包括：doc、docx、xls、xlsx、pdf文档格式。创建后可暂存为作业文档，在后续的时间进行发送。</w:t>
                  </w:r>
                </w:p>
                <w:p>
                  <w:pPr>
                    <w:jc w:val="both"/>
                  </w:pPr>
                  <w:r>
                    <w:rPr>
                      <w:color w:val="000000"/>
                      <w:sz w:val="21"/>
                    </w:rPr>
                    <w:t>3.</w:t>
                  </w:r>
                  <w:r>
                    <w:rPr>
                      <w:color w:val="000000"/>
                      <w:sz w:val="21"/>
                    </w:rPr>
                    <w:t>作业编辑：支持对已经创建的作业进行编辑，编辑之后可以重新发送给不同班级的学生，达到高效复用的目的。</w:t>
                  </w:r>
                </w:p>
                <w:p>
                  <w:pPr>
                    <w:jc w:val="both"/>
                  </w:pPr>
                  <w:r>
                    <w:rPr>
                      <w:color w:val="000000"/>
                      <w:sz w:val="21"/>
                    </w:rPr>
                    <w:t>4.</w:t>
                  </w:r>
                  <w:r>
                    <w:rPr>
                      <w:color w:val="000000"/>
                      <w:sz w:val="21"/>
                    </w:rPr>
                    <w:t>作业发布：发布作业支持选定班级发送，支持不少于选定三个班级；同时支持定义作业提交截止时间，如果超过截止时间，学生则不能再提交作业。</w:t>
                  </w:r>
                </w:p>
                <w:p>
                  <w:pPr>
                    <w:jc w:val="both"/>
                  </w:pPr>
                  <w:r>
                    <w:rPr>
                      <w:color w:val="000000"/>
                      <w:sz w:val="21"/>
                    </w:rPr>
                    <w:t>5.</w:t>
                  </w:r>
                  <w:r>
                    <w:rPr>
                      <w:color w:val="000000"/>
                      <w:sz w:val="21"/>
                    </w:rPr>
                    <w:t>支持老师创建随堂测验，并支持上传附件以及链接供学生进行资料参看；测验试题支持批量导入和单个题目添加两种方式，题目类型包含单选题、多选题、判断题、简答题。</w:t>
                  </w:r>
                </w:p>
                <w:p>
                  <w:pPr>
                    <w:jc w:val="both"/>
                  </w:pPr>
                  <w:r>
                    <w:rPr>
                      <w:color w:val="000000"/>
                      <w:sz w:val="21"/>
                    </w:rPr>
                    <w:t>6.</w:t>
                  </w:r>
                  <w:r>
                    <w:rPr>
                      <w:color w:val="000000"/>
                      <w:sz w:val="21"/>
                    </w:rPr>
                    <w:t>分组教学：</w:t>
                  </w:r>
                </w:p>
                <w:p>
                  <w:pPr>
                    <w:jc w:val="both"/>
                  </w:pPr>
                  <w:r>
                    <w:rPr>
                      <w:color w:val="000000"/>
                      <w:sz w:val="21"/>
                    </w:rPr>
                    <w:t>a</w:t>
                  </w:r>
                  <w:r>
                    <w:rPr>
                      <w:color w:val="000000"/>
                      <w:sz w:val="21"/>
                    </w:rPr>
                    <w:t>、学生分组：支持老师对每个班级的学生进行自定义分组，满足分组教学的场景，支持对学生进行自定义分组，并分配组长，支持教师更改组长人员。</w:t>
                  </w:r>
                </w:p>
                <w:p>
                  <w:pPr>
                    <w:jc w:val="both"/>
                  </w:pPr>
                  <w:r>
                    <w:rPr>
                      <w:color w:val="000000"/>
                      <w:sz w:val="21"/>
                    </w:rPr>
                    <w:t>b</w:t>
                  </w:r>
                  <w:r>
                    <w:rPr>
                      <w:color w:val="000000"/>
                      <w:sz w:val="21"/>
                    </w:rPr>
                    <w:t>、小组任务：老师支持布置小组任务，提交方式可支持仅组长提交和所有小组成员作答；在所有小组成员作答的模式下，最终提交作业为最后一次上传的作业。"</w:t>
                  </w:r>
                </w:p>
                <w:p>
                  <w:pPr>
                    <w:jc w:val="both"/>
                  </w:pPr>
                  <w:r>
                    <w:rPr>
                      <w:color w:val="000000"/>
                      <w:sz w:val="21"/>
                    </w:rPr>
                    <w:t>7.</w:t>
                  </w:r>
                  <w:r>
                    <w:rPr>
                      <w:color w:val="000000"/>
                      <w:sz w:val="21"/>
                    </w:rPr>
                    <w:t>支持老师在教师空间发布话题让学生进行相关的讨论，并且可添加图片以及链接作为附件，附件文件支持格式：doc、docx、xls、xlsx、pdf，附件图片支持格式：jpg、png、gif；老师在教师空间可以查看到讨论的情况，并对某位学生的观点进行回复；支持设置话题的讨论范围。</w:t>
                  </w:r>
                </w:p>
                <w:p>
                  <w:pPr>
                    <w:jc w:val="both"/>
                  </w:pPr>
                  <w:r>
                    <w:rPr>
                      <w:color w:val="000000"/>
                      <w:sz w:val="21"/>
                    </w:rPr>
                    <w:t>8.</w:t>
                  </w:r>
                  <w:r>
                    <w:rPr>
                      <w:color w:val="000000"/>
                      <w:sz w:val="21"/>
                    </w:rPr>
                    <w:t>支持老师在教师空间查看学生提问内容，支持查看文字及学生上传的图片，老师可针对学生问题进行针对性回复，除文字回复外支持上传附件文档或链接便于对学生问题进行全面解析，同时老师可快速筛选出未答问题进行回复。</w:t>
                  </w:r>
                </w:p>
                <w:p>
                  <w:pPr>
                    <w:jc w:val="both"/>
                  </w:pPr>
                  <w:r>
                    <w:rPr>
                      <w:color w:val="000000"/>
                      <w:sz w:val="21"/>
                    </w:rPr>
                    <w:t>9.</w:t>
                  </w:r>
                  <w:r>
                    <w:rPr>
                      <w:color w:val="000000"/>
                      <w:sz w:val="21"/>
                    </w:rPr>
                    <w:t>持老师在教学平台发送课程通知，课程通知支持添加通知标题，通知内容，通知附件。添加的附件格式支持图片格式和文档格式，图片格式包括：png，jpg，gif三种图片格式，文档格式包括：doc、docx、xls、xlsx、pdf文档格式。通知公告可根据需求发送给全部班级或指定班级同学查看。</w:t>
                  </w:r>
                </w:p>
                <w:p>
                  <w:pPr>
                    <w:jc w:val="both"/>
                  </w:pPr>
                  <w:r>
                    <w:rPr>
                      <w:color w:val="000000"/>
                      <w:sz w:val="21"/>
                    </w:rPr>
                    <w:t>（三）学情分析系统</w:t>
                  </w:r>
                </w:p>
                <w:p>
                  <w:pPr>
                    <w:jc w:val="both"/>
                  </w:pPr>
                  <w:r>
                    <w:rPr>
                      <w:color w:val="000000"/>
                      <w:sz w:val="21"/>
                    </w:rPr>
                    <w:t>1.</w:t>
                  </w:r>
                  <w:r>
                    <w:rPr>
                      <w:color w:val="000000"/>
                      <w:sz w:val="21"/>
                    </w:rPr>
                    <w:t>针对每堂课可快速生成课堂报告，可总览本堂课出勤率、互动次数、平均参与度及提问个数；同时可查看详细签到及未到人员，师生互动情况。</w:t>
                  </w:r>
                </w:p>
                <w:p>
                  <w:pPr>
                    <w:jc w:val="both"/>
                  </w:pPr>
                  <w:r>
                    <w:rPr>
                      <w:color w:val="000000"/>
                      <w:sz w:val="21"/>
                    </w:rPr>
                    <w:t>2.</w:t>
                  </w:r>
                  <w:r>
                    <w:rPr>
                      <w:color w:val="000000"/>
                      <w:sz w:val="21"/>
                    </w:rPr>
                    <w:t>平时成绩查看：支持老师查看线下课堂和线上课程成绩。线上成绩查看维度包含：提问次数、作业分数、学习进度，测试分数；线下课堂成绩查看维度包含：出勤率，互动次数（单选、多选、判断、抢答、抽选、观点），课中提问。</w:t>
                  </w:r>
                </w:p>
                <w:p>
                  <w:pPr>
                    <w:jc w:val="both"/>
                  </w:pPr>
                  <w:r>
                    <w:rPr>
                      <w:color w:val="000000"/>
                      <w:sz w:val="21"/>
                    </w:rPr>
                    <w:t>3.</w:t>
                  </w:r>
                  <w:r>
                    <w:rPr>
                      <w:color w:val="000000"/>
                      <w:sz w:val="21"/>
                    </w:rPr>
                    <w:t>平时成绩管理：支持老师对线下课堂和线上课程成绩分别进行平时成绩评定权重设置自动计算得出总平时成绩，且支持对成绩数据的导出。</w:t>
                  </w:r>
                </w:p>
                <w:p>
                  <w:pPr>
                    <w:jc w:val="both"/>
                  </w:pPr>
                  <w:r>
                    <w:rPr>
                      <w:color w:val="000000"/>
                      <w:sz w:val="21"/>
                    </w:rPr>
                    <w:t>4.</w:t>
                  </w:r>
                  <w:r>
                    <w:rPr>
                      <w:color w:val="000000"/>
                      <w:sz w:val="21"/>
                    </w:rPr>
                    <w:t>支持按时间查看督导评价，并对评价记录进行分析，支持查看课程平均分，累计评课次数，参与评课人数，评价分析雷达图。</w:t>
                  </w:r>
                </w:p>
                <w:p>
                  <w:pPr>
                    <w:jc w:val="both"/>
                  </w:pPr>
                  <w:r>
                    <w:rPr>
                      <w:color w:val="000000"/>
                      <w:sz w:val="21"/>
                    </w:rPr>
                    <w:t>（四）教学资源管理中心</w:t>
                  </w:r>
                </w:p>
                <w:p>
                  <w:pPr>
                    <w:jc w:val="both"/>
                  </w:pPr>
                  <w:r>
                    <w:rPr>
                      <w:color w:val="000000"/>
                      <w:sz w:val="21"/>
                    </w:rPr>
                    <w:t>1.</w:t>
                  </w:r>
                  <w:r>
                    <w:rPr>
                      <w:color w:val="000000"/>
                      <w:sz w:val="21"/>
                    </w:rPr>
                    <w:t>提供统一的教学资源门户，包括WEB端及H5页面。支持规整各类教学资源，合理设计门户栏目，突出学校特色。</w:t>
                  </w:r>
                </w:p>
                <w:p>
                  <w:pPr>
                    <w:jc w:val="both"/>
                  </w:pPr>
                  <w:r>
                    <w:rPr>
                      <w:color w:val="000000"/>
                      <w:sz w:val="21"/>
                    </w:rPr>
                    <w:t>2.</w:t>
                  </w:r>
                  <w:r>
                    <w:rPr>
                      <w:color w:val="000000"/>
                      <w:sz w:val="21"/>
                    </w:rPr>
                    <w:t>支持师生根据权限查看已上架的课程资源，按照学科、学院、课程等类别进行筛选，支持关键词快速搜索。</w:t>
                  </w:r>
                </w:p>
                <w:p>
                  <w:pPr>
                    <w:jc w:val="both"/>
                  </w:pPr>
                  <w:r>
                    <w:rPr>
                      <w:color w:val="000000"/>
                      <w:sz w:val="21"/>
                    </w:rPr>
                    <w:t>3.</w:t>
                  </w:r>
                  <w:r>
                    <w:rPr>
                      <w:color w:val="000000"/>
                      <w:sz w:val="21"/>
                    </w:rPr>
                    <w:t>支持查看课程基本信息，包括课程简介、主讲教师、观看人次、课程视频等内容。</w:t>
                  </w:r>
                </w:p>
                <w:p>
                  <w:pPr>
                    <w:jc w:val="both"/>
                  </w:pPr>
                  <w:r>
                    <w:rPr>
                      <w:color w:val="000000"/>
                      <w:sz w:val="21"/>
                    </w:rPr>
                    <w:t>4.</w:t>
                  </w:r>
                  <w:r>
                    <w:rPr>
                      <w:color w:val="000000"/>
                      <w:sz w:val="21"/>
                    </w:rPr>
                    <w:t>支持展示已上架的直播活动，可按照直播中、未开始、已结束的状态查看内容。</w:t>
                  </w:r>
                </w:p>
                <w:p>
                  <w:pPr>
                    <w:jc w:val="both"/>
                  </w:pPr>
                  <w:r>
                    <w:rPr>
                      <w:color w:val="000000"/>
                      <w:sz w:val="21"/>
                    </w:rPr>
                    <w:t>5.</w:t>
                  </w:r>
                  <w:r>
                    <w:rPr>
                      <w:color w:val="000000"/>
                      <w:sz w:val="21"/>
                    </w:rPr>
                    <w:t>支持上架第三方平台的资源，点击跳转打开至第三方平台进行资源学习，融合展示学校资源建设成果。</w:t>
                  </w:r>
                </w:p>
                <w:p>
                  <w:pPr>
                    <w:jc w:val="both"/>
                  </w:pPr>
                </w:p>
                <w:p>
                  <w:pPr>
                    <w:jc w:val="both"/>
                  </w:pPr>
                  <w:r>
                    <w:rPr>
                      <w:b/>
                      <w:color w:val="000000"/>
                      <w:sz w:val="21"/>
                    </w:rPr>
                    <w:t>四、教学质量管理平台</w:t>
                  </w:r>
                </w:p>
                <w:p>
                  <w:pPr>
                    <w:jc w:val="both"/>
                  </w:pPr>
                  <w:r>
                    <w:rPr>
                      <w:color w:val="000000"/>
                      <w:sz w:val="21"/>
                    </w:rPr>
                    <w:t>（一）督导巡课</w:t>
                  </w:r>
                </w:p>
                <w:p>
                  <w:pPr>
                    <w:jc w:val="both"/>
                  </w:pPr>
                  <w:r>
                    <w:rPr>
                      <w:color w:val="000000"/>
                      <w:sz w:val="21"/>
                    </w:rPr>
                    <w:t>1.</w:t>
                  </w:r>
                  <w:r>
                    <w:rPr>
                      <w:color w:val="000000"/>
                      <w:sz w:val="21"/>
                    </w:rPr>
                    <w:t>实时巡课：支持调用课室的录播摄像头进行巡课，可以查看到每个课室对应课程的上课画面，同时支持自选切换5路不同内容的画面，同时支持按照时间线查看老师上课课件；支持评价打分，评价量表内容可以自定义、支持量表评价和留言评价。</w:t>
                  </w:r>
                </w:p>
                <w:p>
                  <w:pPr>
                    <w:jc w:val="both"/>
                  </w:pPr>
                  <w:r>
                    <w:rPr>
                      <w:color w:val="000000"/>
                      <w:sz w:val="21"/>
                    </w:rPr>
                    <w:t>2.</w:t>
                  </w:r>
                  <w:r>
                    <w:rPr>
                      <w:color w:val="000000"/>
                      <w:sz w:val="21"/>
                    </w:rPr>
                    <w:t>点播巡课：支持通过录制下来的课程资源进行线上点播巡课，并通过多维度量表进行在线打分评价，评价内容可同步到课程空间，同时支持按照时间线查看老师上课课件。</w:t>
                  </w:r>
                </w:p>
                <w:p>
                  <w:pPr>
                    <w:jc w:val="both"/>
                  </w:pPr>
                  <w:r>
                    <w:rPr>
                      <w:color w:val="000000"/>
                      <w:sz w:val="21"/>
                    </w:rPr>
                    <w:t>（二）录播资源管理</w:t>
                  </w:r>
                </w:p>
                <w:p>
                  <w:pPr>
                    <w:jc w:val="both"/>
                  </w:pPr>
                  <w:r>
                    <w:rPr>
                      <w:color w:val="000000"/>
                      <w:sz w:val="21"/>
                    </w:rPr>
                    <w:t>1.</w:t>
                  </w:r>
                  <w:r>
                    <w:rPr>
                      <w:color w:val="000000"/>
                      <w:sz w:val="21"/>
                    </w:rPr>
                    <w:t>录播资源查看：支持快速查看全校的录播资源，可查看录播资源详细信息，包括视频名称，开课时间，录制时长，视频分片数，上课场地，点播次数，点播总时长，视频大小</w:t>
                  </w:r>
                </w:p>
                <w:p>
                  <w:pPr>
                    <w:jc w:val="both"/>
                  </w:pPr>
                  <w:r>
                    <w:rPr>
                      <w:color w:val="000000"/>
                      <w:sz w:val="21"/>
                    </w:rPr>
                    <w:t>2.</w:t>
                  </w:r>
                  <w:r>
                    <w:rPr>
                      <w:color w:val="000000"/>
                      <w:sz w:val="21"/>
                    </w:rPr>
                    <w:t>录播资源整理：支持对录播资源进行操作，编辑视频名称，下载，归档，删除</w:t>
                  </w:r>
                </w:p>
                <w:p>
                  <w:pPr>
                    <w:jc w:val="both"/>
                  </w:pPr>
                  <w:r>
                    <w:rPr>
                      <w:color w:val="000000"/>
                      <w:sz w:val="21"/>
                    </w:rPr>
                    <w:t>3.</w:t>
                  </w:r>
                  <w:r>
                    <w:rPr>
                      <w:color w:val="000000"/>
                      <w:sz w:val="21"/>
                    </w:rPr>
                    <w:t>录播资源筛选：支持通过视频类型，场地信息，录制时间进行筛选，同时支持通过模糊搜索课程名称和教师名称进行筛选</w:t>
                  </w:r>
                </w:p>
                <w:p>
                  <w:pPr>
                    <w:jc w:val="both"/>
                  </w:pPr>
                </w:p>
                <w:p>
                  <w:pPr>
                    <w:jc w:val="both"/>
                  </w:pPr>
                  <w:r>
                    <w:rPr>
                      <w:b/>
                      <w:color w:val="000000"/>
                      <w:sz w:val="21"/>
                    </w:rPr>
                    <w:t>五、教学软件</w:t>
                  </w:r>
                </w:p>
                <w:p>
                  <w:pPr>
                    <w:jc w:val="both"/>
                  </w:pPr>
                  <w:r>
                    <w:rPr>
                      <w:color w:val="000000"/>
                      <w:sz w:val="21"/>
                    </w:rPr>
                    <w:t>（一）常态版</w:t>
                  </w:r>
                </w:p>
                <w:p>
                  <w:pPr>
                    <w:jc w:val="both"/>
                  </w:pPr>
                  <w:r>
                    <w:rPr>
                      <w:color w:val="000000"/>
                      <w:sz w:val="21"/>
                    </w:rPr>
                    <w:t>1.</w:t>
                  </w:r>
                  <w:r>
                    <w:rPr>
                      <w:color w:val="000000"/>
                      <w:sz w:val="21"/>
                    </w:rPr>
                    <w:t>班级创建：支持老师主动创建班级功能，老师可进行多班级创建，老师可在后台提前进行班级创建，创建成功后，老师登录授课端应用时即可直接进入班级列表，选择班级进入课堂，同时支持在授课端进行临时班级创建。</w:t>
                  </w:r>
                </w:p>
                <w:p>
                  <w:pPr>
                    <w:jc w:val="both"/>
                  </w:pPr>
                  <w:r>
                    <w:rPr>
                      <w:color w:val="000000"/>
                      <w:sz w:val="21"/>
                    </w:rPr>
                    <w:t>2.</w:t>
                  </w:r>
                  <w:r>
                    <w:rPr>
                      <w:color w:val="000000"/>
                      <w:sz w:val="21"/>
                    </w:rPr>
                    <w:t>文件模块：支持本地文件打开</w:t>
                  </w:r>
                </w:p>
                <w:p>
                  <w:pPr>
                    <w:jc w:val="both"/>
                  </w:pPr>
                  <w:r>
                    <w:rPr>
                      <w:color w:val="000000"/>
                      <w:sz w:val="21"/>
                    </w:rPr>
                    <w:t>3.</w:t>
                  </w:r>
                  <w:r>
                    <w:rPr>
                      <w:color w:val="000000"/>
                      <w:sz w:val="21"/>
                    </w:rPr>
                    <w:t>统计考勤：支持考勤签到功能，学生连接成功进入课堂后，名字可自动显示在签到列表上，签到列表可实时统计已签到人数，并支持查看未到的人员。</w:t>
                  </w:r>
                </w:p>
                <w:p>
                  <w:pPr>
                    <w:jc w:val="both"/>
                  </w:pPr>
                  <w:r>
                    <w:rPr>
                      <w:color w:val="000000"/>
                      <w:sz w:val="21"/>
                    </w:rPr>
                    <w:t>4.</w:t>
                  </w:r>
                  <w:r>
                    <w:rPr>
                      <w:color w:val="000000"/>
                      <w:sz w:val="21"/>
                    </w:rPr>
                    <w:t>互动答题：课中互动反馈系统支持一键下发答题指令，支持一次下发多道题目，最多可下发99道题目，可实现学生作答结果实时以柱状图形式展示，并且结果展示柱状图支持按全班或分组答题结果进行切换展示，便于进行小组间作答情况对比。</w:t>
                  </w:r>
                </w:p>
                <w:p>
                  <w:pPr>
                    <w:jc w:val="both"/>
                  </w:pPr>
                  <w:r>
                    <w:rPr>
                      <w:color w:val="000000"/>
                      <w:sz w:val="21"/>
                    </w:rPr>
                    <w:t>5.</w:t>
                  </w:r>
                  <w:r>
                    <w:rPr>
                      <w:color w:val="000000"/>
                      <w:sz w:val="21"/>
                    </w:rPr>
                    <w:t>互动模式设置：互动反馈系统中支持抢答、抽选等多种互动模式选择，用于活跃课堂氛围。</w:t>
                  </w:r>
                </w:p>
                <w:p>
                  <w:pPr>
                    <w:jc w:val="both"/>
                  </w:pPr>
                  <w:r>
                    <w:rPr>
                      <w:color w:val="000000"/>
                      <w:sz w:val="21"/>
                    </w:rPr>
                    <w:t>6.</w:t>
                  </w:r>
                  <w:r>
                    <w:rPr>
                      <w:color w:val="000000"/>
                      <w:sz w:val="21"/>
                    </w:rPr>
                    <w:t>学情报告：互动反馈系统在上课结束后支持实时生成课程报告，课堂报告支持查看签到人数，课堂互动总数，平均参与度，提问个数，支持查看考勤详情，互动详情和提问详情等。</w:t>
                  </w:r>
                </w:p>
                <w:p>
                  <w:pPr>
                    <w:jc w:val="both"/>
                  </w:pPr>
                  <w:r>
                    <w:rPr>
                      <w:color w:val="000000"/>
                      <w:sz w:val="21"/>
                    </w:rPr>
                    <w:t>7.</w:t>
                  </w:r>
                  <w:r>
                    <w:rPr>
                      <w:color w:val="000000"/>
                      <w:sz w:val="21"/>
                    </w:rPr>
                    <w:t>资料分发：支持教师下载教师空间中的文档资料，一键分发给全员和小组端，支持的文件包含但不局限于以下格式：音视频格式，文档格式，图片格式。</w:t>
                  </w:r>
                </w:p>
                <w:p>
                  <w:pPr>
                    <w:jc w:val="both"/>
                  </w:pPr>
                  <w:r>
                    <w:rPr>
                      <w:color w:val="000000"/>
                      <w:sz w:val="21"/>
                    </w:rPr>
                    <w:t>8.</w:t>
                  </w:r>
                  <w:r>
                    <w:rPr>
                      <w:color w:val="000000"/>
                      <w:sz w:val="21"/>
                    </w:rPr>
                    <w:t>课堂答疑：教师端在连接状态下可实时接收到来自学生的提问，提问内容可根据老师操作自动判断为已读或者未读，并且支持问题放大全屏查看和以弹幕的形式滚动查看。</w:t>
                  </w:r>
                </w:p>
                <w:p>
                  <w:pPr>
                    <w:jc w:val="both"/>
                  </w:pPr>
                  <w:r>
                    <w:rPr>
                      <w:color w:val="000000"/>
                      <w:sz w:val="21"/>
                    </w:rPr>
                    <w:t>9.</w:t>
                  </w:r>
                  <w:r>
                    <w:rPr>
                      <w:color w:val="000000"/>
                      <w:sz w:val="21"/>
                    </w:rPr>
                    <w:t>批注分发：教师端批注功能支持在课中任意时刻对教师端内容进行批注，并且支持批注内容一键保存，自动上传到教师空间，同时支持将批注内容一键发送到全员学生端，便于学生同步查看。</w:t>
                  </w:r>
                </w:p>
                <w:p>
                  <w:pPr>
                    <w:jc w:val="both"/>
                  </w:pPr>
                  <w:r>
                    <w:rPr>
                      <w:color w:val="000000"/>
                      <w:sz w:val="21"/>
                    </w:rPr>
                    <w:t>10.</w:t>
                  </w:r>
                  <w:r>
                    <w:rPr>
                      <w:color w:val="000000"/>
                      <w:sz w:val="21"/>
                    </w:rPr>
                    <w:t>授课小工具：教师播放课件时，提供授课小工具，包括画笔、橡皮擦、板中板、放大镜和批注分享功能等</w:t>
                  </w:r>
                </w:p>
                <w:p>
                  <w:pPr>
                    <w:jc w:val="both"/>
                  </w:pPr>
                  <w:r>
                    <w:rPr>
                      <w:color w:val="000000"/>
                      <w:sz w:val="21"/>
                    </w:rPr>
                    <w:t>11.</w:t>
                  </w:r>
                  <w:r>
                    <w:rPr>
                      <w:color w:val="000000"/>
                      <w:sz w:val="21"/>
                    </w:rPr>
                    <w:t>无线传屏：教师端工具栏支持无线传屏，点击开启无线传屏则打开传屏码，老师自带笔记本在互动教学软件输入传屏码即可进行无线传屏。</w:t>
                  </w:r>
                </w:p>
                <w:p>
                  <w:pPr>
                    <w:jc w:val="both"/>
                  </w:pPr>
                  <w:r>
                    <w:rPr>
                      <w:color w:val="000000"/>
                      <w:sz w:val="21"/>
                    </w:rPr>
                    <w:t>12.</w:t>
                  </w:r>
                  <w:r>
                    <w:rPr>
                      <w:color w:val="000000"/>
                      <w:sz w:val="21"/>
                    </w:rPr>
                    <w:t>回顾解答：互动教学软件支持查看课堂互动记录，可随时调用课堂发生过的答题，抽选，抢答和观点几种课堂活动的记录进行回顾解答。</w:t>
                  </w:r>
                </w:p>
                <w:p>
                  <w:pPr>
                    <w:jc w:val="both"/>
                  </w:pPr>
                  <w:r>
                    <w:rPr>
                      <w:color w:val="000000"/>
                      <w:sz w:val="21"/>
                    </w:rPr>
                    <w:t>13.</w:t>
                  </w:r>
                  <w:r>
                    <w:rPr>
                      <w:color w:val="000000"/>
                      <w:sz w:val="21"/>
                    </w:rPr>
                    <w:t>黑板：支持老师一键调起黑板进行板书书写，书写支持笔锋书写；书写笔记支持背手擦除，发送给学生。</w:t>
                  </w:r>
                </w:p>
                <w:p>
                  <w:pPr>
                    <w:jc w:val="both"/>
                  </w:pPr>
                  <w:r>
                    <w:rPr>
                      <w:color w:val="000000"/>
                      <w:sz w:val="21"/>
                    </w:rPr>
                    <w:t>14.</w:t>
                  </w:r>
                  <w:r>
                    <w:rPr>
                      <w:color w:val="000000"/>
                      <w:sz w:val="21"/>
                    </w:rPr>
                    <w:t>计时器：支持正计时倒计时，开始计时支持最小化及时或者全屏计时，计时结束有声音提示。</w:t>
                  </w:r>
                </w:p>
                <w:p>
                  <w:pPr>
                    <w:jc w:val="both"/>
                  </w:pPr>
                  <w:r>
                    <w:rPr>
                      <w:color w:val="000000"/>
                      <w:sz w:val="21"/>
                    </w:rPr>
                    <w:t>15.</w:t>
                  </w:r>
                  <w:r>
                    <w:rPr>
                      <w:color w:val="000000"/>
                      <w:sz w:val="21"/>
                    </w:rPr>
                    <w:t>截图推送：支持一键打开截图，可通过拉伸自定义截图区域位置及大小，可将截图内容发送给学生。</w:t>
                  </w:r>
                </w:p>
                <w:p>
                  <w:pPr>
                    <w:jc w:val="both"/>
                  </w:pPr>
                  <w:r>
                    <w:rPr>
                      <w:color w:val="000000"/>
                      <w:sz w:val="21"/>
                    </w:rPr>
                    <w:t>16.</w:t>
                  </w:r>
                  <w:r>
                    <w:rPr>
                      <w:color w:val="000000"/>
                      <w:sz w:val="21"/>
                    </w:rPr>
                    <w:t>随堂测验：支持老师在课堂中通过教师端一键调取预先准备的测验题目，并分发给学生进行作答，支持设置答题时长以及自动统计答题结果；答题过程中，支持老师提前结束答题。</w:t>
                  </w:r>
                </w:p>
                <w:p>
                  <w:pPr>
                    <w:jc w:val="both"/>
                  </w:pPr>
                  <w:r>
                    <w:rPr>
                      <w:color w:val="000000"/>
                      <w:sz w:val="21"/>
                    </w:rPr>
                    <w:t>（二）双屏版</w:t>
                  </w:r>
                </w:p>
                <w:p>
                  <w:pPr>
                    <w:jc w:val="both"/>
                  </w:pPr>
                  <w:r>
                    <w:rPr>
                      <w:color w:val="000000"/>
                      <w:sz w:val="21"/>
                    </w:rPr>
                    <w:t>1.</w:t>
                  </w:r>
                  <w:r>
                    <w:rPr>
                      <w:color w:val="000000"/>
                      <w:sz w:val="21"/>
                    </w:rPr>
                    <w:t>宽屏素材展示：支持匹配32：9的显示比例，并且支持打开32：9素材资源，无需调整分辨率以及比例，可一键实现全屏展示。</w:t>
                  </w:r>
                </w:p>
                <w:p>
                  <w:pPr>
                    <w:jc w:val="both"/>
                  </w:pPr>
                  <w:r>
                    <w:rPr>
                      <w:color w:val="000000"/>
                      <w:sz w:val="21"/>
                    </w:rPr>
                    <w:t>2.</w:t>
                  </w:r>
                  <w:r>
                    <w:rPr>
                      <w:color w:val="000000"/>
                      <w:sz w:val="21"/>
                    </w:rPr>
                    <w:t>左右切换：支持对文件进行左右一键切换，点击切换按钮，实现文件的一键左右屏互换</w:t>
                  </w:r>
                </w:p>
                <w:p>
                  <w:pPr>
                    <w:jc w:val="both"/>
                  </w:pPr>
                  <w:r>
                    <w:rPr>
                      <w:color w:val="000000"/>
                      <w:sz w:val="21"/>
                    </w:rPr>
                    <w:t>3.</w:t>
                  </w:r>
                  <w:r>
                    <w:rPr>
                      <w:color w:val="000000"/>
                      <w:sz w:val="21"/>
                    </w:rPr>
                    <w:t>双边工具栏操作：在双屏教学环境下，同时在主屏和扩展屏上都有互动教学软件的侧边栏，老师可以对任意的侧边栏进行操作。</w:t>
                  </w:r>
                </w:p>
                <w:p>
                  <w:pPr>
                    <w:jc w:val="both"/>
                  </w:pPr>
                  <w:r>
                    <w:rPr>
                      <w:color w:val="000000"/>
                      <w:sz w:val="21"/>
                    </w:rPr>
                    <w:t>4.</w:t>
                  </w:r>
                  <w:r>
                    <w:rPr>
                      <w:color w:val="000000"/>
                      <w:sz w:val="21"/>
                    </w:rPr>
                    <w:t>双线教学：支持在一边的屏幕上打开课件，一边的屏幕上打开黑板，实现课件的板书同步展示，课件放映过程中支持PPT小工具进行辅助课件展示。</w:t>
                  </w:r>
                </w:p>
                <w:p>
                  <w:pPr>
                    <w:jc w:val="both"/>
                  </w:pPr>
                  <w:r>
                    <w:rPr>
                      <w:color w:val="000000"/>
                      <w:sz w:val="21"/>
                    </w:rPr>
                    <w:t>5.</w:t>
                  </w:r>
                  <w:r>
                    <w:rPr>
                      <w:color w:val="000000"/>
                      <w:sz w:val="21"/>
                    </w:rPr>
                    <w:t>同步放映：支持一边的屏幕使用无线传屏投屏展示老师个人电脑画面，一边的屏幕播放一体机本地的教学素材，方便老师灵活教学使用。</w:t>
                  </w:r>
                </w:p>
                <w:p>
                  <w:pPr>
                    <w:jc w:val="both"/>
                  </w:pPr>
                  <w:r>
                    <w:rPr>
                      <w:color w:val="000000"/>
                      <w:sz w:val="21"/>
                    </w:rPr>
                    <w:t>6.</w:t>
                  </w:r>
                  <w:r>
                    <w:rPr>
                      <w:color w:val="000000"/>
                      <w:sz w:val="21"/>
                    </w:rPr>
                    <w:t>扩展屏广播：研讨模式广播支持任一屏的画面广播到学生端</w:t>
                  </w:r>
                </w:p>
                <w:p>
                  <w:pPr>
                    <w:jc w:val="both"/>
                  </w:pPr>
                  <w:r>
                    <w:rPr>
                      <w:color w:val="000000"/>
                      <w:sz w:val="21"/>
                    </w:rPr>
                    <w:t>7.</w:t>
                  </w:r>
                  <w:r>
                    <w:rPr>
                      <w:color w:val="000000"/>
                      <w:sz w:val="21"/>
                    </w:rPr>
                    <w:t>课件上下页联动：支持课件上下页联动放映，一边屏幕放映当前课件页面，另外一边屏幕放映课件上一页面，方便展示更多课件内容。</w:t>
                  </w:r>
                </w:p>
                <w:p>
                  <w:pPr>
                    <w:jc w:val="both"/>
                  </w:pPr>
                  <w:r>
                    <w:rPr>
                      <w:color w:val="000000"/>
                      <w:sz w:val="21"/>
                    </w:rPr>
                    <w:t>8.</w:t>
                  </w:r>
                  <w:r>
                    <w:rPr>
                      <w:color w:val="000000"/>
                      <w:sz w:val="21"/>
                    </w:rPr>
                    <w:t>课件同步展示：支持双屏同步放映课件，增加课件内容的可视角，让学生看得更加清楚。</w:t>
                  </w:r>
                </w:p>
                <w:p>
                  <w:pPr>
                    <w:jc w:val="both"/>
                  </w:pPr>
                  <w:r>
                    <w:rPr>
                      <w:color w:val="000000"/>
                      <w:sz w:val="21"/>
                    </w:rPr>
                    <w:t>9.</w:t>
                  </w:r>
                  <w:r>
                    <w:rPr>
                      <w:color w:val="000000"/>
                      <w:sz w:val="21"/>
                    </w:rPr>
                    <w:t>屏幕穿越：支持把文件窗口从一边的屏幕滑动甩到另外一边的屏幕，支持打开多种类型的文件，或者一个文件打开多次进行多视窗教学。</w:t>
                  </w:r>
                </w:p>
                <w:p>
                  <w:pPr>
                    <w:jc w:val="both"/>
                  </w:pPr>
                  <w:r>
                    <w:rPr>
                      <w:color w:val="000000"/>
                      <w:sz w:val="21"/>
                    </w:rPr>
                    <w:t>10.</w:t>
                  </w:r>
                  <w:r>
                    <w:rPr>
                      <w:color w:val="000000"/>
                      <w:sz w:val="21"/>
                    </w:rPr>
                    <w:t>双屏一体化黑板：支持打开双屏一体化黑板，两块屏幕都变成一体化的黑板，支持书写，书写书别，扫码带走，保存云端，发送给学生。</w:t>
                  </w:r>
                </w:p>
                <w:p>
                  <w:pPr>
                    <w:jc w:val="both"/>
                  </w:pPr>
                  <w:r>
                    <w:rPr>
                      <w:color w:val="000000"/>
                      <w:sz w:val="21"/>
                    </w:rPr>
                    <w:t>（三）小组研讨版</w:t>
                  </w:r>
                </w:p>
                <w:p>
                  <w:pPr>
                    <w:jc w:val="both"/>
                  </w:pPr>
                  <w:r>
                    <w:rPr>
                      <w:color w:val="000000"/>
                      <w:sz w:val="21"/>
                    </w:rPr>
                    <w:t>1.</w:t>
                  </w:r>
                  <w:r>
                    <w:rPr>
                      <w:color w:val="000000"/>
                      <w:sz w:val="21"/>
                    </w:rPr>
                    <w:t>自动连接小组：支持自动连接小组端，小组端初次与教师端连接配置后，教师端自动检测小组端运行状态，小组端处于开启状态时自动建立连接。</w:t>
                  </w:r>
                </w:p>
                <w:p>
                  <w:pPr>
                    <w:jc w:val="both"/>
                  </w:pPr>
                  <w:r>
                    <w:rPr>
                      <w:color w:val="000000"/>
                      <w:sz w:val="21"/>
                    </w:rPr>
                    <w:t>2.</w:t>
                  </w:r>
                  <w:r>
                    <w:rPr>
                      <w:color w:val="000000"/>
                      <w:sz w:val="21"/>
                    </w:rPr>
                    <w:t>小组管理：具备终端中控看板功能，实时显示当前教室分组信息及各终端连接状态，便于教师根据教学需要进行调整。</w:t>
                  </w:r>
                </w:p>
                <w:p>
                  <w:pPr>
                    <w:jc w:val="both"/>
                  </w:pPr>
                  <w:r>
                    <w:rPr>
                      <w:color w:val="000000"/>
                      <w:sz w:val="21"/>
                    </w:rPr>
                    <w:t>3.</w:t>
                  </w:r>
                  <w:r>
                    <w:rPr>
                      <w:color w:val="000000"/>
                      <w:sz w:val="21"/>
                    </w:rPr>
                    <w:t>拖拽分组：教师端支持针对小组成员手动拖拽分组，把小组成员按照实际情况做灵活调整，实现课堂分组的快速调整。</w:t>
                  </w:r>
                </w:p>
                <w:p>
                  <w:pPr>
                    <w:jc w:val="both"/>
                  </w:pPr>
                  <w:r>
                    <w:rPr>
                      <w:color w:val="000000"/>
                      <w:sz w:val="21"/>
                    </w:rPr>
                    <w:t>4.</w:t>
                  </w:r>
                  <w:r>
                    <w:rPr>
                      <w:color w:val="000000"/>
                      <w:sz w:val="21"/>
                    </w:rPr>
                    <w:t>随机分组：教师端支持随机分组，在小组管理的界面，点击随机分组，所有小组成员会自动重新分配。</w:t>
                  </w:r>
                </w:p>
                <w:p>
                  <w:pPr>
                    <w:jc w:val="both"/>
                  </w:pPr>
                  <w:r>
                    <w:rPr>
                      <w:color w:val="000000"/>
                      <w:sz w:val="21"/>
                    </w:rPr>
                    <w:t>5.</w:t>
                  </w:r>
                  <w:r>
                    <w:rPr>
                      <w:color w:val="000000"/>
                      <w:sz w:val="21"/>
                    </w:rPr>
                    <w:t>小组投屏：支持预览所有小组屏画面，并选择进行投屏，支持自定义抓取至少6个任意小组屏幕并投屏至教师端，便捷展示学生研讨成果，并对小组内容进行批注讲解。</w:t>
                  </w:r>
                </w:p>
                <w:p>
                  <w:pPr>
                    <w:jc w:val="both"/>
                  </w:pPr>
                  <w:r>
                    <w:rPr>
                      <w:color w:val="000000"/>
                      <w:sz w:val="21"/>
                    </w:rPr>
                    <w:t>6.</w:t>
                  </w:r>
                  <w:r>
                    <w:rPr>
                      <w:color w:val="000000"/>
                      <w:sz w:val="21"/>
                    </w:rPr>
                    <w:t>小组屏幕分享：支持自定义选择一个小组屏幕投屏至教师端，并广播至其他小组端屏幕，实现各小组间信息同步。</w:t>
                  </w:r>
                </w:p>
                <w:p>
                  <w:pPr>
                    <w:jc w:val="both"/>
                  </w:pPr>
                  <w:r>
                    <w:rPr>
                      <w:color w:val="000000"/>
                      <w:sz w:val="21"/>
                    </w:rPr>
                    <w:t>7.</w:t>
                  </w:r>
                  <w:r>
                    <w:rPr>
                      <w:color w:val="000000"/>
                      <w:sz w:val="21"/>
                    </w:rPr>
                    <w:t>教师端广播：最高支持教师端屏幕广播至小组端和学生端，提高信息共享效率。</w:t>
                  </w:r>
                </w:p>
                <w:p>
                  <w:pPr>
                    <w:jc w:val="both"/>
                  </w:pPr>
                  <w:r>
                    <w:rPr>
                      <w:color w:val="000000"/>
                      <w:sz w:val="21"/>
                    </w:rPr>
                    <w:t>8.</w:t>
                  </w:r>
                  <w:r>
                    <w:rPr>
                      <w:color w:val="000000"/>
                      <w:sz w:val="21"/>
                    </w:rPr>
                    <w:t>触控回传：教师端具备一键调起小组端电脑虚拟键盘功能，当小组端投屏后，可在教师端调起电脑的虚拟键盘，并通过触摸回传功能直接在教师端进行文字输入。</w:t>
                  </w:r>
                </w:p>
                <w:p>
                  <w:pPr>
                    <w:jc w:val="both"/>
                  </w:pPr>
                  <w:r>
                    <w:rPr>
                      <w:color w:val="000000"/>
                      <w:sz w:val="21"/>
                    </w:rPr>
                    <w:t>9.</w:t>
                  </w:r>
                  <w:r>
                    <w:rPr>
                      <w:color w:val="000000"/>
                      <w:sz w:val="21"/>
                    </w:rPr>
                    <w:t>多端投屏：可支持至少6个学生端投屏画面同时在大屏上显示，同时显示来自 Android7.0、iOS 10及以上 系统的投屏画面，并且根据连接数量自动排布。支持将六分屏画面内其中一个画面一键全屏显示，以及一键将全屏画面切换回六分屏，方便灵活讲解。</w:t>
                  </w:r>
                </w:p>
                <w:p>
                  <w:pPr>
                    <w:jc w:val="both"/>
                  </w:pPr>
                  <w:r>
                    <w:rPr>
                      <w:color w:val="000000"/>
                      <w:sz w:val="21"/>
                    </w:rPr>
                    <w:t>10. 9</w:t>
                  </w:r>
                  <w:r>
                    <w:rPr>
                      <w:color w:val="000000"/>
                      <w:sz w:val="21"/>
                    </w:rPr>
                    <w:t>分屏投图：可支持至少9张图片同时在小组端上显示，同步显示来自Android7.0、iOS 10及以上 学生端上传的图片，并且根据图片数量自动排布。支持将9分屏图片内其中一张图片一键全屏显示，以及在全屏画面下一键切换回9分屏画面，方便灵活讲解。</w:t>
                  </w:r>
                </w:p>
                <w:p>
                  <w:pPr>
                    <w:jc w:val="both"/>
                  </w:pPr>
                  <w:r>
                    <w:rPr>
                      <w:color w:val="000000"/>
                      <w:sz w:val="21"/>
                    </w:rPr>
                    <w:t>11.</w:t>
                  </w:r>
                  <w:r>
                    <w:rPr>
                      <w:color w:val="000000"/>
                      <w:sz w:val="21"/>
                    </w:rPr>
                    <w:t>头脑风暴：支持在小组端开启头脑风暴，最少支持10个组员可通过学生端将想法上传，每输入完成一个文本或图片时，小组屏可以立即展示此内容，支持多名学生同时上传想法。如存在内容发送有误，可通过学生端即时撤回。在小组屏可针对学生上传的内容进行拖动、修改边框、修改颜色、删除等操作，以对内容进行归类。支持将头脑风暴结果一键发送至学生端，实现课堂内容即时保存和随时查看。</w:t>
                  </w:r>
                </w:p>
                <w:p>
                  <w:pPr>
                    <w:jc w:val="both"/>
                  </w:pPr>
                  <w:r>
                    <w:rPr>
                      <w:color w:val="000000"/>
                      <w:sz w:val="21"/>
                    </w:rPr>
                    <w:t>12.</w:t>
                  </w:r>
                  <w:r>
                    <w:rPr>
                      <w:color w:val="000000"/>
                      <w:sz w:val="21"/>
                    </w:rPr>
                    <w:t>黑板书写：支持小组端默认打开黑板书写功能，可自由调整笔迹颜色及笔触粗细，可新增页码、清空笔迹。支持将学生端上传的图片和投屏时的截图一键插入协作白板。</w:t>
                  </w:r>
                </w:p>
                <w:p>
                  <w:pPr>
                    <w:jc w:val="both"/>
                  </w:pPr>
                  <w:r>
                    <w:rPr>
                      <w:color w:val="000000"/>
                      <w:sz w:val="21"/>
                    </w:rPr>
                    <w:t>13.</w:t>
                  </w:r>
                  <w:r>
                    <w:rPr>
                      <w:color w:val="000000"/>
                      <w:sz w:val="21"/>
                    </w:rPr>
                    <w:t>录制功能：支持本地录屏功能，可将屏幕的画面和内容录制成微课并保存在本地；支持调用设备本地摄像头进行拍摄录制，并保存到本地。</w:t>
                  </w:r>
                </w:p>
                <w:p>
                  <w:pPr>
                    <w:jc w:val="both"/>
                  </w:pPr>
                  <w:r>
                    <w:rPr>
                      <w:color w:val="000000"/>
                      <w:sz w:val="21"/>
                    </w:rPr>
                    <w:t>14. PPT</w:t>
                  </w:r>
                  <w:r>
                    <w:rPr>
                      <w:color w:val="000000"/>
                      <w:sz w:val="21"/>
                    </w:rPr>
                    <w:t>小工具：支持小组端进入PPT放映模式后提供批注、黑板、橡皮、撤销、批注分享等工具，满足学生小组研讨的使用。</w:t>
                  </w:r>
                </w:p>
                <w:p>
                  <w:pPr>
                    <w:jc w:val="both"/>
                  </w:pPr>
                  <w:r>
                    <w:rPr>
                      <w:b/>
                      <w:color w:val="000000"/>
                      <w:sz w:val="21"/>
                    </w:rPr>
                    <w:t>六、学习软件</w:t>
                  </w:r>
                </w:p>
                <w:p>
                  <w:pPr>
                    <w:jc w:val="both"/>
                  </w:pPr>
                  <w:r>
                    <w:rPr>
                      <w:color w:val="000000"/>
                      <w:sz w:val="21"/>
                    </w:rPr>
                    <w:t>1. APP</w:t>
                  </w:r>
                  <w:r>
                    <w:rPr>
                      <w:color w:val="000000"/>
                      <w:sz w:val="21"/>
                    </w:rPr>
                    <w:t>投屏：和老师授课端设备在同一局域网内，支持在学生听课APP上输入无线传屏传屏码将学生端屏幕画面直接投屏展示到教师端进行内容分享展示。</w:t>
                  </w:r>
                </w:p>
                <w:p>
                  <w:pPr>
                    <w:jc w:val="both"/>
                  </w:pPr>
                  <w:r>
                    <w:rPr>
                      <w:color w:val="000000"/>
                      <w:sz w:val="21"/>
                    </w:rPr>
                    <w:t>2.</w:t>
                  </w:r>
                  <w:r>
                    <w:rPr>
                      <w:color w:val="000000"/>
                      <w:sz w:val="21"/>
                    </w:rPr>
                    <w:t>资料回顾：在学生听课APP上支持接收老师下发的资料，并且可根据日历查找不同时间接收的资料。支持学生通过学生端在任意时间查看老师已下发的学习资料。</w:t>
                  </w:r>
                </w:p>
                <w:p>
                  <w:pPr>
                    <w:jc w:val="both"/>
                  </w:pPr>
                  <w:r>
                    <w:rPr>
                      <w:color w:val="000000"/>
                      <w:sz w:val="21"/>
                    </w:rPr>
                    <w:t>3.</w:t>
                  </w:r>
                  <w:r>
                    <w:rPr>
                      <w:color w:val="000000"/>
                      <w:sz w:val="21"/>
                    </w:rPr>
                    <w:t>资料收藏管理：支持在学生端APP内对文件内的资料进行加星收藏管理，收藏过后的资料可以快速索引到。</w:t>
                  </w:r>
                </w:p>
                <w:p>
                  <w:pPr>
                    <w:jc w:val="both"/>
                  </w:pPr>
                  <w:r>
                    <w:rPr>
                      <w:color w:val="000000"/>
                      <w:sz w:val="21"/>
                    </w:rPr>
                    <w:t>4.</w:t>
                  </w:r>
                  <w:r>
                    <w:rPr>
                      <w:color w:val="000000"/>
                      <w:sz w:val="21"/>
                    </w:rPr>
                    <w:t>作业提交：支持在学生听课端直接查看老师布置的作业及相关附件内容，并在老师规定时间内进行作业作答，上传作业便于老师批阅统计。</w:t>
                  </w:r>
                </w:p>
                <w:p>
                  <w:pPr>
                    <w:jc w:val="both"/>
                  </w:pPr>
                  <w:r>
                    <w:rPr>
                      <w:color w:val="000000"/>
                      <w:sz w:val="21"/>
                    </w:rPr>
                    <w:t>5.</w:t>
                  </w:r>
                  <w:r>
                    <w:rPr>
                      <w:color w:val="000000"/>
                      <w:sz w:val="21"/>
                    </w:rPr>
                    <w:t>上课提问：学生端在加入课程学习后，支持在任意时刻通过APP向老师发起提问功能，输入提问内容即可实时将问题反馈到教师端，方便老师查看解答。</w:t>
                  </w:r>
                </w:p>
                <w:p>
                  <w:pPr>
                    <w:jc w:val="both"/>
                  </w:pPr>
                  <w:r>
                    <w:rPr>
                      <w:color w:val="000000"/>
                      <w:sz w:val="21"/>
                    </w:rPr>
                    <w:t>6.</w:t>
                  </w:r>
                  <w:r>
                    <w:rPr>
                      <w:color w:val="000000"/>
                      <w:sz w:val="21"/>
                    </w:rPr>
                    <w:t>话题讨论：学生端加入课程后，在听课端APP可查看老师发布的话题并参与讨论留言，点赞等。</w:t>
                  </w:r>
                </w:p>
                <w:p>
                  <w:pPr>
                    <w:jc w:val="both"/>
                  </w:pPr>
                  <w:r>
                    <w:rPr>
                      <w:color w:val="000000"/>
                      <w:sz w:val="21"/>
                    </w:rPr>
                    <w:t>7.</w:t>
                  </w:r>
                  <w:r>
                    <w:rPr>
                      <w:color w:val="000000"/>
                      <w:sz w:val="21"/>
                    </w:rPr>
                    <w:t>课堂动态：支持在课堂中记录课堂动态，包括老师下发的文件，老师课堂中的板书，课堂互动结果记录，课堂提问多种类型的记录。</w:t>
                  </w:r>
                </w:p>
                <w:p>
                  <w:pPr>
                    <w:jc w:val="both"/>
                  </w:pPr>
                  <w:r>
                    <w:rPr>
                      <w:color w:val="000000"/>
                      <w:sz w:val="21"/>
                    </w:rPr>
                    <w:t>8.</w:t>
                  </w:r>
                  <w:r>
                    <w:rPr>
                      <w:color w:val="000000"/>
                      <w:sz w:val="21"/>
                    </w:rPr>
                    <w:t>同步课件：当老师在全屏播放课件时，学生端也会同步进行课件播放，如：老师进行PPT翻页操作时，学生端会同步翻页，保证课堂中老师讲课进度同步展示。</w:t>
                  </w:r>
                </w:p>
                <w:p>
                  <w:pPr>
                    <w:jc w:val="both"/>
                  </w:pPr>
                  <w:r>
                    <w:rPr>
                      <w:color w:val="000000"/>
                      <w:sz w:val="21"/>
                    </w:rPr>
                    <w:t>9.</w:t>
                  </w:r>
                  <w:r>
                    <w:rPr>
                      <w:color w:val="000000"/>
                      <w:sz w:val="21"/>
                    </w:rPr>
                    <w:t>学生学习空间：学生端互动教学软件app具备学生学习空间功能，支持学生在学习空间查看参与学习的课程中老师上传在课程平台的课件，通知记录，作业记录等。</w:t>
                  </w:r>
                </w:p>
                <w:p>
                  <w:pPr>
                    <w:jc w:val="both"/>
                  </w:pPr>
                  <w:r>
                    <w:rPr>
                      <w:color w:val="000000"/>
                      <w:sz w:val="21"/>
                    </w:rPr>
                    <w:t>10.</w:t>
                  </w:r>
                  <w:r>
                    <w:rPr>
                      <w:color w:val="000000"/>
                      <w:sz w:val="21"/>
                    </w:rPr>
                    <w:t>消息通知：学生端支持消息通知功能，学生端互动教学软件APP可以接收老师在教师课程平台发布的课程通知，并进行查看。</w:t>
                  </w:r>
                </w:p>
                <w:p>
                  <w:pPr>
                    <w:jc w:val="both"/>
                  </w:pPr>
                  <w:r>
                    <w:rPr>
                      <w:b/>
                      <w:color w:val="000000"/>
                      <w:sz w:val="21"/>
                    </w:rPr>
                    <w:t>七、数据看板</w:t>
                  </w:r>
                </w:p>
                <w:p>
                  <w:pPr>
                    <w:jc w:val="both"/>
                  </w:pPr>
                  <w:r>
                    <w:rPr>
                      <w:color w:val="000000"/>
                      <w:sz w:val="21"/>
                    </w:rPr>
                    <w:t>1.</w:t>
                  </w:r>
                  <w:r>
                    <w:rPr>
                      <w:color w:val="000000"/>
                      <w:sz w:val="21"/>
                    </w:rPr>
                    <w:t>督导巡课看板：</w:t>
                  </w:r>
                </w:p>
                <w:p>
                  <w:pPr>
                    <w:jc w:val="both"/>
                  </w:pPr>
                  <w:r>
                    <w:rPr>
                      <w:color w:val="000000"/>
                      <w:sz w:val="21"/>
                    </w:rPr>
                    <w:t>a</w:t>
                  </w:r>
                  <w:r>
                    <w:rPr>
                      <w:color w:val="000000"/>
                      <w:sz w:val="21"/>
                    </w:rPr>
                    <w:t>、督导数据统计：支持查看督导评课数据，包括累计完成督导课程数、评课节数、受评教师人数、敏感词检测次数等；</w:t>
                  </w:r>
                </w:p>
                <w:p>
                  <w:pPr>
                    <w:jc w:val="both"/>
                  </w:pPr>
                  <w:r>
                    <w:rPr>
                      <w:color w:val="000000"/>
                      <w:sz w:val="21"/>
                    </w:rPr>
                    <w:t>b</w:t>
                  </w:r>
                  <w:r>
                    <w:rPr>
                      <w:color w:val="000000"/>
                      <w:sz w:val="21"/>
                    </w:rPr>
                    <w:t>、评价趋势：自动统计每周累计评价课节数，并以折线图的方式显示每周评课数量变化趋势，方便了解督导巡课开展情况；</w:t>
                  </w:r>
                </w:p>
                <w:p>
                  <w:pPr>
                    <w:jc w:val="both"/>
                  </w:pPr>
                  <w:r>
                    <w:rPr>
                      <w:color w:val="000000"/>
                      <w:sz w:val="21"/>
                    </w:rPr>
                    <w:t>c</w:t>
                  </w:r>
                  <w:r>
                    <w:rPr>
                      <w:color w:val="000000"/>
                      <w:sz w:val="21"/>
                    </w:rPr>
                    <w:t>、低分预警：支持自定义督导低分阈值，并显示平均分低于阈值的学院、课程名单；</w:t>
                  </w:r>
                </w:p>
                <w:p>
                  <w:pPr>
                    <w:jc w:val="both"/>
                  </w:pPr>
                  <w:r>
                    <w:rPr>
                      <w:color w:val="000000"/>
                      <w:sz w:val="21"/>
                    </w:rPr>
                    <w:t>d</w:t>
                  </w:r>
                  <w:r>
                    <w:rPr>
                      <w:color w:val="000000"/>
                      <w:sz w:val="21"/>
                    </w:rPr>
                    <w:t>、高分课程榜：支持按督导评分高低显示课程排行榜。</w:t>
                  </w:r>
                </w:p>
                <w:p>
                  <w:pPr>
                    <w:jc w:val="both"/>
                  </w:pPr>
                  <w:r>
                    <w:rPr>
                      <w:color w:val="000000"/>
                      <w:sz w:val="21"/>
                    </w:rPr>
                    <w:t>2.</w:t>
                  </w:r>
                  <w:r>
                    <w:rPr>
                      <w:color w:val="000000"/>
                      <w:sz w:val="21"/>
                    </w:rPr>
                    <w:t>课程资源看板：</w:t>
                  </w:r>
                </w:p>
                <w:p>
                  <w:pPr>
                    <w:jc w:val="both"/>
                  </w:pPr>
                  <w:r>
                    <w:rPr>
                      <w:color w:val="000000"/>
                      <w:sz w:val="21"/>
                    </w:rPr>
                    <w:t>a</w:t>
                  </w:r>
                  <w:r>
                    <w:rPr>
                      <w:color w:val="000000"/>
                      <w:sz w:val="21"/>
                    </w:rPr>
                    <w:t>、课程资源统计：支持查看课程资源数据，包括累计课程数、视频数、录课老师人数、观看学生人数、累计观看人次等；</w:t>
                  </w:r>
                </w:p>
                <w:p>
                  <w:pPr>
                    <w:jc w:val="both"/>
                  </w:pPr>
                  <w:r>
                    <w:rPr>
                      <w:color w:val="000000"/>
                      <w:sz w:val="21"/>
                    </w:rPr>
                    <w:t>b</w:t>
                  </w:r>
                  <w:r>
                    <w:rPr>
                      <w:color w:val="000000"/>
                      <w:sz w:val="21"/>
                    </w:rPr>
                    <w:t>、学院课程统计：支持按学院、课程分别统计累计产生的课程资源数量，并以柱状图的方式呈现；</w:t>
                  </w:r>
                </w:p>
                <w:p>
                  <w:pPr>
                    <w:jc w:val="both"/>
                  </w:pPr>
                  <w:r>
                    <w:rPr>
                      <w:color w:val="000000"/>
                      <w:sz w:val="21"/>
                    </w:rPr>
                    <w:t>c</w:t>
                  </w:r>
                  <w:r>
                    <w:rPr>
                      <w:color w:val="000000"/>
                      <w:sz w:val="21"/>
                    </w:rPr>
                    <w:t>、热门视频：支持按观看人次显示视频排行榜，可显示视频的课程名称、所属学院、上课老师等信息，点击可直接播放对应视频；</w:t>
                  </w:r>
                </w:p>
                <w:p>
                  <w:pPr>
                    <w:jc w:val="both"/>
                  </w:pPr>
                  <w:r>
                    <w:rPr>
                      <w:color w:val="000000"/>
                      <w:sz w:val="21"/>
                    </w:rPr>
                    <w:t>d</w:t>
                  </w:r>
                  <w:r>
                    <w:rPr>
                      <w:color w:val="000000"/>
                      <w:sz w:val="21"/>
                    </w:rPr>
                    <w:t>、词云频率统计：支持通过词云查看被评价过的课程的次数占比，被评价次数越多，课程名字字号越大，位置越居中。</w:t>
                  </w:r>
                </w:p>
                <w:p>
                  <w:pPr>
                    <w:jc w:val="both"/>
                  </w:pPr>
                  <w:r>
                    <w:rPr>
                      <w:b/>
                      <w:color w:val="000000"/>
                      <w:sz w:val="21"/>
                    </w:rPr>
                    <w:t>八、移动门户</w:t>
                  </w:r>
                </w:p>
                <w:p>
                  <w:pPr>
                    <w:jc w:val="both"/>
                  </w:pPr>
                  <w:r>
                    <w:rPr>
                      <w:color w:val="000000"/>
                      <w:sz w:val="21"/>
                    </w:rPr>
                    <w:t>1.</w:t>
                  </w:r>
                  <w:r>
                    <w:rPr>
                      <w:color w:val="000000"/>
                      <w:sz w:val="21"/>
                    </w:rPr>
                    <w:t>支持将平台常用应用上架到学校移动门户上，供本校师生常态化使用，包括实时巡课、点播巡课、资源中心、学习空间4个模块；模块支持按不同用户的角色配置，提供相应的使用权限。</w:t>
                  </w:r>
                </w:p>
                <w:p>
                  <w:pPr>
                    <w:jc w:val="both"/>
                  </w:pPr>
                  <w:r>
                    <w:rPr>
                      <w:b/>
                      <w:color w:val="000000"/>
                      <w:sz w:val="21"/>
                    </w:rPr>
                    <w:t>九、智能设备集中控制平台</w:t>
                  </w:r>
                </w:p>
                <w:p>
                  <w:pPr>
                    <w:jc w:val="both"/>
                  </w:pPr>
                  <w:r>
                    <w:rPr>
                      <w:color w:val="000000"/>
                      <w:sz w:val="21"/>
                    </w:rPr>
                    <w:t>1.</w:t>
                  </w:r>
                  <w:r>
                    <w:rPr>
                      <w:color w:val="000000"/>
                      <w:sz w:val="21"/>
                    </w:rPr>
                    <w:t>系统采用B/S架构，以浏览器登录的管理方式，支持用户在安卓、IOS、Windows等操作系统通过浏览器登录并访问智能设备集中控制平台。</w:t>
                  </w:r>
                </w:p>
                <w:p>
                  <w:pPr>
                    <w:jc w:val="both"/>
                  </w:pPr>
                  <w:r>
                    <w:rPr>
                      <w:color w:val="000000"/>
                      <w:sz w:val="21"/>
                    </w:rPr>
                    <w:t>2.</w:t>
                  </w:r>
                  <w:r>
                    <w:rPr>
                      <w:color w:val="000000"/>
                      <w:sz w:val="21"/>
                    </w:rPr>
                    <w:t>智能设备集中控制平台首页能够显示教室使用情况、教室使用率、课程上课数量等相关信息，并以饼状图、折线图等进行显示。</w:t>
                  </w:r>
                </w:p>
                <w:p>
                  <w:pPr>
                    <w:jc w:val="both"/>
                  </w:pPr>
                  <w:r>
                    <w:rPr>
                      <w:color w:val="000000"/>
                      <w:sz w:val="21"/>
                    </w:rPr>
                    <w:t>3.</w:t>
                  </w:r>
                  <w:r>
                    <w:rPr>
                      <w:color w:val="000000"/>
                      <w:sz w:val="21"/>
                    </w:rPr>
                    <w:t>智能设备集中控制平台支持教室的多层级架构设计：支持校区、教学楼、楼层、班级四层设置，可以根据学校教室的数量和楼层分布状况进行教室名称和分类的编辑。</w:t>
                  </w:r>
                </w:p>
                <w:p>
                  <w:pPr>
                    <w:jc w:val="both"/>
                  </w:pPr>
                  <w:r>
                    <w:rPr>
                      <w:color w:val="000000"/>
                      <w:sz w:val="21"/>
                    </w:rPr>
                    <w:t>4.</w:t>
                  </w:r>
                  <w:r>
                    <w:rPr>
                      <w:color w:val="000000"/>
                      <w:sz w:val="21"/>
                    </w:rPr>
                    <w:t>智能设备集中控制平台支持集中显示、远程控制教室所有受控设备开关状态，至少包括：一体机、电脑、投影机，并支持智能延时开关机保护。</w:t>
                  </w:r>
                </w:p>
                <w:p>
                  <w:pPr>
                    <w:jc w:val="both"/>
                  </w:pPr>
                  <w:r>
                    <w:rPr>
                      <w:color w:val="000000"/>
                      <w:sz w:val="21"/>
                    </w:rPr>
                    <w:t>5.</w:t>
                  </w:r>
                  <w:r>
                    <w:rPr>
                      <w:color w:val="000000"/>
                      <w:sz w:val="21"/>
                    </w:rPr>
                    <w:t>智能设备集中控制平台支持选定多个教室的多媒体设备，进行一键开启和关闭，至少包括：一体机、电脑、投影机。</w:t>
                  </w:r>
                </w:p>
                <w:p>
                  <w:pPr>
                    <w:jc w:val="both"/>
                  </w:pPr>
                  <w:r>
                    <w:rPr>
                      <w:color w:val="000000"/>
                      <w:sz w:val="21"/>
                    </w:rPr>
                    <w:t>6.</w:t>
                  </w:r>
                  <w:r>
                    <w:rPr>
                      <w:color w:val="000000"/>
                      <w:sz w:val="21"/>
                    </w:rPr>
                    <w:t>智能设备集中控制平台支持对教室多媒体设备功耗和电脑状态的监测，包括：查看教室内设备能耗（包含电脑、投影、中控等），教室电脑的实时运行状态（包含IP地址、MAC地址、CPU和内存的使用率、磁盘的使用率等）。</w:t>
                  </w:r>
                </w:p>
                <w:p>
                  <w:pPr>
                    <w:jc w:val="both"/>
                  </w:pPr>
                  <w:r>
                    <w:rPr>
                      <w:color w:val="000000"/>
                      <w:sz w:val="21"/>
                    </w:rPr>
                    <w:t>7.</w:t>
                  </w:r>
                  <w:r>
                    <w:rPr>
                      <w:color w:val="000000"/>
                      <w:sz w:val="21"/>
                    </w:rPr>
                    <w:t>智能设备集中控制平台能够实时反馈教室及设备的状态，如设备故障告警、设备异常使用、空闲教室、策略运行状态等，其中设备故障警告可以根据教室的排课情况进行优先级分类，每类状态均能查看详细的描述，并能通过企业微信发送到指定管理员。</w:t>
                  </w:r>
                </w:p>
                <w:p>
                  <w:pPr>
                    <w:jc w:val="both"/>
                  </w:pPr>
                  <w:r>
                    <w:rPr>
                      <w:color w:val="000000"/>
                      <w:sz w:val="21"/>
                    </w:rPr>
                    <w:t>8.</w:t>
                  </w:r>
                  <w:r>
                    <w:rPr>
                      <w:color w:val="000000"/>
                      <w:sz w:val="21"/>
                    </w:rPr>
                    <w:t>智能设备集中控制平台支持记录设备每次开关机时间和对应的操作人员，方便管理员对设备进行监管。</w:t>
                  </w:r>
                </w:p>
                <w:p>
                  <w:pPr>
                    <w:jc w:val="both"/>
                  </w:pPr>
                  <w:r>
                    <w:rPr>
                      <w:color w:val="000000"/>
                      <w:sz w:val="21"/>
                    </w:rPr>
                    <w:t>9.</w:t>
                  </w:r>
                  <w:r>
                    <w:rPr>
                      <w:color w:val="000000"/>
                      <w:sz w:val="21"/>
                    </w:rPr>
                    <w:t>智能设备集中控制平台可自动执行用户设定的自动化策略，包括自动开机策略、自动关机策略。策略可按周循环、按课表执行等重复模式，也可设定控制的教室范围、执行时间等，用户可随时启用/停用已设定的自动化策略。</w:t>
                  </w:r>
                </w:p>
                <w:p>
                  <w:pPr>
                    <w:jc w:val="both"/>
                  </w:pPr>
                  <w:r>
                    <w:rPr>
                      <w:color w:val="000000"/>
                      <w:sz w:val="21"/>
                    </w:rPr>
                    <w:t>10.</w:t>
                  </w:r>
                  <w:r>
                    <w:rPr>
                      <w:color w:val="000000"/>
                      <w:sz w:val="21"/>
                    </w:rPr>
                    <w:t>智能设备集中控制平台支持建立设备的各类周期性维护计划，支持管控自定义需求添加，包括投影机灯泡更换、滤网除尘等，在到期后平台可自动提醒相应维护人员。</w:t>
                  </w:r>
                </w:p>
                <w:p>
                  <w:pPr>
                    <w:jc w:val="both"/>
                  </w:pPr>
                  <w:r>
                    <w:rPr>
                      <w:color w:val="000000"/>
                      <w:sz w:val="21"/>
                    </w:rPr>
                    <w:t>11.</w:t>
                  </w:r>
                  <w:r>
                    <w:rPr>
                      <w:color w:val="000000"/>
                      <w:sz w:val="21"/>
                    </w:rPr>
                    <w:t>智能设备集中控制平台支持在线巡检功能，巡检画面含教师监控视频画面、学生监控视频画面、教学电脑三路同时显示。可收听老师上课声音，具备课程信息、老师信息，实时根据课表更新课程信息；根据巡课情况，老师可在巡课界面进行备注记录。</w:t>
                  </w:r>
                </w:p>
                <w:p>
                  <w:pPr>
                    <w:jc w:val="both"/>
                  </w:pPr>
                  <w:r>
                    <w:rPr>
                      <w:color w:val="000000"/>
                      <w:sz w:val="21"/>
                    </w:rPr>
                    <w:t>12.</w:t>
                  </w:r>
                  <w:r>
                    <w:rPr>
                      <w:color w:val="000000"/>
                      <w:sz w:val="21"/>
                    </w:rPr>
                    <w:t>智能设备集中控制平台支持图像巡课和列表巡课两种模式。图像巡课支持单页面同时显示不少于6间教室的监控视频画面，且每个画面都需至少包含教室信息、课程信息、上课教师等信息；列表巡课支持以表格的形式快速罗列当前所有的教室列表和对应的课程信息、上课教师等信息。</w:t>
                  </w:r>
                </w:p>
                <w:p>
                  <w:pPr>
                    <w:jc w:val="both"/>
                  </w:pPr>
                  <w:r>
                    <w:rPr>
                      <w:color w:val="000000"/>
                      <w:sz w:val="21"/>
                    </w:rPr>
                    <w:t>13.</w:t>
                  </w:r>
                  <w:r>
                    <w:rPr>
                      <w:color w:val="000000"/>
                      <w:sz w:val="21"/>
                    </w:rPr>
                    <w:t>智能设备集中控制平台提供故障处理跟踪功能，能够对每个故障进行工单派遣，对整个处理流程进行跟踪、监管，并对上门服务人员、报障人、故障类型及故障描述进行记录。</w:t>
                  </w:r>
                </w:p>
                <w:p>
                  <w:pPr>
                    <w:jc w:val="both"/>
                  </w:pPr>
                  <w:r>
                    <w:rPr>
                      <w:color w:val="000000"/>
                      <w:sz w:val="21"/>
                    </w:rPr>
                    <w:t>14.</w:t>
                  </w:r>
                  <w:r>
                    <w:rPr>
                      <w:color w:val="000000"/>
                      <w:sz w:val="21"/>
                    </w:rPr>
                    <w:t>智能设备集中控制平台能够跟踪故障的处理状态，并对上门服务人员、处理过程、处理时间进行记录，方便管理人员把控故障处理整体情况，运维人员回溯各类故障的处理过程。</w:t>
                  </w:r>
                </w:p>
                <w:p>
                  <w:pPr>
                    <w:jc w:val="both"/>
                  </w:pPr>
                  <w:r>
                    <w:rPr>
                      <w:color w:val="000000"/>
                      <w:sz w:val="21"/>
                    </w:rPr>
                    <w:t>15.</w:t>
                  </w:r>
                  <w:r>
                    <w:rPr>
                      <w:color w:val="000000"/>
                      <w:sz w:val="21"/>
                    </w:rPr>
                    <w:t>智能设备集中控制平台可与教室内的中控主机及中控面板联动，检测教室设备的运行状态，一旦发现设备出现异常或故障，将立即向管理人员发出。</w:t>
                  </w:r>
                </w:p>
                <w:p>
                  <w:pPr>
                    <w:jc w:val="both"/>
                  </w:pPr>
                  <w:r>
                    <w:rPr>
                      <w:color w:val="000000"/>
                      <w:sz w:val="21"/>
                    </w:rPr>
                    <w:t>16.</w:t>
                  </w:r>
                  <w:r>
                    <w:rPr>
                      <w:color w:val="000000"/>
                      <w:sz w:val="21"/>
                    </w:rPr>
                    <w:t>智能设备集中控制平台支持对教室端的多媒体设备进行资产统计管理功能，可以通过平台对前端设备的状态、所属教学楼、教室名、设备类型、品牌、型号、采购日期、使用时长、录入时间、采购部门等信息进行统计，并生成相关的统计报表，设备信息维护过程中可以Excel表格批量导入、导出。</w:t>
                  </w:r>
                </w:p>
                <w:p>
                  <w:pPr>
                    <w:jc w:val="both"/>
                  </w:pPr>
                  <w:r>
                    <w:rPr>
                      <w:color w:val="000000"/>
                      <w:sz w:val="21"/>
                    </w:rPr>
                    <w:t>17.</w:t>
                  </w:r>
                  <w:r>
                    <w:rPr>
                      <w:color w:val="000000"/>
                      <w:sz w:val="21"/>
                    </w:rPr>
                    <w:t>智能设备集中控制平台支持实时发送文字消息到指定教室的电脑画面上，并可设置显示时长、限制位置，支持强制开机推送。</w:t>
                  </w:r>
                </w:p>
                <w:p>
                  <w:pPr>
                    <w:jc w:val="both"/>
                  </w:pPr>
                  <w:r>
                    <w:rPr>
                      <w:color w:val="000000"/>
                      <w:sz w:val="21"/>
                    </w:rPr>
                    <w:t>18.</w:t>
                  </w:r>
                  <w:r>
                    <w:rPr>
                      <w:color w:val="000000"/>
                      <w:sz w:val="21"/>
                    </w:rPr>
                    <w:t>智能设备集中控制平台支持教室使用率分析、设备使用时间和寿命统计、设备故障统计分析。</w:t>
                  </w:r>
                </w:p>
                <w:p>
                  <w:pPr>
                    <w:jc w:val="both"/>
                  </w:pPr>
                  <w:r>
                    <w:rPr>
                      <w:color w:val="000000"/>
                      <w:sz w:val="21"/>
                    </w:rPr>
                    <w:t>19.</w:t>
                  </w:r>
                  <w:r>
                    <w:rPr>
                      <w:color w:val="000000"/>
                      <w:sz w:val="21"/>
                    </w:rPr>
                    <w:t>智能设备集中控制平台支持自动采集运维业务和教室设备状态数据，并智能分析处理，为管理人员推送运维建议，包括但不限于教室长期未巡检提醒和故障长期未处理提醒等。</w:t>
                  </w:r>
                </w:p>
                <w:p>
                  <w:pPr>
                    <w:jc w:val="both"/>
                  </w:pPr>
                  <w:r>
                    <w:rPr>
                      <w:color w:val="000000"/>
                      <w:sz w:val="21"/>
                    </w:rPr>
                    <w:t>20.</w:t>
                  </w:r>
                  <w:r>
                    <w:rPr>
                      <w:color w:val="000000"/>
                      <w:sz w:val="21"/>
                    </w:rPr>
                    <w:t>支持对设备的各种异常进行告警，包括但不限于设备离线、设备老化告警等，点击每类告警信息能看到详细故障告警情况。</w:t>
                  </w:r>
                </w:p>
                <w:p>
                  <w:pPr>
                    <w:jc w:val="both"/>
                  </w:pPr>
                  <w:r>
                    <w:rPr>
                      <w:color w:val="000000"/>
                      <w:sz w:val="21"/>
                    </w:rPr>
                    <w:t>21.</w:t>
                  </w:r>
                  <w:r>
                    <w:rPr>
                      <w:color w:val="000000"/>
                      <w:sz w:val="21"/>
                    </w:rPr>
                    <w:t>智能设备集中控制平台支持调换教室功能，特殊情况下为管理老师智能推荐可调换的教室。平台具备智能查找教室功能，可根据使用时间、教室类型、所需设备等条件，快速筛选出合适的教室。</w:t>
                  </w:r>
                </w:p>
                <w:p>
                  <w:pPr>
                    <w:jc w:val="both"/>
                  </w:pPr>
                  <w:r>
                    <w:rPr>
                      <w:color w:val="000000"/>
                      <w:sz w:val="21"/>
                    </w:rPr>
                    <w:t>22.</w:t>
                  </w:r>
                  <w:r>
                    <w:rPr>
                      <w:color w:val="000000"/>
                      <w:sz w:val="21"/>
                    </w:rPr>
                    <w:t>智能设备集中控制平台支持课室借用申请功能，申请人可在手机、电脑端提出教室借用申请，管理人员根据教室使用情况进行审批。</w:t>
                  </w:r>
                </w:p>
                <w:p>
                  <w:pPr>
                    <w:jc w:val="both"/>
                  </w:pPr>
                  <w:r>
                    <w:rPr>
                      <w:color w:val="000000"/>
                      <w:sz w:val="21"/>
                    </w:rPr>
                    <w:t>23.</w:t>
                  </w:r>
                  <w:r>
                    <w:rPr>
                      <w:color w:val="000000"/>
                      <w:sz w:val="21"/>
                    </w:rPr>
                    <w:t>智能设备集中控制平台具备设备远程升级功能，支持对中控面板及多媒体管理软件进行远程升级，每次升级后，可生成日志文件，随时备查。</w:t>
                  </w:r>
                </w:p>
                <w:p>
                  <w:pPr>
                    <w:jc w:val="both"/>
                  </w:pPr>
                  <w:r>
                    <w:rPr>
                      <w:color w:val="000000"/>
                      <w:sz w:val="21"/>
                    </w:rPr>
                    <w:t>24.</w:t>
                  </w:r>
                  <w:r>
                    <w:rPr>
                      <w:color w:val="000000"/>
                      <w:sz w:val="21"/>
                    </w:rPr>
                    <w:t>智能设备集中控制平台支持与学校数据中心课程表对接，支持导入学校课程表内容，根据课表时间、地点自动开启/关闭设备；支持在web管理页面直接编辑课表，实现快速调课。</w:t>
                  </w:r>
                </w:p>
                <w:p>
                  <w:pPr>
                    <w:jc w:val="both"/>
                  </w:pPr>
                  <w:r>
                    <w:rPr>
                      <w:color w:val="000000"/>
                      <w:sz w:val="21"/>
                    </w:rPr>
                    <w:t>25.</w:t>
                  </w:r>
                  <w:r>
                    <w:rPr>
                      <w:color w:val="000000"/>
                      <w:sz w:val="21"/>
                    </w:rPr>
                    <w:t>系统需实现与刷卡功能的联动，通过刷卡来控制设备，系统可以记录每张卡的详细信息，名字、工号、院系、联系方式、卡号等。</w:t>
                  </w:r>
                </w:p>
                <w:p>
                  <w:pPr>
                    <w:jc w:val="both"/>
                  </w:pPr>
                  <w:r>
                    <w:rPr>
                      <w:color w:val="000000"/>
                      <w:sz w:val="21"/>
                    </w:rPr>
                    <w:t>26.</w:t>
                  </w:r>
                  <w:r>
                    <w:rPr>
                      <w:color w:val="000000"/>
                      <w:sz w:val="21"/>
                    </w:rPr>
                    <w:t>支持IP语音通话功能，便于远程协助排障，系统能自动将每次通话的主叫课室、开始时间、通话时长、通话内容进行记录，可以对录音进行播放、删除（需要提供权限才可以进行操作），便于对出现问题的进行追溯。</w:t>
                  </w:r>
                </w:p>
                <w:p>
                  <w:pPr>
                    <w:jc w:val="both"/>
                  </w:pPr>
                  <w:r>
                    <w:rPr>
                      <w:b/>
                      <w:color w:val="000000"/>
                      <w:sz w:val="21"/>
                    </w:rPr>
                    <w:t>十、智慧班牌平台</w:t>
                  </w:r>
                </w:p>
                <w:p>
                  <w:pPr>
                    <w:jc w:val="both"/>
                  </w:pPr>
                  <w:r>
                    <w:rPr>
                      <w:color w:val="000000"/>
                      <w:sz w:val="21"/>
                    </w:rPr>
                    <w:t>1.</w:t>
                  </w:r>
                  <w:r>
                    <w:rPr>
                      <w:color w:val="000000"/>
                      <w:sz w:val="21"/>
                    </w:rPr>
                    <w:t>服务端采用B/S架构；</w:t>
                  </w:r>
                </w:p>
                <w:p>
                  <w:pPr>
                    <w:jc w:val="both"/>
                  </w:pPr>
                  <w:r>
                    <w:rPr>
                      <w:color w:val="000000"/>
                      <w:sz w:val="21"/>
                    </w:rPr>
                    <w:t>2.</w:t>
                  </w:r>
                  <w:r>
                    <w:rPr>
                      <w:color w:val="000000"/>
                      <w:sz w:val="21"/>
                    </w:rPr>
                    <w:t>课表显示：支持与教务课表对接，并实时显示本周和查下周内场地课表和课室形态图信息，课程到点可最大化课表窗口，并提示下节课程内容；</w:t>
                  </w:r>
                </w:p>
                <w:p>
                  <w:pPr>
                    <w:jc w:val="both"/>
                  </w:pPr>
                  <w:r>
                    <w:rPr>
                      <w:color w:val="000000"/>
                      <w:sz w:val="21"/>
                    </w:rPr>
                    <w:t>3.</w:t>
                  </w:r>
                  <w:r>
                    <w:rPr>
                      <w:color w:val="000000"/>
                      <w:sz w:val="21"/>
                    </w:rPr>
                    <w:t>门禁授权:系统可录入管理人员卡号、身份证、人脸，并指定其可开启的课室，可不限时开启被授权的课室门禁,支持扫二维码开启门禁；</w:t>
                  </w:r>
                </w:p>
                <w:p>
                  <w:pPr>
                    <w:jc w:val="both"/>
                  </w:pPr>
                  <w:r>
                    <w:rPr>
                      <w:color w:val="000000"/>
                      <w:sz w:val="21"/>
                    </w:rPr>
                    <w:t>4.</w:t>
                  </w:r>
                  <w:r>
                    <w:rPr>
                      <w:color w:val="000000"/>
                      <w:sz w:val="21"/>
                    </w:rPr>
                    <w:t>空间管理:支持空间的组建、设备与状态查看、空间分类和空间使用统计；</w:t>
                  </w:r>
                </w:p>
                <w:p>
                  <w:pPr>
                    <w:jc w:val="both"/>
                  </w:pPr>
                  <w:r>
                    <w:rPr>
                      <w:color w:val="000000"/>
                      <w:sz w:val="21"/>
                    </w:rPr>
                    <w:t>5.</w:t>
                  </w:r>
                  <w:r>
                    <w:rPr>
                      <w:color w:val="000000"/>
                      <w:sz w:val="21"/>
                    </w:rPr>
                    <w:t>门禁管理:可对门禁设备进行配置和管理，支持门禁分类和分组，支持远程查看设备状态等；投标时提供门禁管理系统能提供空间创建过程的彩色截图；</w:t>
                  </w:r>
                </w:p>
                <w:p>
                  <w:pPr>
                    <w:jc w:val="both"/>
                  </w:pPr>
                  <w:r>
                    <w:rPr>
                      <w:color w:val="000000"/>
                      <w:sz w:val="21"/>
                    </w:rPr>
                    <w:t>6.</w:t>
                  </w:r>
                  <w:r>
                    <w:rPr>
                      <w:color w:val="000000"/>
                      <w:sz w:val="21"/>
                    </w:rPr>
                    <w:t>用户管理:支持用户的增删改查、分类分组功能，支持从现有一卡通系统同步用户数据，兼容现有的用户中心；</w:t>
                  </w:r>
                </w:p>
                <w:p>
                  <w:pPr>
                    <w:jc w:val="both"/>
                  </w:pPr>
                  <w:r>
                    <w:rPr>
                      <w:color w:val="000000"/>
                      <w:sz w:val="21"/>
                    </w:rPr>
                    <w:t>7.</w:t>
                  </w:r>
                  <w:r>
                    <w:rPr>
                      <w:color w:val="000000"/>
                      <w:sz w:val="21"/>
                    </w:rPr>
                    <w:t>授权管理:支持对用户进行任意时间段、任意空间的门禁授权，支持分组授权和批量授权。支持实时查看授权状态和刷卡记录；</w:t>
                  </w:r>
                </w:p>
                <w:p>
                  <w:pPr>
                    <w:jc w:val="both"/>
                  </w:pPr>
                  <w:r>
                    <w:rPr>
                      <w:color w:val="000000"/>
                      <w:sz w:val="21"/>
                    </w:rPr>
                    <w:t>8.</w:t>
                  </w:r>
                  <w:r>
                    <w:rPr>
                      <w:color w:val="000000"/>
                      <w:sz w:val="21"/>
                    </w:rPr>
                    <w:t>预约管理:用户可web在线提交预约申请，支持自动审核分配空间与管理员人工审核分配空间；管理员可自定义不同用户的申请权限和空间分配规则；支持申请处理进度公示和查询，支持预约情况统计；</w:t>
                  </w:r>
                </w:p>
                <w:p>
                  <w:pPr>
                    <w:jc w:val="both"/>
                  </w:pPr>
                  <w:r>
                    <w:rPr>
                      <w:color w:val="000000"/>
                      <w:sz w:val="21"/>
                    </w:rPr>
                    <w:t>9.</w:t>
                  </w:r>
                  <w:r>
                    <w:rPr>
                      <w:color w:val="000000"/>
                      <w:sz w:val="21"/>
                    </w:rPr>
                    <w:t>统计报表:可生成空间使用情况统计，支持不同时间段、不同用户、不同身份、不同空间的组合查询统计。</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其他设备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环境配套改造：</w:t>
            </w:r>
            <w:r>
              <w:rPr>
                <w:b/>
                <w:color w:val="000000"/>
                <w:sz w:val="21"/>
              </w:rPr>
              <w:t>★</w:t>
            </w:r>
            <w:r>
              <w:rPr>
                <w:color w:val="000000"/>
                <w:sz w:val="21"/>
              </w:rPr>
              <w:t>需结合学院的特色及教室的功能需求对6间全功能智慧教室及部分走廊进行室内环境设计与改造，投标时提供设计方案及效果图。</w:t>
            </w:r>
          </w:p>
        </w:tc>
      </w:tr>
      <w:tr>
        <w:tc>
          <w:tcPr>
            <w:tcW w:type="dxa" w:w="2076"/>
          </w:tcPr>
          <w:p>
            <w:r>
              <w:rPr/>
              <w:t>▲</w:t>
            </w:r>
          </w:p>
        </w:tc>
        <w:tc>
          <w:tcPr>
            <w:tcW w:type="dxa" w:w="415"/>
          </w:tcPr>
          <w:p>
            <w:r>
              <w:rPr/>
              <w:t>2</w:t>
            </w:r>
          </w:p>
        </w:tc>
        <w:tc>
          <w:tcPr>
            <w:tcW w:type="dxa" w:w="5814"/>
          </w:tcPr>
          <w:p>
            <w:pPr>
              <w:jc w:val="both"/>
            </w:pPr>
            <w:r>
              <w:rPr>
                <w:color w:val="000000"/>
                <w:sz w:val="21"/>
              </w:rPr>
              <w:t>集控管理系统：</w:t>
            </w:r>
            <w:r>
              <w:rPr>
                <w:color w:val="000000"/>
                <w:sz w:val="21"/>
              </w:rPr>
              <w:t>▲</w:t>
            </w:r>
            <w:r>
              <w:rPr>
                <w:color w:val="000000"/>
                <w:sz w:val="21"/>
              </w:rPr>
              <w:t xml:space="preserve">26. </w:t>
            </w:r>
            <w:r>
              <w:rPr>
                <w:color w:val="000000"/>
                <w:sz w:val="21"/>
              </w:rPr>
              <w:t>需对学校教室原有交互智能平板和新增设备进行集中控制管理，统一管控，远程运维。</w:t>
            </w:r>
          </w:p>
        </w:tc>
      </w:tr>
      <w:tr>
        <w:tc>
          <w:tcPr>
            <w:tcW w:type="dxa" w:w="2076"/>
          </w:tcPr>
          <w:p>
            <w:r>
              <w:rPr/>
              <w:t>▲</w:t>
            </w:r>
          </w:p>
        </w:tc>
        <w:tc>
          <w:tcPr>
            <w:tcW w:type="dxa" w:w="415"/>
          </w:tcPr>
          <w:p>
            <w:r>
              <w:rPr/>
              <w:t>3</w:t>
            </w:r>
          </w:p>
        </w:tc>
        <w:tc>
          <w:tcPr>
            <w:tcW w:type="dxa" w:w="5814"/>
          </w:tcPr>
          <w:p>
            <w:pPr>
              <w:jc w:val="both"/>
            </w:pPr>
            <w:r>
              <w:rPr>
                <w:color w:val="000000"/>
                <w:sz w:val="21"/>
              </w:rPr>
              <w:t>98</w:t>
            </w:r>
            <w:r>
              <w:rPr>
                <w:color w:val="000000"/>
                <w:sz w:val="21"/>
              </w:rPr>
              <w:t>英寸交互智能平板</w:t>
            </w:r>
            <w:r>
              <w:rPr>
                <w:color w:val="000000"/>
                <w:sz w:val="21"/>
              </w:rPr>
              <w:t>：</w:t>
            </w:r>
            <w:r>
              <w:rPr>
                <w:color w:val="000000"/>
                <w:sz w:val="21"/>
              </w:rPr>
              <w:t>▲</w:t>
            </w:r>
            <w:r>
              <w:rPr>
                <w:color w:val="000000"/>
                <w:sz w:val="21"/>
              </w:rPr>
              <w:t>6.</w:t>
            </w:r>
            <w:r>
              <w:rPr>
                <w:color w:val="000000"/>
                <w:sz w:val="21"/>
              </w:rPr>
              <w:t>整机内置非独立摄像头，拍摄像素数≥4800万。整机内置摄像头（非外扩），PC通道下支持通过视频展台软件调用摄像头进行二维码扫码识别。</w:t>
            </w:r>
          </w:p>
          <w:p>
            <w:pPr>
              <w:jc w:val="both"/>
            </w:pPr>
            <w:r>
              <w:rPr/>
              <w:t xml:space="preserve"> </w:t>
            </w:r>
          </w:p>
        </w:tc>
      </w:tr>
      <w:tr>
        <w:tc>
          <w:tcPr>
            <w:tcW w:type="dxa" w:w="2076"/>
          </w:tcPr>
          <w:p>
            <w:r>
              <w:rPr/>
              <w:t>▲</w:t>
            </w:r>
          </w:p>
        </w:tc>
        <w:tc>
          <w:tcPr>
            <w:tcW w:type="dxa" w:w="415"/>
          </w:tcPr>
          <w:p>
            <w:r>
              <w:rPr/>
              <w:t>4</w:t>
            </w:r>
          </w:p>
        </w:tc>
        <w:tc>
          <w:tcPr>
            <w:tcW w:type="dxa" w:w="5814"/>
          </w:tcPr>
          <w:p>
            <w:pPr>
              <w:jc w:val="both"/>
            </w:pPr>
            <w:r>
              <w:rPr>
                <w:color w:val="000000"/>
                <w:sz w:val="21"/>
              </w:rPr>
              <w:t>98</w:t>
            </w:r>
            <w:r>
              <w:rPr>
                <w:color w:val="000000"/>
                <w:sz w:val="21"/>
              </w:rPr>
              <w:t>英寸交互智能平板</w:t>
            </w:r>
            <w:r>
              <w:rPr>
                <w:color w:val="000000"/>
                <w:sz w:val="21"/>
              </w:rPr>
              <w:t>：</w:t>
            </w:r>
            <w:r>
              <w:rPr>
                <w:color w:val="000000"/>
                <w:sz w:val="21"/>
              </w:rPr>
              <w:t>▲</w:t>
            </w:r>
            <w:r>
              <w:rPr>
                <w:color w:val="000000"/>
                <w:sz w:val="21"/>
              </w:rPr>
              <w:t>11.</w:t>
            </w:r>
            <w:r>
              <w:rPr>
                <w:color w:val="000000"/>
                <w:sz w:val="21"/>
              </w:rPr>
              <w:t>Wi-Fi及AP热点支持频段2.4GHz/5GHz， Wi-Fi制式支持IEEE 802.11 a/b/g/n/ac/ax；支持版本Wi-Fi6。</w:t>
            </w:r>
          </w:p>
        </w:tc>
      </w:tr>
      <w:tr>
        <w:tc>
          <w:tcPr>
            <w:tcW w:type="dxa" w:w="2076"/>
          </w:tcPr>
          <w:p>
            <w:r>
              <w:rPr/>
              <w:t>▲</w:t>
            </w:r>
          </w:p>
        </w:tc>
        <w:tc>
          <w:tcPr>
            <w:tcW w:type="dxa" w:w="415"/>
          </w:tcPr>
          <w:p>
            <w:r>
              <w:rPr/>
              <w:t>5</w:t>
            </w:r>
          </w:p>
        </w:tc>
        <w:tc>
          <w:tcPr>
            <w:tcW w:type="dxa" w:w="5814"/>
          </w:tcPr>
          <w:p>
            <w:r>
              <w:rPr>
                <w:color w:val="000000"/>
                <w:sz w:val="21"/>
              </w:rPr>
              <w:t>75</w:t>
            </w:r>
            <w:r>
              <w:rPr>
                <w:color w:val="000000"/>
                <w:sz w:val="21"/>
              </w:rPr>
              <w:t>英寸交互智能平板：</w:t>
            </w:r>
            <w:r>
              <w:rPr>
                <w:color w:val="000000"/>
                <w:sz w:val="21"/>
              </w:rPr>
              <w:t>▲</w:t>
            </w:r>
            <w:r>
              <w:rPr>
                <w:color w:val="000000"/>
                <w:sz w:val="21"/>
              </w:rPr>
              <w:t>6.</w:t>
            </w:r>
            <w:r>
              <w:rPr>
                <w:color w:val="000000"/>
                <w:sz w:val="21"/>
              </w:rPr>
              <w:t>整机内置非独立摄像头，拍摄照片像素数≥1600万。整机内置摄像头（非外扩），PC通道下支持通过视频展台软件调用摄像头进行二维码扫码识别。</w:t>
            </w:r>
          </w:p>
        </w:tc>
      </w:tr>
      <w:tr>
        <w:tc>
          <w:tcPr>
            <w:tcW w:type="dxa" w:w="2076"/>
          </w:tcPr>
          <w:p>
            <w:r>
              <w:rPr/>
              <w:t>▲</w:t>
            </w:r>
          </w:p>
        </w:tc>
        <w:tc>
          <w:tcPr>
            <w:tcW w:type="dxa" w:w="415"/>
          </w:tcPr>
          <w:p>
            <w:r>
              <w:rPr/>
              <w:t>6</w:t>
            </w:r>
          </w:p>
        </w:tc>
        <w:tc>
          <w:tcPr>
            <w:tcW w:type="dxa" w:w="5814"/>
          </w:tcPr>
          <w:p>
            <w:r>
              <w:rPr>
                <w:color w:val="000000"/>
                <w:sz w:val="21"/>
              </w:rPr>
              <w:t>互动录播主机：</w:t>
            </w:r>
            <w:r>
              <w:rPr>
                <w:color w:val="000000"/>
                <w:sz w:val="21"/>
              </w:rPr>
              <w:t>▲</w:t>
            </w:r>
            <w:r>
              <w:rPr>
                <w:color w:val="000000"/>
                <w:sz w:val="21"/>
              </w:rPr>
              <w:t>2.</w:t>
            </w:r>
            <w:r>
              <w:rPr>
                <w:color w:val="000000"/>
                <w:sz w:val="21"/>
              </w:rPr>
              <w:t>为保证系统整体编解码性能及使用稳定性，主机需采用ARM架构处理器，具备8核CPU，不少于4个主频2.4GHz芯片，且不少于4个主频1.8GHz芯片。采用Linux深度定制操作系统。</w:t>
            </w:r>
          </w:p>
        </w:tc>
      </w:tr>
      <w:tr>
        <w:tc>
          <w:tcPr>
            <w:tcW w:type="dxa" w:w="2076"/>
          </w:tcPr>
          <w:p>
            <w:r>
              <w:rPr/>
              <w:t>▲</w:t>
            </w:r>
          </w:p>
        </w:tc>
        <w:tc>
          <w:tcPr>
            <w:tcW w:type="dxa" w:w="415"/>
          </w:tcPr>
          <w:p>
            <w:r>
              <w:rPr/>
              <w:t>7</w:t>
            </w:r>
          </w:p>
        </w:tc>
        <w:tc>
          <w:tcPr>
            <w:tcW w:type="dxa" w:w="5814"/>
          </w:tcPr>
          <w:p>
            <w:pPr>
              <w:jc w:val="both"/>
            </w:pPr>
            <w:r>
              <w:rPr>
                <w:color w:val="000000"/>
                <w:sz w:val="21"/>
              </w:rPr>
              <w:t>▲</w:t>
            </w:r>
            <w:r>
              <w:rPr>
                <w:color w:val="000000"/>
                <w:sz w:val="21"/>
              </w:rPr>
              <w:t>4.</w:t>
            </w:r>
            <w:r>
              <w:rPr>
                <w:color w:val="000000"/>
                <w:sz w:val="21"/>
              </w:rPr>
              <w:t>为保证不影响授课，主机无风扇设计，主机噪声小于20dB（A）。（投标时提供第三方机构出具的具有CMA或CNAS标识的第三方检测报告扫描件）</w:t>
            </w:r>
          </w:p>
        </w:tc>
      </w:tr>
      <w:tr>
        <w:tc>
          <w:tcPr>
            <w:tcW w:type="dxa" w:w="2076"/>
          </w:tcPr>
          <w:p>
            <w:r>
              <w:rPr/>
              <w:t>▲</w:t>
            </w:r>
          </w:p>
        </w:tc>
        <w:tc>
          <w:tcPr>
            <w:tcW w:type="dxa" w:w="415"/>
          </w:tcPr>
          <w:p>
            <w:r>
              <w:rPr/>
              <w:t>8</w:t>
            </w:r>
          </w:p>
        </w:tc>
        <w:tc>
          <w:tcPr>
            <w:tcW w:type="dxa" w:w="5814"/>
          </w:tcPr>
          <w:p>
            <w:pPr>
              <w:jc w:val="both"/>
            </w:pPr>
            <w:r>
              <w:rPr>
                <w:color w:val="000000"/>
                <w:sz w:val="21"/>
              </w:rPr>
              <w:t>▲</w:t>
            </w:r>
            <w:r>
              <w:rPr>
                <w:color w:val="000000"/>
                <w:sz w:val="21"/>
              </w:rPr>
              <w:t xml:space="preserve">6. </w:t>
            </w:r>
            <w:r>
              <w:rPr>
                <w:color w:val="000000"/>
                <w:sz w:val="21"/>
              </w:rPr>
              <w:t>支持标准USB音视频信号输出，可以同时支持UVC和UAC协议，通过主机TypeC接口可以实现图像和声音同步输出，支持不小于4K图像输出，输出音频可通过主机控制软件实现混音，兼容主流视频会议软件。</w:t>
            </w:r>
          </w:p>
        </w:tc>
      </w:tr>
      <w:tr>
        <w:tc>
          <w:tcPr>
            <w:tcW w:type="dxa" w:w="2076"/>
          </w:tcPr>
          <w:p>
            <w:r>
              <w:rPr/>
              <w:t>▲</w:t>
            </w:r>
          </w:p>
        </w:tc>
        <w:tc>
          <w:tcPr>
            <w:tcW w:type="dxa" w:w="415"/>
          </w:tcPr>
          <w:p>
            <w:r>
              <w:rPr/>
              <w:t>9</w:t>
            </w:r>
          </w:p>
        </w:tc>
        <w:tc>
          <w:tcPr>
            <w:tcW w:type="dxa" w:w="5814"/>
          </w:tcPr>
          <w:p>
            <w:pPr>
              <w:jc w:val="both"/>
            </w:pPr>
            <w:r>
              <w:rPr>
                <w:color w:val="000000"/>
                <w:sz w:val="21"/>
              </w:rPr>
              <w:t>▲</w:t>
            </w:r>
            <w:r>
              <w:rPr>
                <w:color w:val="000000"/>
                <w:sz w:val="21"/>
              </w:rPr>
              <w:t xml:space="preserve">8. </w:t>
            </w:r>
            <w:r>
              <w:rPr>
                <w:color w:val="000000"/>
                <w:sz w:val="21"/>
              </w:rPr>
              <w:t>支持断电扩声，在主机完全断电的情况下，从主机线性音频通道上输入的音频可以从主机输出通道输出，且≥2个音频输入通道可以支持该功能，满足全场景的教学使用需求。</w:t>
            </w:r>
          </w:p>
        </w:tc>
      </w:tr>
      <w:tr>
        <w:tc>
          <w:tcPr>
            <w:tcW w:type="dxa" w:w="2076"/>
          </w:tcPr>
          <w:p>
            <w:r>
              <w:rPr/>
              <w:t>▲</w:t>
            </w:r>
          </w:p>
        </w:tc>
        <w:tc>
          <w:tcPr>
            <w:tcW w:type="dxa" w:w="415"/>
          </w:tcPr>
          <w:p>
            <w:r>
              <w:rPr/>
              <w:t>10</w:t>
            </w:r>
          </w:p>
        </w:tc>
        <w:tc>
          <w:tcPr>
            <w:tcW w:type="dxa" w:w="5814"/>
          </w:tcPr>
          <w:p>
            <w:pPr>
              <w:jc w:val="both"/>
            </w:pPr>
            <w:r>
              <w:rPr>
                <w:color w:val="000000"/>
                <w:sz w:val="21"/>
              </w:rPr>
              <w:t>98</w:t>
            </w:r>
            <w:r>
              <w:rPr>
                <w:color w:val="000000"/>
                <w:sz w:val="21"/>
              </w:rPr>
              <w:t>英寸交互智能平板：</w:t>
            </w:r>
            <w:r>
              <w:rPr>
                <w:color w:val="000000"/>
                <w:sz w:val="21"/>
              </w:rPr>
              <w:t>▲</w:t>
            </w:r>
            <w:r>
              <w:rPr>
                <w:color w:val="000000"/>
                <w:sz w:val="21"/>
              </w:rPr>
              <w:t>27.</w:t>
            </w:r>
            <w:r>
              <w:rPr>
                <w:color w:val="000000"/>
                <w:sz w:val="21"/>
              </w:rPr>
              <w:t>采用按压式卡扣，确保PC模块安装固定到位，同时无需工具就可快速拆卸电脑模块。电脑接口高度集成，降低接口损坏率，提高传输稳定性，采用≤40pin接口。（提供接口照片）</w:t>
            </w:r>
          </w:p>
        </w:tc>
      </w:tr>
      <w:tr>
        <w:tc>
          <w:tcPr>
            <w:tcW w:type="dxa" w:w="2076"/>
          </w:tcPr>
          <w:p/>
        </w:tc>
        <w:tc>
          <w:tcPr>
            <w:tcW w:type="dxa" w:w="415"/>
          </w:tcPr>
          <w:p>
            <w:r>
              <w:rPr/>
              <w:t>11</w:t>
            </w:r>
          </w:p>
        </w:tc>
        <w:tc>
          <w:tcPr>
            <w:tcW w:type="dxa" w:w="5814"/>
          </w:tcPr>
          <w:p>
            <w:r>
              <w:rPr/>
              <w:t>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广东机电职业技术学院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采购机构代理服务收费标准：详见委托协议。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机电职业技术学院综合实训楼S1智慧教室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采购包1（广东机电职业技术学院综合实训楼S1智慧教室建设项目）：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 政府采购政策性扶持（监狱企业、残疾人福利单位视同小型、微型企业）： 1）</w:t>
              <w:tab/>
              <w:t>投标产品均由小微企业生产且使用该小微企业商号或者注册商标，报价给予C1的价格扣除（C1的取值范围为10%），即：评标价＝核实价－小微企业产品核实价×C1； 2）</w:t>
              <w:tab/>
              <w:t>本条款所称小型或微型企业应当符合以下条件：符合小型或微型企业划分标准，提供本企业制造的货物或者提供其他小型或微型企业制造的货物； 3）</w:t>
              <w:tab/>
              <w:t>符合中小企业扶持政策的投标供应商应提交《中小企业声明函》，否则评审时不能享受相应的价格扣除；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采购包1（广东机电职业技术学院综合实训楼S1智慧教室建设项目）：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本项目不接受联合体投标，不接受分包。</w:t>
            </w:r>
          </w:p>
        </w:tc>
        <w:tc>
          <w:tcPr>
            <w:tcW w:type="dxa" w:w="4238"/>
          </w:tcPr>
          <w:p>
            <w:r>
              <w:rPr/>
              <w:t>本项目不接受联合体投标，不接受分包。</w:t>
            </w:r>
          </w:p>
        </w:tc>
      </w:tr>
      <w:tr>
        <w:tc>
          <w:tcPr>
            <w:tcW w:type="dxa" w:w="890"/>
          </w:tcPr>
          <w:p>
            <w:r>
              <w:rPr/>
              <w:t>9</w:t>
            </w:r>
          </w:p>
        </w:tc>
        <w:tc>
          <w:tcPr>
            <w:tcW w:type="dxa" w:w="3178"/>
          </w:tcPr>
          <w:p>
            <w:r>
              <w:rPr/>
              <w:t>供应商必须符合法律、行政法规规定的其他条件（可参照投标函相关承诺格式内容）。</w:t>
            </w:r>
          </w:p>
        </w:tc>
        <w:tc>
          <w:tcPr>
            <w:tcW w:type="dxa" w:w="4238"/>
          </w:tcPr>
          <w:p>
            <w:r>
              <w:rPr/>
              <w:t>供应商必须符合法律、行政法规规定的其他条件（可参照投标函相关承诺格式内容）。</w:t>
            </w:r>
          </w:p>
        </w:tc>
      </w:tr>
    </w:tbl>
    <w:p/>
    <w:p>
      <w:pPr>
        <w:ind w:firstLine="480"/>
      </w:pPr>
      <w:r>
        <w:rPr/>
        <w:t>表二符合性审查表：</w:t>
      </w:r>
    </w:p>
    <w:p>
      <w:pPr>
        <w:ind w:firstLine="480"/>
      </w:pPr>
    </w:p>
    <w:p/>
    <w:p>
      <w:r>
        <w:rPr/>
        <w:t>采购包1（广东机电职业技术学院综合实训楼S1智慧教室建设项目）：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投标价</w:t>
            </w:r>
          </w:p>
        </w:tc>
        <w:tc>
          <w:tcPr>
            <w:tcW w:type="dxa" w:w="4238"/>
          </w:tcPr>
          <w:p>
            <w:r>
              <w:rPr/>
              <w:t>投标（报价）总金额是固定且是唯一的，未超过本项目（包组）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3</w:t>
            </w:r>
          </w:p>
        </w:tc>
        <w:tc>
          <w:tcPr>
            <w:tcW w:type="dxa" w:w="3178"/>
          </w:tcPr>
          <w:p>
            <w:r>
              <w:rPr/>
              <w:t>报价漏项</w:t>
            </w:r>
          </w:p>
        </w:tc>
        <w:tc>
          <w:tcPr>
            <w:tcW w:type="dxa" w:w="4238"/>
          </w:tcPr>
          <w:p>
            <w:r>
              <w:rPr/>
              <w:t>对标的货物没有报价漏项。</w:t>
            </w:r>
          </w:p>
        </w:tc>
      </w:tr>
      <w:tr>
        <w:tc>
          <w:tcPr>
            <w:tcW w:type="dxa" w:w="890"/>
          </w:tcPr>
          <w:p>
            <w:r>
              <w:rPr/>
              <w:t>4</w:t>
            </w:r>
          </w:p>
        </w:tc>
        <w:tc>
          <w:tcPr>
            <w:tcW w:type="dxa" w:w="3178"/>
          </w:tcPr>
          <w:p>
            <w:r>
              <w:rPr/>
              <w:t>投标函</w:t>
            </w:r>
          </w:p>
        </w:tc>
        <w:tc>
          <w:tcPr>
            <w:tcW w:type="dxa" w:w="4238"/>
          </w:tcPr>
          <w:p>
            <w:r>
              <w:rPr/>
              <w:t>提交投标函。投标文件完整，投标内容基本完整，无重大错漏，并按要求签署、盖章。</w:t>
            </w:r>
          </w:p>
        </w:tc>
      </w:tr>
      <w:tr>
        <w:tc>
          <w:tcPr>
            <w:tcW w:type="dxa" w:w="890"/>
          </w:tcPr>
          <w:p>
            <w:r>
              <w:rPr/>
              <w:t>5</w:t>
            </w:r>
          </w:p>
        </w:tc>
        <w:tc>
          <w:tcPr>
            <w:tcW w:type="dxa" w:w="3178"/>
          </w:tcPr>
          <w:p>
            <w:r>
              <w:rPr/>
              <w:t>证明书、委托书</w:t>
            </w:r>
          </w:p>
        </w:tc>
        <w:tc>
          <w:tcPr>
            <w:tcW w:type="dxa" w:w="4238"/>
          </w:tcPr>
          <w:p>
            <w:r>
              <w:rPr/>
              <w:t>法定代表人/负责人资格证明书及授权委托书，按对应格式文件签署、盖章。</w:t>
            </w:r>
          </w:p>
        </w:tc>
      </w:tr>
      <w:tr>
        <w:tc>
          <w:tcPr>
            <w:tcW w:type="dxa" w:w="890"/>
          </w:tcPr>
          <w:p>
            <w:r>
              <w:rPr/>
              <w:t>6</w:t>
            </w:r>
          </w:p>
        </w:tc>
        <w:tc>
          <w:tcPr>
            <w:tcW w:type="dxa" w:w="3178"/>
          </w:tcPr>
          <w:p>
            <w:r>
              <w:rPr/>
              <w:t>投标有效期</w:t>
            </w:r>
          </w:p>
        </w:tc>
        <w:tc>
          <w:tcPr>
            <w:tcW w:type="dxa" w:w="4238"/>
          </w:tcPr>
          <w:p>
            <w:r>
              <w:rPr/>
              <w:t>投标有效期为投标截止日起不少于90天。</w:t>
            </w:r>
          </w:p>
        </w:tc>
      </w:tr>
      <w:tr>
        <w:tc>
          <w:tcPr>
            <w:tcW w:type="dxa" w:w="890"/>
          </w:tcPr>
          <w:p>
            <w:r>
              <w:rPr/>
              <w:t>7</w:t>
            </w:r>
          </w:p>
        </w:tc>
        <w:tc>
          <w:tcPr>
            <w:tcW w:type="dxa" w:w="3178"/>
          </w:tcPr>
          <w:p>
            <w:r>
              <w:rPr/>
              <w:t>进口产品</w:t>
            </w:r>
          </w:p>
        </w:tc>
        <w:tc>
          <w:tcPr>
            <w:tcW w:type="dxa" w:w="4238"/>
          </w:tcPr>
          <w:p>
            <w:r>
              <w:rPr/>
              <w:t>未以进口产品投标。</w:t>
            </w:r>
          </w:p>
        </w:tc>
      </w:tr>
      <w:tr>
        <w:tc>
          <w:tcPr>
            <w:tcW w:type="dxa" w:w="890"/>
          </w:tcPr>
          <w:p>
            <w:r>
              <w:rPr/>
              <w:t>8</w:t>
            </w:r>
          </w:p>
        </w:tc>
        <w:tc>
          <w:tcPr>
            <w:tcW w:type="dxa" w:w="3178"/>
          </w:tcPr>
          <w:p>
            <w:r>
              <w:rPr/>
              <w:t>★号条款</w:t>
            </w:r>
          </w:p>
        </w:tc>
        <w:tc>
          <w:tcPr>
            <w:tcW w:type="dxa" w:w="4238"/>
          </w:tcPr>
          <w:p>
            <w:r>
              <w:rPr/>
              <w:t>“★”号条款满足招标文件要求。</w:t>
            </w:r>
          </w:p>
        </w:tc>
      </w:tr>
      <w:tr>
        <w:tc>
          <w:tcPr>
            <w:tcW w:type="dxa" w:w="890"/>
          </w:tcPr>
          <w:p>
            <w:r>
              <w:rPr/>
              <w:t>9</w:t>
            </w:r>
          </w:p>
        </w:tc>
        <w:tc>
          <w:tcPr>
            <w:tcW w:type="dxa" w:w="3178"/>
          </w:tcPr>
          <w:p>
            <w:r>
              <w:rPr/>
              <w:t>附加条件</w:t>
            </w:r>
          </w:p>
        </w:tc>
        <w:tc>
          <w:tcPr>
            <w:tcW w:type="dxa" w:w="4238"/>
          </w:tcPr>
          <w:p>
            <w:r>
              <w:rPr/>
              <w:t>未含有采购人不可接受的附加条件。</w:t>
            </w:r>
          </w:p>
        </w:tc>
      </w:tr>
      <w:tr>
        <w:tc>
          <w:tcPr>
            <w:tcW w:type="dxa" w:w="890"/>
          </w:tcPr>
          <w:p>
            <w:r>
              <w:rPr/>
              <w:t>10</w:t>
            </w:r>
          </w:p>
        </w:tc>
        <w:tc>
          <w:tcPr>
            <w:tcW w:type="dxa" w:w="3178"/>
          </w:tcPr>
          <w:p>
            <w:r>
              <w:rPr/>
              <w:t>串通投标</w:t>
            </w:r>
          </w:p>
        </w:tc>
        <w:tc>
          <w:tcPr>
            <w:tcW w:type="dxa" w:w="4238"/>
          </w:tcPr>
          <w:p>
            <w:r>
              <w:rPr/>
              <w:t>未出现采购文件所列的视为串通投标情形。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采购包1(广东机电职业技术学院综合实训楼S1智慧教室建设项目):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技术部分45.0分</w:t>
            </w:r>
          </w:p>
          <w:p>
            <w:r>
              <w:rPr/>
              <w:t>报价得分35.0分</w:t>
            </w:r>
          </w:p>
        </w:tc>
      </w:tr>
      <w:tr>
        <w:tc>
          <w:tcPr>
            <w:tcW w:type="dxa" w:w="922"/>
            <w:gridSpan w:val="2"/>
            <w:vMerge w:val="restart"/>
          </w:tcPr>
          <w:p>
            <w:pPr>
              <w:jc w:val="center"/>
            </w:pPr>
            <w:r>
              <w:rPr/>
              <w:t>技术部分</w:t>
            </w:r>
          </w:p>
        </w:tc>
        <w:tc>
          <w:tcPr>
            <w:tcW w:type="dxa" w:w="2307"/>
          </w:tcPr>
          <w:p>
            <w:pPr>
              <w:jc w:val="left"/>
            </w:pPr>
            <w:r>
              <w:rPr/>
              <w:t>技术参数响应程度 (22.2分)</w:t>
            </w:r>
          </w:p>
        </w:tc>
        <w:tc>
          <w:tcPr>
            <w:tcW w:type="dxa" w:w="5076"/>
          </w:tcPr>
          <w:p>
            <w:pPr>
              <w:jc w:val="left"/>
            </w:pPr>
            <w:r>
              <w:rPr/>
              <w:t>1. 考查有效投标人投标产品，“▲”为重要技术参数共有11项，重要技术参数响应，每满足一条得1分，最高得分11分。 2. 考查有效投标人投标产品，非演示项、非“▲”“★”号为一般技术参数，单类产品的一般技术参数全部响应则对应产品得分，只要有一条（或以上）一般技术参数负偏离，则对应产品不得分。共有112类产品，每有一类产品完全满足的得0.1分，本项最高得11.2分。 注：各项参数中如需求有要求提供证明材料的，投标人须提供相应证明材料，否则不得分。</w:t>
            </w:r>
          </w:p>
        </w:tc>
      </w:tr>
      <w:tr>
        <w:tc>
          <w:tcPr>
            <w:tcW w:type="dxa" w:w="922"/>
            <w:gridSpan w:val="2"/>
            <w:vMerge/>
          </w:tcPr>
          <w:p/>
        </w:tc>
        <w:tc>
          <w:tcPr>
            <w:tcW w:type="dxa" w:w="2307"/>
          </w:tcPr>
          <w:p>
            <w:pPr>
              <w:jc w:val="left"/>
            </w:pPr>
            <w:r>
              <w:rPr/>
              <w:t>安装、调试方案 (3.8分)</w:t>
            </w:r>
          </w:p>
        </w:tc>
        <w:tc>
          <w:tcPr>
            <w:tcW w:type="dxa" w:w="5076"/>
          </w:tcPr>
          <w:p>
            <w:pPr>
              <w:jc w:val="left"/>
            </w:pPr>
            <w:r>
              <w:rPr/>
              <w:t>投标人拟制详细具体、具有针对性、可操作性的安装、调试方案，1、方案完全满足且优于用户需求，得3.8分； 2、方案完全满足用户需求，得3分； 3、方案不能完全满足用户需求，得1分； 未4、提供方案不得分。</w:t>
            </w:r>
          </w:p>
        </w:tc>
      </w:tr>
      <w:tr>
        <w:tc>
          <w:tcPr>
            <w:tcW w:type="dxa" w:w="922"/>
            <w:gridSpan w:val="2"/>
            <w:vMerge/>
          </w:tcPr>
          <w:p/>
        </w:tc>
        <w:tc>
          <w:tcPr>
            <w:tcW w:type="dxa" w:w="2307"/>
          </w:tcPr>
          <w:p>
            <w:pPr>
              <w:jc w:val="left"/>
            </w:pPr>
            <w:r>
              <w:rPr/>
              <w:t>环境配套改造 (6.0分)</w:t>
            </w:r>
          </w:p>
        </w:tc>
        <w:tc>
          <w:tcPr>
            <w:tcW w:type="dxa" w:w="5076"/>
          </w:tcPr>
          <w:p>
            <w:pPr>
              <w:jc w:val="left"/>
            </w:pPr>
            <w:r>
              <w:rPr/>
              <w:t>根据投标人提供的智慧课室、走廊、家具等环境配套改造等详细设计和改造施工方案，对环境改造的设计理念、整体质量、预期效果等进行评审： 一、设计部分： 1.投标人提供6间教室效果图八张或以上，要求反映不同教学场景，教室人数不应少于60人，提供走廊设计透视图； 2.要求平面与透视图反映IT硬件计划与相关信息； 每提供一项得1分，本项最高得2分。 注：按要求提供效果图、平面与透视图并加盖投标人公章，否则不得分。 二、装修材料用料部分： 1.地板粘合剂：90°剥离强度标准状态、热处理后 N/mm≥1.0；剪切强度标准状态、热处理后MPa ≥0.3； 2.地毯：总挥发性有机化合物：释放量(mg/m²h)≤0.055；甲醛：释放量(mg/m²h)&lt;13.30×10-3；苯乙烯释放量(mg/m²h)≤0.024； 3.地毯：按GB 8624-2012判定，燃烧性需达到难燃B1(B-s1, t1)级； 4.吸声板：漆膜硬度≥3H；燃烧总热值PCS：整体制品，MJ/kg≤0.6；SBI单体燃烧试验：燃烧增长率指数FIGRAo.2MJ，W/s≤32。 每提供一项得1分，本项最高得4分。 注：投标人须提供有资质的第三方机构出具的检测报告或官网技术资料，未提供有效证明材料或证明材料中内容与该项指标的要求不一致的，都将被视为负偏离。</w:t>
            </w:r>
          </w:p>
        </w:tc>
      </w:tr>
      <w:tr>
        <w:tc>
          <w:tcPr>
            <w:tcW w:type="dxa" w:w="922"/>
            <w:gridSpan w:val="2"/>
            <w:vMerge/>
          </w:tcPr>
          <w:p/>
        </w:tc>
        <w:tc>
          <w:tcPr>
            <w:tcW w:type="dxa" w:w="2307"/>
          </w:tcPr>
          <w:p>
            <w:pPr>
              <w:jc w:val="left"/>
            </w:pPr>
            <w:r>
              <w:rPr/>
              <w:t>功能演示 (10.0分)</w:t>
            </w:r>
          </w:p>
        </w:tc>
        <w:tc>
          <w:tcPr>
            <w:tcW w:type="dxa" w:w="5076"/>
          </w:tcPr>
          <w:p>
            <w:pPr>
              <w:jc w:val="left"/>
            </w:pPr>
            <w:r>
              <w:rPr/>
              <w:t>供应商拍摄实机操作视频演示：通过所投86英寸交互智能平板（带电脑模块）操作演示以下内容： 每个投标人提交的演示视频不多于10分钟，每满足以下评审项1项得2分，满分10分。  一、结构设计 1.整机具备至少6个前置按键，实现老师开关机、调出中控菜单、音量+/-、护眼、录屏的操作。 二、嵌入式系统 2.整机全通道侧边栏快捷菜单中可以随时调起切换智能息屏、经典护眼模式、纸质护眼模式自动亮度模式，并可支持快捷调节音量、亮度。 3.整机安卓和全部外接通道（HDMI、Type-c）下侧边栏支持通过扫描二维码加入班级，老师设置题型，学生回答后提交，教师查看正确率比例及详细讲解；支持随机抽选、实时弹幕；支持管理当前班级成员；支持导出学生报告。 4.整机全通道侧边栏快捷菜单中可以实时查看物联设备的连接情况，点击任意一台设备图标即可调出中控菜单进行管控。 三、内置电脑 5.采用按压式卡扣，确保PC模块安装固定到位，同时无需工具就可快速拆卸电脑模块。电脑接口高度集成，降低接口损坏率，提高传输稳定性，采用≤40pin接口。</w:t>
            </w:r>
          </w:p>
        </w:tc>
      </w:tr>
      <w:tr>
        <w:tc>
          <w:tcPr>
            <w:tcW w:type="dxa" w:w="922"/>
            <w:gridSpan w:val="2"/>
            <w:vMerge/>
          </w:tcPr>
          <w:p/>
        </w:tc>
        <w:tc>
          <w:tcPr>
            <w:tcW w:type="dxa" w:w="2307"/>
          </w:tcPr>
          <w:p>
            <w:pPr>
              <w:jc w:val="left"/>
            </w:pPr>
            <w:r>
              <w:rPr/>
              <w:t>质量保证和售后服务方案 (3.0分)</w:t>
            </w:r>
          </w:p>
        </w:tc>
        <w:tc>
          <w:tcPr>
            <w:tcW w:type="dxa" w:w="5076"/>
          </w:tcPr>
          <w:p>
            <w:pPr>
              <w:jc w:val="left"/>
            </w:pPr>
            <w:r>
              <w:rPr/>
              <w:t>投标人拟制详细具体、具有针对性、可操作性强的质量保证和售后服务方案 1、方案完全满足且优于用户需求，得3分； 2、方案完全满足用户需求，得2分； 3、方案不能完全满足用户需求，得1分； 4、未提供方案不得分。</w:t>
            </w:r>
          </w:p>
        </w:tc>
      </w:tr>
      <w:tr>
        <w:tc>
          <w:tcPr>
            <w:tcW w:type="dxa" w:w="922"/>
            <w:gridSpan w:val="2"/>
            <w:vMerge w:val="restart"/>
          </w:tcPr>
          <w:p>
            <w:pPr>
              <w:jc w:val="center"/>
            </w:pPr>
            <w:r>
              <w:rPr/>
              <w:t>商务部分</w:t>
            </w:r>
          </w:p>
        </w:tc>
        <w:tc>
          <w:tcPr>
            <w:tcW w:type="dxa" w:w="2307"/>
          </w:tcPr>
          <w:p>
            <w:pPr>
              <w:jc w:val="left"/>
            </w:pPr>
            <w:r>
              <w:rPr/>
              <w:t>投标人综合实力 (6.0分)</w:t>
            </w:r>
          </w:p>
        </w:tc>
        <w:tc>
          <w:tcPr>
            <w:tcW w:type="dxa" w:w="5076"/>
          </w:tcPr>
          <w:p>
            <w:pPr>
              <w:jc w:val="left"/>
            </w:pPr>
            <w:r>
              <w:rPr/>
              <w:t>1.质量管理体系认证证书。  2.环境管理体系认证证书。 3.信息技术服务管理体系认证证书。 4.信息安全管理体系认证证书分。 注：每提供一个得1.5分，本项最高得6分。 注：以上提供证书复印件，和在“全国认证认可信息公共服务平台 ” （http://cx.cnca.cn）对体系证书的信息查询截图作为评审依据，已失效或撤销或暂停的或不提供不得分。上述证书如因投标人成立不够三个月未能获得的，可对应得分。</w:t>
            </w:r>
          </w:p>
        </w:tc>
      </w:tr>
      <w:tr>
        <w:tc>
          <w:tcPr>
            <w:tcW w:type="dxa" w:w="922"/>
            <w:gridSpan w:val="2"/>
            <w:vMerge/>
          </w:tcPr>
          <w:p/>
        </w:tc>
        <w:tc>
          <w:tcPr>
            <w:tcW w:type="dxa" w:w="2307"/>
          </w:tcPr>
          <w:p>
            <w:pPr>
              <w:jc w:val="left"/>
            </w:pPr>
            <w:r>
              <w:rPr/>
              <w:t>同类项目业绩 (8.0分)</w:t>
            </w:r>
          </w:p>
        </w:tc>
        <w:tc>
          <w:tcPr>
            <w:tcW w:type="dxa" w:w="5076"/>
          </w:tcPr>
          <w:p>
            <w:pPr>
              <w:jc w:val="left"/>
            </w:pPr>
            <w:r>
              <w:rPr/>
              <w:t>2020年1月1日(以合同签订时间为准）至今信息化设备类项目建设业绩。 注：每个得1分，最高得8分。须提供合同关键页复印件（合同关键页须体现项目名称、合同标的及金额、签订时间、双方落款盖章），不提供不得分。</w:t>
            </w:r>
          </w:p>
        </w:tc>
      </w:tr>
      <w:tr>
        <w:tc>
          <w:tcPr>
            <w:tcW w:type="dxa" w:w="922"/>
            <w:gridSpan w:val="2"/>
            <w:vMerge/>
          </w:tcPr>
          <w:p/>
        </w:tc>
        <w:tc>
          <w:tcPr>
            <w:tcW w:type="dxa" w:w="2307"/>
          </w:tcPr>
          <w:p>
            <w:pPr>
              <w:jc w:val="left"/>
            </w:pPr>
            <w:r>
              <w:rPr/>
              <w:t>拟投入项目经理人员资质 （1人） (2.0分)</w:t>
            </w:r>
          </w:p>
        </w:tc>
        <w:tc>
          <w:tcPr>
            <w:tcW w:type="dxa" w:w="5076"/>
          </w:tcPr>
          <w:p>
            <w:pPr>
              <w:jc w:val="left"/>
            </w:pPr>
            <w:r>
              <w:rPr/>
              <w:t>根据投标人拟投入项目经理（1人）具有以下证书： 1.信息系统项目管理师证书，得2分。 提供证书复印件以及2023年1月以来任意一个月的投标人为其购买的参保证明材料，不提供不得分。</w:t>
            </w:r>
          </w:p>
        </w:tc>
      </w:tr>
      <w:tr>
        <w:tc>
          <w:tcPr>
            <w:tcW w:type="dxa" w:w="922"/>
            <w:gridSpan w:val="2"/>
            <w:vMerge/>
          </w:tcPr>
          <w:p/>
        </w:tc>
        <w:tc>
          <w:tcPr>
            <w:tcW w:type="dxa" w:w="2307"/>
          </w:tcPr>
          <w:p>
            <w:pPr>
              <w:jc w:val="left"/>
            </w:pPr>
            <w:r>
              <w:rPr/>
              <w:t>拟投入项目技术人员资质 (4.0分)</w:t>
            </w:r>
          </w:p>
        </w:tc>
        <w:tc>
          <w:tcPr>
            <w:tcW w:type="dxa" w:w="5076"/>
          </w:tcPr>
          <w:p>
            <w:pPr>
              <w:jc w:val="left"/>
            </w:pPr>
            <w:r>
              <w:rPr/>
              <w:t>拟投入本项目人员资质情况：除项目经理外拟投入项目的其他服务人员： 1.系统集成项目管理工程师。 2.信息系统项目管理师证书。 3.信息安全保障人员认证证书。 注：每有1人提供一个证书得1分，本项最高得4分，同一个人具有多个资质不重复计分，需提供证书复印件和上述人员2023年1月以来任意一个月在投标人企业的社保缴纳证明并加盖投标人公章，否则不得分。</w:t>
            </w:r>
          </w:p>
        </w:tc>
      </w:tr>
      <w:tr>
        <w:tc>
          <w:tcPr>
            <w:tcW w:type="dxa" w:w="922"/>
            <w:gridSpan w:val="2"/>
          </w:tcPr>
          <w:p>
            <w:pPr>
              <w:jc w:val="center"/>
            </w:pPr>
            <w:r>
              <w:rPr/>
              <w:t>投标报价</w:t>
            </w:r>
          </w:p>
        </w:tc>
        <w:tc>
          <w:tcPr>
            <w:tcW w:type="dxa" w:w="2307"/>
          </w:tcPr>
          <w:p>
            <w:pPr>
              <w:jc w:val="left"/>
            </w:pPr>
            <w:r>
              <w:rPr/>
              <w:t>投标报价得分 (35.0分)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30"/>
        </w:rPr>
        <w:t>广东省政府采购</w:t>
      </w:r>
    </w:p>
    <w:p>
      <w:pPr>
        <w:jc w:val="both"/>
      </w:pPr>
    </w:p>
    <w:p>
      <w:pPr>
        <w:jc w:val="center"/>
      </w:pPr>
      <w:r>
        <w:rPr>
          <w:b/>
          <w:sz w:val="48"/>
        </w:rPr>
        <w:t>合　同　书</w:t>
      </w:r>
    </w:p>
    <w:p>
      <w:pPr>
        <w:jc w:val="center"/>
      </w:pPr>
    </w:p>
    <w:p>
      <w:pPr>
        <w:jc w:val="both"/>
      </w:pP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21"/>
              </w:rPr>
              <w:t>采购编号：</w:t>
            </w:r>
            <w:r>
              <w:rPr>
                <w:b/>
                <w:sz w:val="21"/>
                <w:u w:val="single"/>
              </w:rPr>
              <w:t xml:space="preserve">                         </w:t>
            </w:r>
          </w:p>
        </w:tc>
      </w:tr>
      <w:tr>
        <w:tc>
          <w:tcPr>
            <w:tcW w:type="dxa" w:w="8306"/>
            <w:vAlign w:val="top"/>
          </w:tcPr>
          <w:p>
            <w:pPr>
              <w:jc w:val="both"/>
            </w:pPr>
          </w:p>
        </w:tc>
      </w:tr>
      <w:tr>
        <w:tc>
          <w:tcPr>
            <w:tcW w:type="dxa" w:w="8306"/>
            <w:vAlign w:val="top"/>
          </w:tcPr>
          <w:p>
            <w:pPr>
              <w:jc w:val="both"/>
            </w:pPr>
            <w:r>
              <w:rPr>
                <w:b/>
                <w:sz w:val="21"/>
              </w:rPr>
              <w:t>项目名称：</w:t>
            </w:r>
            <w:r>
              <w:rPr>
                <w:b/>
                <w:sz w:val="21"/>
                <w:u w:val="single"/>
              </w:rPr>
              <w:t xml:space="preserve">广东机电职业技术学院综合实训楼S1智慧教室建设项目 </w:t>
            </w:r>
          </w:p>
        </w:tc>
      </w:tr>
      <w:tr>
        <w:tc>
          <w:tcPr>
            <w:tcW w:type="dxa" w:w="8306"/>
            <w:vAlign w:val="top"/>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
    <w:p>
      <w:pPr>
        <w:jc w:val="center"/>
      </w:pPr>
      <w:r>
        <w:rPr>
          <w:b/>
          <w:color w:val="FF0000"/>
          <w:sz w:val="24"/>
        </w:rPr>
        <w:t>XXXXXXXXXXXXXXX</w:t>
      </w:r>
      <w:r>
        <w:rPr>
          <w:b/>
          <w:sz w:val="24"/>
        </w:rPr>
        <w:t>项目合同</w:t>
      </w:r>
    </w:p>
    <w:p>
      <w:pPr>
        <w:jc w:val="center"/>
      </w:pPr>
      <w:r>
        <w:rPr>
          <w:sz w:val="21"/>
        </w:rPr>
        <w:t xml:space="preserve">   </w:t>
      </w:r>
    </w:p>
    <w:p>
      <w:pPr>
        <w:jc w:val="center"/>
      </w:pPr>
      <w:r>
        <w:rPr>
          <w:sz w:val="24"/>
        </w:rPr>
        <w:t>合同编号：JDZCCG-202</w:t>
      </w:r>
      <w:r>
        <w:rPr>
          <w:color w:val="FF0000"/>
          <w:sz w:val="24"/>
        </w:rPr>
        <w:t>X</w:t>
      </w:r>
      <w:r>
        <w:rPr>
          <w:sz w:val="24"/>
        </w:rPr>
        <w:t>-</w:t>
      </w:r>
      <w:r>
        <w:rPr>
          <w:color w:val="FF0000"/>
          <w:sz w:val="24"/>
        </w:rPr>
        <w:t>XXX</w:t>
      </w:r>
    </w:p>
    <w:p>
      <w:pPr>
        <w:jc w:val="both"/>
      </w:pPr>
      <w:r>
        <w:rPr>
          <w:b/>
          <w:sz w:val="24"/>
        </w:rPr>
        <w:t xml:space="preserve">甲方： 广东机电职业技术学院 </w:t>
      </w:r>
      <w:r>
        <w:rPr>
          <w:sz w:val="21"/>
        </w:rPr>
        <w:t xml:space="preserve">    </w:t>
      </w:r>
    </w:p>
    <w:p>
      <w:pPr>
        <w:jc w:val="both"/>
      </w:pPr>
      <w:r>
        <w:rPr>
          <w:b/>
          <w:sz w:val="24"/>
        </w:rPr>
        <w:t xml:space="preserve">乙方：                    公司                  </w:t>
      </w:r>
      <w:r>
        <w:rPr>
          <w:sz w:val="24"/>
        </w:rPr>
        <w:t>合同签订所在地：广州市</w:t>
      </w:r>
    </w:p>
    <w:p>
      <w:pPr>
        <w:ind w:firstLine="360"/>
        <w:jc w:val="both"/>
      </w:pPr>
      <w:r>
        <w:rPr>
          <w:sz w:val="24"/>
        </w:rPr>
        <w:t>根据《中华人民共和国采购法》《中华人民共和国民法典》及双方的谈判结果，经双方协商一致，签订本合同。</w:t>
      </w:r>
    </w:p>
    <w:p>
      <w:pPr>
        <w:jc w:val="left"/>
      </w:pPr>
      <w:r>
        <w:rPr>
          <w:b/>
          <w:sz w:val="24"/>
        </w:rPr>
        <w:t>一、  采购物品：</w:t>
      </w:r>
    </w:p>
    <w:tbl>
      <w:tblPr>
        <w:tblW w:w="0" w:type="auto"/>
        <w:tblBorders>
          <w:top w:val="none" w:color="000000" w:sz="4"/>
          <w:left w:val="none" w:color="000000" w:sz="4"/>
          <w:bottom w:val="none" w:color="000000" w:sz="4"/>
          <w:right w:val="none" w:color="000000" w:sz="4"/>
          <w:insideH w:val="none"/>
          <w:insideV w:val="none"/>
        </w:tblBorders>
      </w:tblPr>
      <w:tblGrid>
        <w:gridCol w:w="474"/>
        <w:gridCol w:w="1964"/>
        <w:gridCol w:w="1733"/>
        <w:gridCol w:w="1399"/>
        <w:gridCol w:w="847"/>
        <w:gridCol w:w="937"/>
        <w:gridCol w:w="949"/>
      </w:tblGrid>
      <w:tr>
        <w:tc>
          <w:tcPr>
            <w:tcW w:type="dxa" w:w="474"/>
            <w:tcBorders>
              <w:top w:val="single" w:color="000000" w:sz="4"/>
              <w:left w:val="single" w:color="000000" w:sz="4"/>
              <w:bottom w:val="single" w:color="000000" w:sz="4"/>
              <w:right w:val="single" w:color="000000" w:sz="4"/>
            </w:tcBorders>
          </w:tcPr>
          <w:p>
            <w:pPr>
              <w:jc w:val="center"/>
            </w:pPr>
            <w:r>
              <w:rPr>
                <w:b/>
                <w:sz w:val="24"/>
              </w:rPr>
              <w:t>序号</w:t>
            </w:r>
          </w:p>
        </w:tc>
        <w:tc>
          <w:tcPr>
            <w:tcW w:type="dxa" w:w="1964"/>
            <w:tcBorders>
              <w:top w:val="single" w:color="000000" w:sz="4"/>
              <w:left w:val="none" w:color="000000" w:sz="4"/>
              <w:bottom w:val="single" w:color="000000" w:sz="4"/>
              <w:right w:val="single" w:color="000000" w:sz="4"/>
            </w:tcBorders>
          </w:tcPr>
          <w:p>
            <w:pPr>
              <w:jc w:val="center"/>
            </w:pPr>
            <w:r>
              <w:rPr>
                <w:b/>
                <w:sz w:val="24"/>
              </w:rPr>
              <w:t>名称</w:t>
            </w:r>
          </w:p>
        </w:tc>
        <w:tc>
          <w:tcPr>
            <w:tcW w:type="dxa" w:w="1733"/>
            <w:tcBorders>
              <w:top w:val="single" w:color="000000" w:sz="4"/>
              <w:left w:val="none" w:color="000000" w:sz="4"/>
              <w:bottom w:val="single" w:color="000000" w:sz="4"/>
              <w:right w:val="single" w:color="000000" w:sz="4"/>
            </w:tcBorders>
          </w:tcPr>
          <w:p>
            <w:pPr>
              <w:jc w:val="center"/>
            </w:pPr>
            <w:r>
              <w:rPr>
                <w:sz w:val="24"/>
              </w:rPr>
              <w:t>型号规格</w:t>
            </w:r>
          </w:p>
        </w:tc>
        <w:tc>
          <w:tcPr>
            <w:tcW w:type="dxa" w:w="1399"/>
            <w:tcBorders>
              <w:top w:val="single" w:color="000000" w:sz="4"/>
              <w:left w:val="none" w:color="000000" w:sz="4"/>
              <w:bottom w:val="single" w:color="000000" w:sz="4"/>
              <w:right w:val="single" w:color="000000" w:sz="4"/>
            </w:tcBorders>
          </w:tcPr>
          <w:p>
            <w:pPr>
              <w:jc w:val="center"/>
            </w:pPr>
            <w:r>
              <w:rPr>
                <w:sz w:val="24"/>
              </w:rPr>
              <w:t>制造商</w:t>
            </w:r>
          </w:p>
        </w:tc>
        <w:tc>
          <w:tcPr>
            <w:tcW w:type="dxa" w:w="847"/>
            <w:tcBorders>
              <w:top w:val="single" w:color="000000" w:sz="4"/>
              <w:left w:val="none" w:color="000000" w:sz="4"/>
              <w:bottom w:val="single" w:color="000000" w:sz="4"/>
              <w:right w:val="single" w:color="000000" w:sz="4"/>
            </w:tcBorders>
          </w:tcPr>
          <w:p>
            <w:pPr>
              <w:jc w:val="center"/>
            </w:pPr>
            <w:r>
              <w:rPr>
                <w:b/>
                <w:sz w:val="24"/>
              </w:rPr>
              <w:t>数量</w:t>
            </w:r>
          </w:p>
        </w:tc>
        <w:tc>
          <w:tcPr>
            <w:tcW w:type="dxa" w:w="937"/>
            <w:tcBorders>
              <w:top w:val="single" w:color="000000" w:sz="4"/>
              <w:left w:val="none" w:color="000000" w:sz="4"/>
              <w:bottom w:val="single" w:color="000000" w:sz="4"/>
              <w:right w:val="single" w:color="000000" w:sz="4"/>
            </w:tcBorders>
          </w:tcPr>
          <w:p>
            <w:pPr>
              <w:jc w:val="center"/>
            </w:pPr>
            <w:r>
              <w:rPr>
                <w:b/>
                <w:sz w:val="24"/>
              </w:rPr>
              <w:t>单价（</w:t>
            </w:r>
            <w:r>
              <w:rPr>
                <w:sz w:val="24"/>
              </w:rPr>
              <w:t>元）</w:t>
            </w:r>
          </w:p>
        </w:tc>
        <w:tc>
          <w:tcPr>
            <w:tcW w:type="dxa" w:w="949"/>
            <w:tcBorders>
              <w:top w:val="single" w:color="000000" w:sz="4"/>
              <w:left w:val="none" w:color="000000" w:sz="4"/>
              <w:bottom w:val="single" w:color="000000" w:sz="4"/>
              <w:right w:val="single" w:color="000000" w:sz="4"/>
            </w:tcBorders>
          </w:tcPr>
          <w:p>
            <w:pPr>
              <w:jc w:val="center"/>
            </w:pPr>
            <w:r>
              <w:rPr>
                <w:b/>
                <w:sz w:val="24"/>
              </w:rPr>
              <w:t>总价（</w:t>
            </w:r>
            <w:r>
              <w:rPr>
                <w:sz w:val="24"/>
              </w:rPr>
              <w:t>元）</w:t>
            </w:r>
          </w:p>
        </w:tc>
      </w:tr>
      <w:tr>
        <w:tc>
          <w:tcPr>
            <w:tcW w:type="dxa" w:w="474"/>
            <w:tcBorders>
              <w:top w:val="none" w:color="000000" w:sz="4"/>
              <w:left w:val="single" w:color="000000" w:sz="4"/>
              <w:bottom w:val="single" w:color="000000" w:sz="4"/>
              <w:right w:val="single" w:color="000000" w:sz="4"/>
            </w:tcBorders>
          </w:tcPr>
          <w:p>
            <w:pPr>
              <w:jc w:val="center"/>
            </w:pPr>
            <w:r>
              <w:rPr>
                <w:sz w:val="24"/>
              </w:rPr>
              <w:t>1</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2</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3</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4</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5</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6</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7</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8</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9</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10</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11</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12</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13</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14</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15</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16</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17</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18</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19</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474"/>
            <w:tcBorders>
              <w:top w:val="none" w:color="000000" w:sz="4"/>
              <w:left w:val="single" w:color="000000" w:sz="4"/>
              <w:bottom w:val="single" w:color="000000" w:sz="4"/>
              <w:right w:val="single" w:color="000000" w:sz="4"/>
            </w:tcBorders>
          </w:tcPr>
          <w:p>
            <w:pPr>
              <w:jc w:val="center"/>
            </w:pPr>
            <w:r>
              <w:rPr>
                <w:sz w:val="24"/>
              </w:rPr>
              <w:t>20</w:t>
            </w:r>
          </w:p>
        </w:tc>
        <w:tc>
          <w:tcPr>
            <w:tcW w:type="dxa" w:w="1964"/>
            <w:tcBorders>
              <w:top w:val="none" w:color="000000" w:sz="4"/>
              <w:left w:val="none" w:color="000000" w:sz="4"/>
              <w:bottom w:val="single" w:color="000000" w:sz="4"/>
              <w:right w:val="single" w:color="000000" w:sz="4"/>
            </w:tcBorders>
          </w:tcPr>
          <w:p>
            <w:pPr>
              <w:jc w:val="center"/>
            </w:pPr>
          </w:p>
        </w:tc>
        <w:tc>
          <w:tcPr>
            <w:tcW w:type="dxa" w:w="1733"/>
            <w:tcBorders>
              <w:top w:val="none" w:color="000000" w:sz="4"/>
              <w:left w:val="none" w:color="000000" w:sz="4"/>
              <w:bottom w:val="single" w:color="000000" w:sz="4"/>
              <w:right w:val="single" w:color="000000" w:sz="4"/>
            </w:tcBorders>
          </w:tcPr>
          <w:p>
            <w:pPr>
              <w:jc w:val="center"/>
            </w:pPr>
          </w:p>
        </w:tc>
        <w:tc>
          <w:tcPr>
            <w:tcW w:type="dxa" w:w="1399"/>
            <w:tcBorders>
              <w:top w:val="none" w:color="000000" w:sz="4"/>
              <w:left w:val="none" w:color="000000" w:sz="4"/>
              <w:bottom w:val="single" w:color="000000" w:sz="4"/>
              <w:right w:val="single" w:color="000000" w:sz="4"/>
            </w:tcBorders>
          </w:tcPr>
          <w:p>
            <w:pPr>
              <w:jc w:val="center"/>
            </w:pPr>
          </w:p>
        </w:tc>
        <w:tc>
          <w:tcPr>
            <w:tcW w:type="dxa" w:w="847"/>
            <w:tcBorders>
              <w:top w:val="none" w:color="000000" w:sz="4"/>
              <w:left w:val="none" w:color="000000" w:sz="4"/>
              <w:bottom w:val="single" w:color="000000" w:sz="4"/>
              <w:right w:val="single" w:color="000000" w:sz="4"/>
            </w:tcBorders>
          </w:tcPr>
          <w:p>
            <w:pPr>
              <w:jc w:val="center"/>
            </w:pPr>
          </w:p>
        </w:tc>
        <w:tc>
          <w:tcPr>
            <w:tcW w:type="dxa" w:w="937"/>
            <w:tcBorders>
              <w:top w:val="none" w:color="000000" w:sz="4"/>
              <w:left w:val="none" w:color="000000" w:sz="4"/>
              <w:bottom w:val="single" w:color="000000" w:sz="4"/>
              <w:right w:val="single" w:color="000000" w:sz="4"/>
            </w:tcBorders>
          </w:tcPr>
          <w:p>
            <w:pPr>
              <w:jc w:val="center"/>
            </w:pPr>
          </w:p>
        </w:tc>
        <w:tc>
          <w:tcPr>
            <w:tcW w:type="dxa" w:w="949"/>
            <w:tcBorders>
              <w:top w:val="none" w:color="000000" w:sz="4"/>
              <w:left w:val="none" w:color="000000" w:sz="4"/>
              <w:bottom w:val="single" w:color="000000" w:sz="4"/>
              <w:right w:val="single" w:color="000000" w:sz="4"/>
            </w:tcBorders>
          </w:tcPr>
          <w:p>
            <w:pPr>
              <w:jc w:val="center"/>
            </w:pPr>
          </w:p>
        </w:tc>
      </w:tr>
      <w:tr>
        <w:tc>
          <w:tcPr>
            <w:tcW w:type="dxa" w:w="2438"/>
            <w:gridSpan w:val="2"/>
            <w:tcBorders>
              <w:top w:val="none" w:color="000000" w:sz="4"/>
              <w:left w:val="single" w:color="000000" w:sz="4"/>
              <w:bottom w:val="single" w:color="000000" w:sz="4"/>
              <w:right w:val="single" w:color="000000" w:sz="4"/>
            </w:tcBorders>
          </w:tcPr>
          <w:p>
            <w:pPr>
              <w:jc w:val="center"/>
            </w:pPr>
            <w:r>
              <w:rPr>
                <w:color w:val="000000"/>
                <w:sz w:val="24"/>
              </w:rPr>
              <w:t>合计</w:t>
            </w:r>
          </w:p>
        </w:tc>
        <w:tc>
          <w:tcPr>
            <w:tcW w:type="dxa" w:w="5865"/>
            <w:gridSpan w:val="5"/>
            <w:tcBorders>
              <w:top w:val="none" w:color="000000" w:sz="4"/>
              <w:left w:val="none" w:color="000000" w:sz="4"/>
              <w:bottom w:val="single" w:color="000000" w:sz="4"/>
              <w:right w:val="single" w:color="000000" w:sz="4"/>
            </w:tcBorders>
          </w:tcPr>
          <w:p>
            <w:pPr>
              <w:jc w:val="center"/>
            </w:pPr>
            <w:r>
              <w:rPr>
                <w:b/>
                <w:color w:val="FF0000"/>
                <w:sz w:val="24"/>
              </w:rPr>
              <w:t>￥  元（人民币  元整）</w:t>
            </w:r>
          </w:p>
        </w:tc>
      </w:tr>
    </w:tbl>
    <w:p>
      <w:pPr>
        <w:jc w:val="both"/>
      </w:pPr>
      <w:r>
        <w:rPr>
          <w:sz w:val="24"/>
        </w:rPr>
        <w:t>二</w:t>
      </w:r>
      <w:r>
        <w:rPr>
          <w:b/>
          <w:sz w:val="24"/>
        </w:rPr>
        <w:t>.</w:t>
      </w:r>
      <w:r>
        <w:rPr>
          <w:b/>
          <w:sz w:val="24"/>
        </w:rPr>
        <w:t>合同总价和货款支付方式</w:t>
      </w:r>
      <w:r>
        <w:rPr>
          <w:b/>
          <w:sz w:val="24"/>
        </w:rPr>
        <w:t>：</w:t>
      </w:r>
    </w:p>
    <w:p>
      <w:pPr>
        <w:jc w:val="both"/>
      </w:pPr>
      <w:r>
        <w:rPr>
          <w:sz w:val="24"/>
        </w:rPr>
        <w:t>2.1</w:t>
      </w:r>
      <w:r>
        <w:rPr>
          <w:sz w:val="24"/>
        </w:rPr>
        <w:t>总价为</w:t>
      </w:r>
      <w:r>
        <w:rPr>
          <w:b/>
          <w:color w:val="FF0000"/>
          <w:sz w:val="24"/>
        </w:rPr>
        <w:t>￥  元（人民币 元整）</w:t>
      </w:r>
      <w:r>
        <w:rPr>
          <w:sz w:val="24"/>
        </w:rPr>
        <w:t>，该合同总金额是设计.设备制造.包装.仓储.运输.安装调试.技术培训及保修期发生的所有含税费用。本合同执行期间合同总金额不变。</w:t>
      </w:r>
    </w:p>
    <w:p>
      <w:pPr>
        <w:jc w:val="both"/>
      </w:pPr>
      <w:r>
        <w:rPr>
          <w:sz w:val="24"/>
        </w:rPr>
        <w:t>2.2</w:t>
      </w:r>
      <w:r>
        <w:rPr>
          <w:sz w:val="24"/>
        </w:rPr>
        <w:t>货款</w:t>
      </w:r>
      <w:r>
        <w:rPr>
          <w:sz w:val="24"/>
        </w:rPr>
        <w:t>支付方式：</w:t>
      </w:r>
    </w:p>
    <w:p>
      <w:pPr>
        <w:jc w:val="both"/>
      </w:pPr>
      <w:r>
        <w:rPr>
          <w:color w:val="008080"/>
          <w:sz w:val="24"/>
          <w:u w:val="single"/>
        </w:rPr>
        <w:t>2.21.</w:t>
      </w:r>
      <w:r>
        <w:rPr>
          <w:color w:val="008080"/>
          <w:sz w:val="24"/>
          <w:u w:val="single"/>
        </w:rPr>
        <w:t>一期：双方在合同签署生效后10个工作日内，甲方支付合同总金额的30%给乙方作为预付款。</w:t>
      </w:r>
    </w:p>
    <w:p>
      <w:pPr>
        <w:jc w:val="both"/>
      </w:pPr>
      <w:r>
        <w:rPr>
          <w:color w:val="008080"/>
          <w:sz w:val="24"/>
          <w:u w:val="single"/>
        </w:rPr>
        <w:t>2.22.</w:t>
      </w:r>
      <w:r>
        <w:rPr>
          <w:color w:val="008080"/>
          <w:sz w:val="24"/>
          <w:u w:val="single"/>
        </w:rPr>
        <w:t>二期：乙方将货物全部运抵甲方指定地点后，甲方凭《到货确认单》支付合同总金额的40%给乙方。</w:t>
      </w:r>
    </w:p>
    <w:p>
      <w:pPr>
        <w:jc w:val="both"/>
      </w:pPr>
      <w:r>
        <w:rPr>
          <w:sz w:val="24"/>
        </w:rPr>
        <w:t>2.2.3.</w:t>
      </w:r>
      <w:r>
        <w:rPr>
          <w:sz w:val="24"/>
        </w:rPr>
        <w:t>三期：货物验收合格后30个工作日内，甲方凭验收合格文件支付剩余合同款给乙方。</w:t>
      </w:r>
    </w:p>
    <w:p>
      <w:pPr>
        <w:jc w:val="both"/>
      </w:pPr>
      <w:r>
        <w:rPr>
          <w:sz w:val="24"/>
        </w:rPr>
        <w:t>2.2.4</w:t>
      </w:r>
      <w:r>
        <w:rPr>
          <w:sz w:val="24"/>
        </w:rPr>
        <w:t>合同款包含项目实施过程的所有含税费用。</w:t>
      </w:r>
    </w:p>
    <w:p>
      <w:pPr>
        <w:jc w:val="both"/>
      </w:pPr>
      <w:r>
        <w:rPr>
          <w:color w:val="008080"/>
          <w:sz w:val="24"/>
          <w:u w:val="single"/>
        </w:rPr>
        <w:t>2.2.5</w:t>
      </w:r>
      <w:r>
        <w:rPr>
          <w:color w:val="008080"/>
          <w:sz w:val="24"/>
          <w:u w:val="single"/>
        </w:rPr>
        <w:t>付款时间为甲方向政府采购支付部门提出支付申请的时间（不含政府财政支付部门审查的时间）。</w:t>
      </w:r>
    </w:p>
    <w:p>
      <w:pPr>
        <w:jc w:val="both"/>
      </w:pPr>
      <w:r>
        <w:rPr>
          <w:color w:val="008080"/>
          <w:sz w:val="24"/>
          <w:u w:val="single"/>
        </w:rPr>
        <w:t>2.2.6</w:t>
      </w:r>
      <w:r>
        <w:rPr>
          <w:color w:val="008080"/>
          <w:sz w:val="24"/>
          <w:u w:val="single"/>
        </w:rPr>
        <w:t>每一笔付款前，乙方向甲方开具符合国家财税政策的全额增值税专用发票。</w:t>
      </w:r>
    </w:p>
    <w:p>
      <w:pPr>
        <w:jc w:val="both"/>
      </w:pPr>
      <w:r>
        <w:rPr>
          <w:color w:val="008080"/>
          <w:sz w:val="24"/>
          <w:u w:val="single"/>
        </w:rPr>
        <w:t>2.2.7</w:t>
      </w:r>
      <w:r>
        <w:rPr>
          <w:color w:val="008080"/>
          <w:sz w:val="24"/>
          <w:u w:val="single"/>
        </w:rPr>
        <w:t>在第一次货款结算前，乙方需交纳合同总金额的5%给甲方作为履约保证金或提供对应金额的银行保函。在货物正常使用前提下，自验收合格之日起10个工作日内甲方无息返还乙方交纳的履约保证金或退还银行保函。</w:t>
      </w:r>
    </w:p>
    <w:p>
      <w:pPr>
        <w:jc w:val="both"/>
      </w:pPr>
      <w:r>
        <w:rPr>
          <w:b/>
          <w:sz w:val="24"/>
        </w:rPr>
        <w:t>三.货物质量的要求及乙方对质量负责的条件和期限：</w:t>
      </w:r>
    </w:p>
    <w:p>
      <w:pPr>
        <w:jc w:val="both"/>
      </w:pPr>
      <w:r>
        <w:rPr>
          <w:sz w:val="24"/>
        </w:rPr>
        <w:t>3.1</w:t>
      </w:r>
      <w:r>
        <w:rPr>
          <w:sz w:val="24"/>
        </w:rPr>
        <w:t>乙方提供的货物必须是全新的,符合国家及行业的有关质量标准，所提供的货物的性能应达到或超过指标表中所列技术指标。</w:t>
      </w:r>
    </w:p>
    <w:p>
      <w:pPr>
        <w:jc w:val="both"/>
      </w:pPr>
      <w:r>
        <w:rPr>
          <w:sz w:val="24"/>
        </w:rPr>
        <w:t>3.2</w:t>
      </w:r>
      <w:r>
        <w:rPr>
          <w:sz w:val="24"/>
        </w:rPr>
        <w:t>乙方必须保证全部货物的型号.规格.数量.外观质量.货物包装及资料.文件（如装箱单.保修单.随箱介质等）完整无破损。在货物抵达交货目的地后，乙方负责在项目验收前将货物的全部有关产品说明书.用户手册.装箱清单.原厂保修卡.随机资料.货物配件及随机工具等交付给甲方。</w:t>
      </w:r>
    </w:p>
    <w:p>
      <w:pPr>
        <w:jc w:val="both"/>
      </w:pPr>
      <w:r>
        <w:rPr>
          <w:sz w:val="24"/>
        </w:rPr>
        <w:t>3.3</w:t>
      </w:r>
      <w:r>
        <w:rPr>
          <w:sz w:val="24"/>
        </w:rPr>
        <w:t>乙方必须保证货物来源正当.合法，因货物来源问题产生纠纷，乙方承担一切责任。</w:t>
      </w:r>
    </w:p>
    <w:p>
      <w:pPr>
        <w:jc w:val="both"/>
      </w:pPr>
      <w:r>
        <w:rPr>
          <w:b/>
          <w:sz w:val="24"/>
        </w:rPr>
        <w:t>四.货物包装.交货.安装.调试：</w:t>
      </w:r>
    </w:p>
    <w:p>
      <w:pPr>
        <w:jc w:val="both"/>
      </w:pPr>
      <w:r>
        <w:rPr>
          <w:sz w:val="24"/>
        </w:rPr>
        <w:t>4.1</w:t>
      </w:r>
      <w:r>
        <w:rPr>
          <w:sz w:val="24"/>
        </w:rPr>
        <w:t>货物的包装要求：乙方必须保证货物的包装有良好的防湿.防锈.防潮.防雨.防腐及防碰撞的措施。凡由于包装不良造成的损失和由此产生的费用均由乙方承担。如果货物在运输和安装调试过程中出现货物短缺.损坏，乙方应及时补缺和安排换装，保证合同货物安装调试的成功完成，补缺或换货的相关费用由乙方承担。</w:t>
      </w:r>
    </w:p>
    <w:p>
      <w:pPr>
        <w:jc w:val="both"/>
      </w:pPr>
      <w:r>
        <w:rPr>
          <w:sz w:val="24"/>
        </w:rPr>
        <w:t>4.2</w:t>
      </w:r>
      <w:r>
        <w:rPr>
          <w:sz w:val="24"/>
        </w:rPr>
        <w:t>货物的交货并投入使用时间：合同签订后</w:t>
      </w:r>
      <w:r>
        <w:rPr>
          <w:b/>
          <w:color w:val="FF0000"/>
          <w:sz w:val="24"/>
        </w:rPr>
        <w:t>90</w:t>
      </w:r>
      <w:r>
        <w:rPr>
          <w:sz w:val="24"/>
        </w:rPr>
        <w:t>个日历天内。</w:t>
      </w:r>
    </w:p>
    <w:p>
      <w:pPr>
        <w:jc w:val="both"/>
      </w:pPr>
      <w:r>
        <w:rPr>
          <w:sz w:val="24"/>
        </w:rPr>
        <w:t>4.3</w:t>
      </w:r>
      <w:r>
        <w:rPr>
          <w:sz w:val="24"/>
        </w:rPr>
        <w:t>乙方交货地点：广东机电职业技术学院指定地点。</w:t>
      </w:r>
    </w:p>
    <w:p>
      <w:pPr>
        <w:jc w:val="both"/>
      </w:pPr>
      <w:r>
        <w:rPr>
          <w:sz w:val="21"/>
        </w:rPr>
        <w:t xml:space="preserve">  </w:t>
      </w:r>
      <w:r>
        <w:rPr>
          <w:sz w:val="24"/>
        </w:rPr>
        <w:t>双方项目实施联系人及联系方式如下</w:t>
      </w:r>
    </w:p>
    <w:tbl>
      <w:tblPr>
        <w:tblW w:w="0" w:type="auto"/>
        <w:tblBorders>
          <w:top w:val="none" w:color="000000" w:sz="4"/>
          <w:left w:val="none" w:color="000000" w:sz="4"/>
          <w:bottom w:val="none" w:color="000000" w:sz="4"/>
          <w:right w:val="none" w:color="000000" w:sz="4"/>
          <w:insideH w:val="none"/>
          <w:insideV w:val="none"/>
        </w:tblBorders>
      </w:tblPr>
      <w:tblGrid>
        <w:gridCol w:w="1107"/>
        <w:gridCol w:w="1275"/>
        <w:gridCol w:w="2297"/>
        <w:gridCol w:w="3628"/>
      </w:tblGrid>
      <w:tr>
        <w:tc>
          <w:tcPr>
            <w:tcW w:type="dxa" w:w="2382"/>
            <w:gridSpan w:val="2"/>
            <w:tcBorders>
              <w:top w:val="single" w:color="000000" w:sz="4"/>
              <w:left w:val="single" w:color="000000" w:sz="4"/>
              <w:bottom w:val="single" w:color="000000" w:sz="4"/>
              <w:right w:val="single" w:color="000000" w:sz="4"/>
            </w:tcBorders>
          </w:tcPr>
          <w:p>
            <w:pPr>
              <w:jc w:val="center"/>
            </w:pPr>
            <w:r>
              <w:rPr>
                <w:sz w:val="24"/>
              </w:rPr>
              <w:t>项目实施人</w:t>
            </w:r>
          </w:p>
        </w:tc>
        <w:tc>
          <w:tcPr>
            <w:tcW w:type="dxa" w:w="2297"/>
            <w:tcBorders>
              <w:top w:val="single" w:color="000000" w:sz="4"/>
              <w:left w:val="none" w:color="000000" w:sz="4"/>
              <w:bottom w:val="single" w:color="000000" w:sz="4"/>
              <w:right w:val="single" w:color="000000" w:sz="4"/>
            </w:tcBorders>
          </w:tcPr>
          <w:p>
            <w:pPr>
              <w:jc w:val="center"/>
            </w:pPr>
            <w:r>
              <w:rPr>
                <w:sz w:val="24"/>
              </w:rPr>
              <w:t>负责人</w:t>
            </w:r>
          </w:p>
        </w:tc>
        <w:tc>
          <w:tcPr>
            <w:tcW w:type="dxa" w:w="3628"/>
            <w:tcBorders>
              <w:top w:val="single" w:color="000000" w:sz="4"/>
              <w:left w:val="none" w:color="000000" w:sz="4"/>
              <w:bottom w:val="single" w:color="000000" w:sz="4"/>
              <w:right w:val="single" w:color="000000" w:sz="4"/>
            </w:tcBorders>
          </w:tcPr>
          <w:p>
            <w:pPr>
              <w:jc w:val="center"/>
            </w:pPr>
            <w:r>
              <w:rPr>
                <w:sz w:val="24"/>
              </w:rPr>
              <w:t>联系电话</w:t>
            </w:r>
          </w:p>
        </w:tc>
      </w:tr>
      <w:tr>
        <w:tc>
          <w:tcPr>
            <w:tcW w:type="dxa" w:w="1107"/>
            <w:tcBorders>
              <w:top w:val="none" w:color="000000" w:sz="4"/>
              <w:left w:val="single" w:color="000000" w:sz="4"/>
              <w:bottom w:val="single" w:color="000000" w:sz="4"/>
              <w:right w:val="single" w:color="000000" w:sz="4"/>
            </w:tcBorders>
          </w:tcPr>
          <w:p>
            <w:pPr>
              <w:jc w:val="center"/>
            </w:pPr>
            <w:r>
              <w:rPr>
                <w:sz w:val="24"/>
              </w:rPr>
              <w:t>甲方</w:t>
            </w:r>
          </w:p>
        </w:tc>
        <w:tc>
          <w:tcPr>
            <w:tcW w:type="dxa" w:w="1275"/>
            <w:tcBorders>
              <w:top w:val="none" w:color="000000" w:sz="4"/>
              <w:left w:val="none" w:color="000000" w:sz="4"/>
              <w:bottom w:val="single" w:color="000000" w:sz="4"/>
              <w:right w:val="single" w:color="000000" w:sz="4"/>
            </w:tcBorders>
          </w:tcPr>
          <w:p>
            <w:pPr>
              <w:jc w:val="center"/>
            </w:pPr>
            <w:r>
              <w:rPr>
                <w:sz w:val="24"/>
              </w:rPr>
              <w:t>实施</w:t>
            </w:r>
          </w:p>
        </w:tc>
        <w:tc>
          <w:tcPr>
            <w:tcW w:type="dxa" w:w="2297"/>
            <w:tcBorders>
              <w:top w:val="none" w:color="000000" w:sz="4"/>
              <w:left w:val="none" w:color="000000" w:sz="4"/>
              <w:bottom w:val="single" w:color="000000" w:sz="4"/>
              <w:right w:val="single" w:color="000000" w:sz="4"/>
            </w:tcBorders>
          </w:tcPr>
          <w:p>
            <w:pPr>
              <w:jc w:val="center"/>
            </w:pPr>
          </w:p>
        </w:tc>
        <w:tc>
          <w:tcPr>
            <w:tcW w:type="dxa" w:w="3628"/>
            <w:tcBorders>
              <w:top w:val="none" w:color="000000" w:sz="4"/>
              <w:left w:val="none" w:color="000000" w:sz="4"/>
              <w:bottom w:val="single" w:color="000000" w:sz="4"/>
              <w:right w:val="single" w:color="000000" w:sz="4"/>
            </w:tcBorders>
          </w:tcPr>
          <w:p>
            <w:pPr>
              <w:jc w:val="center"/>
            </w:pPr>
          </w:p>
        </w:tc>
      </w:tr>
      <w:tr>
        <w:tc>
          <w:tcPr>
            <w:tcW w:type="dxa" w:w="1107"/>
            <w:vMerge w:val="restart"/>
            <w:tcBorders>
              <w:top w:val="none" w:color="000000" w:sz="4"/>
              <w:left w:val="single" w:color="000000" w:sz="4"/>
              <w:bottom w:val="single" w:color="000000" w:sz="4"/>
              <w:right w:val="single" w:color="000000" w:sz="4"/>
            </w:tcBorders>
          </w:tcPr>
          <w:p>
            <w:pPr>
              <w:jc w:val="center"/>
            </w:pPr>
            <w:r>
              <w:rPr>
                <w:sz w:val="24"/>
              </w:rPr>
              <w:t>乙方</w:t>
            </w:r>
          </w:p>
        </w:tc>
        <w:tc>
          <w:tcPr>
            <w:tcW w:type="dxa" w:w="1275"/>
            <w:tcBorders>
              <w:top w:val="none" w:color="000000" w:sz="4"/>
              <w:left w:val="none" w:color="000000" w:sz="4"/>
              <w:bottom w:val="single" w:color="000000" w:sz="4"/>
              <w:right w:val="single" w:color="000000" w:sz="4"/>
            </w:tcBorders>
          </w:tcPr>
          <w:p>
            <w:pPr>
              <w:jc w:val="center"/>
            </w:pPr>
            <w:r>
              <w:rPr>
                <w:sz w:val="24"/>
              </w:rPr>
              <w:t>实施</w:t>
            </w:r>
          </w:p>
        </w:tc>
        <w:tc>
          <w:tcPr>
            <w:tcW w:type="dxa" w:w="2297"/>
            <w:tcBorders>
              <w:top w:val="none" w:color="000000" w:sz="4"/>
              <w:left w:val="none" w:color="000000" w:sz="4"/>
              <w:bottom w:val="single" w:color="000000" w:sz="4"/>
              <w:right w:val="single" w:color="000000" w:sz="4"/>
            </w:tcBorders>
          </w:tcPr>
          <w:p>
            <w:pPr>
              <w:jc w:val="center"/>
            </w:pPr>
          </w:p>
        </w:tc>
        <w:tc>
          <w:tcPr>
            <w:tcW w:type="dxa" w:w="3628"/>
            <w:tcBorders>
              <w:top w:val="none" w:color="000000" w:sz="4"/>
              <w:left w:val="none" w:color="000000" w:sz="4"/>
              <w:bottom w:val="single" w:color="000000" w:sz="4"/>
              <w:right w:val="single" w:color="000000" w:sz="4"/>
            </w:tcBorders>
          </w:tcPr>
          <w:p>
            <w:pPr>
              <w:jc w:val="center"/>
            </w:pPr>
          </w:p>
        </w:tc>
      </w:tr>
      <w:tr>
        <w:tc>
          <w:tcPr>
            <w:tcW w:type="dxa" w:w="1107"/>
            <w:vMerge/>
            <w:tcBorders>
              <w:top w:val="none" w:color="000000" w:sz="4"/>
              <w:left w:val="singl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tcPr>
          <w:p>
            <w:pPr>
              <w:jc w:val="center"/>
            </w:pPr>
            <w:r>
              <w:rPr>
                <w:sz w:val="24"/>
              </w:rPr>
              <w:t>售后</w:t>
            </w:r>
          </w:p>
        </w:tc>
        <w:tc>
          <w:tcPr>
            <w:tcW w:type="dxa" w:w="2297"/>
            <w:tcBorders>
              <w:top w:val="none" w:color="000000" w:sz="4"/>
              <w:left w:val="none" w:color="000000" w:sz="4"/>
              <w:bottom w:val="single" w:color="000000" w:sz="4"/>
              <w:right w:val="single" w:color="000000" w:sz="4"/>
            </w:tcBorders>
          </w:tcPr>
          <w:p>
            <w:pPr>
              <w:jc w:val="center"/>
            </w:pPr>
          </w:p>
        </w:tc>
        <w:tc>
          <w:tcPr>
            <w:tcW w:type="dxa" w:w="3628"/>
            <w:tcBorders>
              <w:top w:val="none" w:color="000000" w:sz="4"/>
              <w:left w:val="none" w:color="000000" w:sz="4"/>
              <w:bottom w:val="single" w:color="000000" w:sz="4"/>
              <w:right w:val="single" w:color="000000" w:sz="4"/>
            </w:tcBorders>
          </w:tcPr>
          <w:p>
            <w:pPr>
              <w:jc w:val="center"/>
            </w:pPr>
          </w:p>
        </w:tc>
      </w:tr>
    </w:tbl>
    <w:p>
      <w:pPr>
        <w:jc w:val="both"/>
      </w:pPr>
      <w:r>
        <w:rPr>
          <w:sz w:val="24"/>
        </w:rPr>
        <w:t>4.4</w:t>
      </w:r>
      <w:r>
        <w:rPr>
          <w:sz w:val="24"/>
        </w:rPr>
        <w:t>货物的安装调试：乙方负责货物在甲方场地的安装调试，一切费用由乙方负责。</w:t>
      </w:r>
    </w:p>
    <w:p>
      <w:pPr>
        <w:jc w:val="both"/>
      </w:pPr>
      <w:r>
        <w:rPr>
          <w:b/>
          <w:sz w:val="24"/>
        </w:rPr>
        <w:t>五.货物的验收：</w:t>
      </w:r>
    </w:p>
    <w:p>
      <w:pPr>
        <w:jc w:val="both"/>
      </w:pPr>
      <w:r>
        <w:rPr>
          <w:sz w:val="24"/>
        </w:rPr>
        <w:t>5.1</w:t>
      </w:r>
      <w:r>
        <w:rPr>
          <w:sz w:val="24"/>
        </w:rPr>
        <w:t>货物到达甲方现场后，甲乙双方就货物质量.规格和型号进行初步检验，因货物的质量问题发生争议，甲方有权要求有关部门进行检验（由广东或广州市商检部门进行质量鉴定）。货物符合质量标准的，鉴定费甲方承担；货物不符合质量标准的，鉴定费由乙方承担,并赔偿甲方的损失。</w:t>
      </w:r>
    </w:p>
    <w:p>
      <w:pPr>
        <w:jc w:val="both"/>
      </w:pPr>
      <w:r>
        <w:rPr>
          <w:sz w:val="24"/>
        </w:rPr>
        <w:t>5.2</w:t>
      </w:r>
      <w:r>
        <w:rPr>
          <w:sz w:val="24"/>
        </w:rPr>
        <w:t>验收按国家有关规定.规范进行。验收时如发现所交付的货物有短装.次品.损坏或其它不符合本合同规定之情形者，甲方应做出详尽的现场记录，或由甲乙双方签署备忘录。此现场记录或备忘录可用作补充缺失和更换损坏部件的有效证据，因补充缺失或更换损坏部件等产生的相关费用由乙方承担。乙方不能修理或不能调换损坏部件的，均按不能交货处理。</w:t>
      </w:r>
    </w:p>
    <w:p>
      <w:pPr>
        <w:jc w:val="both"/>
      </w:pPr>
      <w:r>
        <w:rPr>
          <w:sz w:val="24"/>
        </w:rPr>
        <w:t>5.3</w:t>
      </w:r>
      <w:r>
        <w:rPr>
          <w:sz w:val="24"/>
        </w:rPr>
        <w:t>对货物的硬件及软件配置标准必须与国家有关政策相符合。否则，出现的一切责任都由乙方负责。</w:t>
      </w:r>
    </w:p>
    <w:p>
      <w:pPr>
        <w:jc w:val="both"/>
      </w:pPr>
      <w:r>
        <w:rPr>
          <w:b/>
          <w:sz w:val="24"/>
        </w:rPr>
        <w:t>六.售后服务：</w:t>
      </w:r>
    </w:p>
    <w:p>
      <w:pPr>
        <w:jc w:val="both"/>
      </w:pPr>
      <w:r>
        <w:rPr>
          <w:sz w:val="24"/>
        </w:rPr>
        <w:t>6.1</w:t>
      </w:r>
      <w:r>
        <w:rPr>
          <w:sz w:val="24"/>
        </w:rPr>
        <w:t>乙方提供的货物免费质保期</w:t>
      </w:r>
      <w:r>
        <w:rPr>
          <w:color w:val="FF0000"/>
          <w:sz w:val="24"/>
          <w:u w:val="single"/>
        </w:rPr>
        <w:t>5</w:t>
      </w:r>
      <w:r>
        <w:rPr>
          <w:sz w:val="24"/>
        </w:rPr>
        <w:t>年，质保期自该货物验收合格之日起计算。免费质保期内，如货物非因甲方的原因而出现的质量问题，由乙方负责包修.包换；并承担修理.调换的一切费用。</w:t>
      </w:r>
    </w:p>
    <w:p>
      <w:pPr>
        <w:jc w:val="both"/>
      </w:pPr>
      <w:r>
        <w:rPr>
          <w:sz w:val="24"/>
        </w:rPr>
        <w:t>6.2</w:t>
      </w:r>
      <w:r>
        <w:rPr>
          <w:sz w:val="24"/>
        </w:rPr>
        <w:t>乙方诺提供满足设备保修期内正常使用的备品备件（原厂备件服务），其费用已包括在报价价格之内。乙方承诺针对用户提出的应用过程中的软.硬件问题，在二十四小时内响应并解决。</w:t>
      </w:r>
    </w:p>
    <w:p>
      <w:pPr>
        <w:jc w:val="both"/>
      </w:pPr>
      <w:r>
        <w:rPr>
          <w:sz w:val="24"/>
        </w:rPr>
        <w:t>6.3</w:t>
      </w:r>
      <w:r>
        <w:rPr>
          <w:sz w:val="24"/>
        </w:rPr>
        <w:t>本项目在广州有专业的售后服务力量。保修期内，提供7×24小时现场支持服务。接到保障电话2小时内响应，8小时内派工程技术人员到达维修解决问题。到达现场后24小时内如无法修复需提供≥原配置的备用机。如果需要更换配件的，要求更换的配件跟被更换的配件的品牌.类型相一致或者是同类同档次的的替代品，后者需征得甲方管理人员同意。如须增加甲方的硬件和软件，乙方承诺协助解决。保修期内，因货物故障停用的时间，保修期累计相应顺延。</w:t>
      </w:r>
    </w:p>
    <w:p>
      <w:pPr>
        <w:jc w:val="both"/>
      </w:pPr>
      <w:r>
        <w:rPr>
          <w:b/>
          <w:sz w:val="24"/>
        </w:rPr>
        <w:t>七.知识产权：</w:t>
      </w:r>
    </w:p>
    <w:p>
      <w:pPr>
        <w:jc w:val="both"/>
      </w:pPr>
      <w:r>
        <w:rPr>
          <w:sz w:val="24"/>
        </w:rPr>
        <w:t>7.1</w:t>
      </w:r>
      <w:r>
        <w:rPr>
          <w:sz w:val="24"/>
        </w:rPr>
        <w:t>乙方必须保证，甲方在中华人民共和国使用货物或货物的任何一部分时，如有第三方向甲方提出侵犯其专利权.商标权或其它知识产权的主张，该责任全部由乙方承担。</w:t>
      </w:r>
    </w:p>
    <w:p>
      <w:pPr>
        <w:jc w:val="both"/>
      </w:pPr>
      <w:r>
        <w:rPr>
          <w:sz w:val="24"/>
        </w:rPr>
        <w:t>7.2</w:t>
      </w:r>
      <w:r>
        <w:rPr>
          <w:sz w:val="24"/>
        </w:rPr>
        <w:t>乙方报价包含向所有权人支付的专利权.商标权或其它知识产权的有关费用及税费。</w:t>
      </w:r>
    </w:p>
    <w:p>
      <w:pPr>
        <w:jc w:val="both"/>
      </w:pPr>
      <w:r>
        <w:rPr>
          <w:b/>
          <w:sz w:val="24"/>
        </w:rPr>
        <w:t>八.不可抗力：</w:t>
      </w:r>
    </w:p>
    <w:p>
      <w:pPr>
        <w:jc w:val="both"/>
      </w:pPr>
      <w:r>
        <w:rPr>
          <w:sz w:val="24"/>
        </w:rPr>
        <w:t>8.1</w:t>
      </w:r>
      <w:r>
        <w:rPr>
          <w:sz w:val="24"/>
        </w:rPr>
        <w:t>不可抗力按国家法规定义的不可抗力事件（如战争.严重火灾.洪水.地震等）。</w:t>
      </w:r>
    </w:p>
    <w:p>
      <w:pPr>
        <w:jc w:val="both"/>
      </w:pPr>
      <w:r>
        <w:rPr>
          <w:sz w:val="24"/>
        </w:rPr>
        <w:t>8.2</w:t>
      </w:r>
      <w:r>
        <w:rPr>
          <w:sz w:val="24"/>
        </w:rPr>
        <w:t>签约双方中任何一方由于不可抗力影响合同执行时，承受不可抗力一方应尽快将事故通知另一方。 在此情况下，双方应通过友好协商尽快解决本合同的执行问题。</w:t>
      </w:r>
    </w:p>
    <w:p>
      <w:pPr>
        <w:jc w:val="both"/>
      </w:pPr>
      <w:r>
        <w:rPr>
          <w:b/>
          <w:sz w:val="24"/>
        </w:rPr>
        <w:t>九.索赔</w:t>
      </w:r>
      <w:r>
        <w:rPr>
          <w:sz w:val="24"/>
        </w:rPr>
        <w:t>：</w:t>
      </w:r>
    </w:p>
    <w:p>
      <w:pPr>
        <w:jc w:val="both"/>
      </w:pPr>
      <w:r>
        <w:rPr>
          <w:sz w:val="24"/>
        </w:rPr>
        <w:t>9.1</w:t>
      </w:r>
      <w:r>
        <w:rPr>
          <w:sz w:val="24"/>
        </w:rPr>
        <w:t>在合同执行期间，如果乙方对甲方提出的索赔和差异负有责任，乙方应按照甲方同意的下列一种或多种方式解决索赔事宜：</w:t>
      </w:r>
    </w:p>
    <w:p>
      <w:pPr>
        <w:jc w:val="both"/>
      </w:pPr>
      <w:r>
        <w:rPr>
          <w:sz w:val="24"/>
        </w:rPr>
        <w:t>9.1.1</w:t>
      </w:r>
      <w:r>
        <w:rPr>
          <w:sz w:val="24"/>
        </w:rPr>
        <w:t>乙方同意退货，并按合同规定的同种货币将货款退还给甲方，并承担由此发生的一切损失和费用。</w:t>
      </w:r>
    </w:p>
    <w:p>
      <w:pPr>
        <w:jc w:val="both"/>
      </w:pPr>
      <w:r>
        <w:rPr>
          <w:sz w:val="24"/>
        </w:rPr>
        <w:t>9.1.2</w:t>
      </w:r>
      <w:r>
        <w:rPr>
          <w:sz w:val="24"/>
        </w:rPr>
        <w:t>根据货物低劣程度.损坏程度以及甲方所遭受损失的数额，甲乙双方商定降低货物的价格，差价归还甲方。</w:t>
      </w:r>
    </w:p>
    <w:p>
      <w:pPr>
        <w:jc w:val="both"/>
      </w:pPr>
      <w:r>
        <w:rPr>
          <w:sz w:val="24"/>
        </w:rPr>
        <w:t>9.1.3</w:t>
      </w:r>
      <w:r>
        <w:rPr>
          <w:sz w:val="24"/>
        </w:rPr>
        <w:t>用符合规格.质量和性能要求的新零件.部件或货物来更换有缺陷的部分或修补有缺陷的部分。乙方承担修补和更换的一切费用.风险，并赔偿甲方的一切直接损失，同时，相应延长质量保证期。</w:t>
      </w:r>
    </w:p>
    <w:p>
      <w:pPr>
        <w:jc w:val="both"/>
      </w:pPr>
      <w:r>
        <w:rPr>
          <w:sz w:val="24"/>
        </w:rPr>
        <w:t>9.2</w:t>
      </w:r>
      <w:r>
        <w:rPr>
          <w:sz w:val="24"/>
        </w:rPr>
        <w:t>如果在甲方发出索赔通知后30天内，乙方未作答复，上述索赔应视为已被乙方接受。甲方将从合同款项中扣回索赔金额。如果这些金额不足以补偿索赔金额，甲方有权向乙方提出不足部分的补偿。</w:t>
      </w:r>
    </w:p>
    <w:p>
      <w:pPr>
        <w:jc w:val="both"/>
      </w:pPr>
      <w:r>
        <w:rPr>
          <w:b/>
          <w:sz w:val="24"/>
        </w:rPr>
        <w:t>十.违约与处罚：</w:t>
      </w:r>
    </w:p>
    <w:p>
      <w:pPr>
        <w:jc w:val="both"/>
      </w:pPr>
      <w:r>
        <w:rPr>
          <w:sz w:val="24"/>
        </w:rPr>
        <w:t>10.1</w:t>
      </w:r>
      <w:r>
        <w:rPr>
          <w:sz w:val="24"/>
        </w:rPr>
        <w:t>乙方逾期交付货物，每拖延一天，须向甲方支付合同金额的3‰的违约金。违约金不超过合同总额的5%。逾期交付超过15天，甲方有权终止合同。</w:t>
      </w:r>
    </w:p>
    <w:p>
      <w:pPr>
        <w:jc w:val="both"/>
      </w:pPr>
      <w:r>
        <w:rPr>
          <w:sz w:val="24"/>
        </w:rPr>
        <w:t>10.2</w:t>
      </w:r>
      <w:r>
        <w:rPr>
          <w:sz w:val="24"/>
        </w:rPr>
        <w:t>甲方未能按时付款，每拖延一天，须向乙方支付合同金额的3‰的违约金。违约金不超过合同总额的5%。</w:t>
      </w:r>
    </w:p>
    <w:p>
      <w:pPr>
        <w:jc w:val="both"/>
      </w:pPr>
      <w:r>
        <w:rPr>
          <w:sz w:val="24"/>
        </w:rPr>
        <w:t>10.3</w:t>
      </w:r>
      <w:r>
        <w:rPr>
          <w:sz w:val="24"/>
        </w:rPr>
        <w:t>乙方交付的货物不符合合同规定的，甲方有权拒收，乙方向甲方支付合同金额的5%的违约金。对品牌参数出现差异及设备参数差异无法更改的，在不影响正常教学使用的情况下，乙方向甲方支付合同金额的5%的违约金。</w:t>
      </w:r>
    </w:p>
    <w:p>
      <w:pPr>
        <w:jc w:val="both"/>
      </w:pPr>
      <w:r>
        <w:rPr>
          <w:sz w:val="24"/>
        </w:rPr>
        <w:t>10.4</w:t>
      </w:r>
      <w:r>
        <w:rPr>
          <w:sz w:val="24"/>
        </w:rPr>
        <w:t>甲方无正当理由拒收货物的，甲方向乙方支付合同金额的5%的违约金。</w:t>
      </w:r>
    </w:p>
    <w:p>
      <w:pPr>
        <w:jc w:val="both"/>
      </w:pPr>
      <w:r>
        <w:rPr>
          <w:b/>
          <w:sz w:val="24"/>
        </w:rPr>
        <w:t>十一.合同终止：</w:t>
      </w:r>
    </w:p>
    <w:p>
      <w:pPr>
        <w:jc w:val="both"/>
      </w:pPr>
      <w:r>
        <w:rPr>
          <w:sz w:val="21"/>
        </w:rPr>
        <w:t xml:space="preserve">   </w:t>
      </w:r>
      <w:r>
        <w:rPr>
          <w:sz w:val="24"/>
        </w:rPr>
        <w:t>如果一方严重违反合同，并在收到对方违约通知书后，30天内仍未能改正的，另一方可立即终止本合同，由此产生的任何费用和造成的任何损失，由违约方承担。</w:t>
      </w:r>
    </w:p>
    <w:p>
      <w:pPr>
        <w:jc w:val="both"/>
      </w:pPr>
      <w:r>
        <w:rPr>
          <w:b/>
          <w:sz w:val="24"/>
        </w:rPr>
        <w:t>十二.争端的解决：</w:t>
      </w:r>
    </w:p>
    <w:p>
      <w:pPr>
        <w:jc w:val="both"/>
      </w:pPr>
      <w:r>
        <w:rPr>
          <w:sz w:val="21"/>
        </w:rPr>
        <w:t xml:space="preserve">    </w:t>
      </w:r>
      <w:r>
        <w:rPr>
          <w:sz w:val="24"/>
        </w:rPr>
        <w:t>甲乙双方在履约中发生争执和分歧，应通过友好协商解决，若经协商不能达成协议时，由合同签订所在地仲裁机构仲裁或向合同签订所在地人民法院起诉（仲裁或起诉任选一种），其费用包括但不限于律师费.公证费.执行费.拍卖费等由乙方全额承担。受理期间，双方应继续执行合同其余部分。</w:t>
      </w:r>
    </w:p>
    <w:p>
      <w:pPr>
        <w:jc w:val="both"/>
      </w:pPr>
      <w:r>
        <w:rPr>
          <w:b/>
          <w:sz w:val="24"/>
        </w:rPr>
        <w:t>十三.其它约定条款</w:t>
      </w:r>
    </w:p>
    <w:p>
      <w:pPr>
        <w:jc w:val="both"/>
      </w:pPr>
      <w:r>
        <w:rPr>
          <w:sz w:val="24"/>
        </w:rPr>
        <w:t>13.1</w:t>
      </w:r>
      <w:r>
        <w:rPr>
          <w:sz w:val="24"/>
        </w:rPr>
        <w:t>本合同一式四份，均为正本，具有同等法律效力，甲乙双方各执二份。合同自签字之日起即时生效。</w:t>
      </w:r>
    </w:p>
    <w:p>
      <w:pPr>
        <w:jc w:val="both"/>
      </w:pPr>
      <w:r>
        <w:rPr>
          <w:sz w:val="24"/>
        </w:rPr>
        <w:t>13.2</w:t>
      </w:r>
      <w:r>
        <w:rPr>
          <w:sz w:val="24"/>
        </w:rPr>
        <w:t>本项目的报价文件也为本合同之有效附件。</w:t>
      </w:r>
    </w:p>
    <w:p>
      <w:pPr>
        <w:jc w:val="both"/>
      </w:pPr>
      <w:r>
        <w:rPr>
          <w:sz w:val="24"/>
        </w:rPr>
        <w:t>13.3</w:t>
      </w:r>
      <w:r>
        <w:rPr>
          <w:sz w:val="24"/>
        </w:rPr>
        <w:t>本合同未尽事宜，由双方协商处理。</w:t>
      </w:r>
    </w:p>
    <w:p>
      <w:pPr>
        <w:jc w:val="both"/>
      </w:pPr>
      <w:r>
        <w:rPr>
          <w:b/>
          <w:sz w:val="24"/>
        </w:rPr>
        <w:t>附件一:技术参数</w:t>
      </w:r>
    </w:p>
    <w:p>
      <w:pPr>
        <w:jc w:val="both"/>
      </w:pPr>
      <w:r>
        <w:rPr>
          <w:b/>
          <w:sz w:val="24"/>
        </w:rPr>
        <w:t>附件二:中标通知书复印件</w:t>
      </w:r>
    </w:p>
    <w:tbl>
      <w:tblPr>
        <w:tblW w:w="0" w:type="auto"/>
        <w:tblBorders>
          <w:top w:val="single"/>
          <w:left w:val="single"/>
          <w:bottom w:val="single"/>
          <w:right w:val="single"/>
          <w:insideH w:val="single"/>
          <w:insideV w:val="single"/>
        </w:tblBorders>
      </w:tblPr>
      <w:tblGrid>
        <w:gridCol w:w="4153"/>
        <w:gridCol w:w="4153"/>
      </w:tblGrid>
      <w:tr>
        <w:tc>
          <w:tcPr>
            <w:tcW w:type="dxa" w:w="4153"/>
            <w:vAlign w:val="top"/>
          </w:tcPr>
          <w:p>
            <w:pPr>
              <w:jc w:val="both"/>
            </w:pPr>
            <w:r>
              <w:rPr>
                <w:b/>
                <w:sz w:val="24"/>
              </w:rPr>
              <w:t xml:space="preserve">甲方：广东机电职业技术学院 </w:t>
            </w:r>
          </w:p>
        </w:tc>
        <w:tc>
          <w:tcPr>
            <w:tcW w:type="dxa" w:w="4153"/>
            <w:vAlign w:val="top"/>
          </w:tcPr>
          <w:p>
            <w:pPr>
              <w:jc w:val="both"/>
            </w:pPr>
            <w:r>
              <w:rPr>
                <w:b/>
                <w:sz w:val="24"/>
              </w:rPr>
              <w:t>乙方：                  公司</w:t>
            </w:r>
          </w:p>
        </w:tc>
      </w:tr>
      <w:tr>
        <w:tc>
          <w:tcPr>
            <w:tcW w:type="dxa" w:w="4153"/>
            <w:vAlign w:val="top"/>
          </w:tcPr>
          <w:p>
            <w:pPr>
              <w:jc w:val="both"/>
            </w:pPr>
            <w:r>
              <w:rPr>
                <w:sz w:val="24"/>
              </w:rPr>
              <w:t>地址：</w:t>
            </w:r>
          </w:p>
        </w:tc>
        <w:tc>
          <w:tcPr>
            <w:tcW w:type="dxa" w:w="4153"/>
            <w:vAlign w:val="top"/>
          </w:tcPr>
          <w:p>
            <w:pPr>
              <w:jc w:val="both"/>
            </w:pPr>
            <w:r>
              <w:rPr>
                <w:sz w:val="24"/>
              </w:rPr>
              <w:t>地址：</w:t>
            </w:r>
          </w:p>
        </w:tc>
      </w:tr>
      <w:tr>
        <w:tc>
          <w:tcPr>
            <w:tcW w:type="dxa" w:w="4153"/>
            <w:vAlign w:val="top"/>
          </w:tcPr>
          <w:p>
            <w:pPr>
              <w:jc w:val="both"/>
            </w:pPr>
            <w:r>
              <w:rPr>
                <w:sz w:val="24"/>
              </w:rPr>
              <w:t>法定代表人(或委托代理人)签名：</w:t>
            </w:r>
          </w:p>
        </w:tc>
        <w:tc>
          <w:tcPr>
            <w:tcW w:type="dxa" w:w="4153"/>
            <w:vAlign w:val="top"/>
          </w:tcPr>
          <w:p>
            <w:pPr>
              <w:jc w:val="both"/>
            </w:pPr>
            <w:r>
              <w:rPr>
                <w:sz w:val="24"/>
              </w:rPr>
              <w:t>法定代表人(或委托代理人)签名：</w:t>
            </w:r>
          </w:p>
        </w:tc>
      </w:tr>
      <w:tr>
        <w:tc>
          <w:tcPr>
            <w:tcW w:type="dxa" w:w="4153"/>
            <w:vAlign w:val="top"/>
          </w:tcPr>
          <w:p>
            <w:pPr>
              <w:jc w:val="both"/>
            </w:pPr>
            <w:r>
              <w:rPr>
                <w:sz w:val="24"/>
              </w:rPr>
              <w:t>电话：</w:t>
            </w:r>
          </w:p>
        </w:tc>
        <w:tc>
          <w:tcPr>
            <w:tcW w:type="dxa" w:w="4153"/>
            <w:vAlign w:val="top"/>
          </w:tcPr>
          <w:p>
            <w:pPr>
              <w:jc w:val="both"/>
            </w:pPr>
            <w:r>
              <w:rPr>
                <w:sz w:val="24"/>
              </w:rPr>
              <w:t>电话：</w:t>
            </w:r>
          </w:p>
        </w:tc>
      </w:tr>
      <w:tr>
        <w:tc>
          <w:tcPr>
            <w:tcW w:type="dxa" w:w="4153"/>
            <w:vAlign w:val="top"/>
          </w:tcPr>
          <w:p>
            <w:pPr>
              <w:jc w:val="both"/>
            </w:pPr>
            <w:r>
              <w:rPr>
                <w:sz w:val="24"/>
              </w:rPr>
              <w:t>开户银行：</w:t>
            </w:r>
          </w:p>
        </w:tc>
        <w:tc>
          <w:tcPr>
            <w:tcW w:type="dxa" w:w="4153"/>
            <w:vAlign w:val="top"/>
          </w:tcPr>
          <w:p>
            <w:pPr>
              <w:jc w:val="both"/>
            </w:pPr>
            <w:r>
              <w:rPr>
                <w:sz w:val="24"/>
              </w:rPr>
              <w:t>开户银行：</w:t>
            </w:r>
          </w:p>
        </w:tc>
      </w:tr>
      <w:tr>
        <w:tc>
          <w:tcPr>
            <w:tcW w:type="dxa" w:w="4153"/>
            <w:vAlign w:val="top"/>
          </w:tcPr>
          <w:p>
            <w:pPr>
              <w:jc w:val="both"/>
            </w:pPr>
            <w:r>
              <w:rPr>
                <w:sz w:val="24"/>
              </w:rPr>
              <w:t>帐号：</w:t>
            </w:r>
          </w:p>
        </w:tc>
        <w:tc>
          <w:tcPr>
            <w:tcW w:type="dxa" w:w="4153"/>
            <w:vAlign w:val="top"/>
          </w:tcPr>
          <w:p>
            <w:pPr>
              <w:jc w:val="both"/>
            </w:pPr>
            <w:r>
              <w:rPr>
                <w:sz w:val="24"/>
              </w:rPr>
              <w:t>帐号：</w:t>
            </w:r>
          </w:p>
        </w:tc>
      </w:tr>
      <w:tr>
        <w:tc>
          <w:tcPr>
            <w:tcW w:type="dxa" w:w="4153"/>
            <w:vAlign w:val="top"/>
          </w:tcPr>
          <w:p>
            <w:pPr>
              <w:jc w:val="both"/>
            </w:pPr>
            <w:r>
              <w:rPr>
                <w:sz w:val="24"/>
              </w:rPr>
              <w:t xml:space="preserve">统一社会信用代码: </w:t>
            </w:r>
          </w:p>
          <w:p>
            <w:pPr>
              <w:jc w:val="both"/>
            </w:pPr>
          </w:p>
        </w:tc>
        <w:tc>
          <w:tcPr>
            <w:tcW w:type="dxa" w:w="4153"/>
            <w:vAlign w:val="top"/>
          </w:tcPr>
          <w:p>
            <w:pPr>
              <w:jc w:val="both"/>
            </w:pPr>
          </w:p>
        </w:tc>
      </w:tr>
      <w:tr>
        <w:tc>
          <w:tcPr>
            <w:tcW w:type="dxa" w:w="4153"/>
            <w:vAlign w:val="top"/>
          </w:tcPr>
          <w:p>
            <w:pPr>
              <w:jc w:val="both"/>
            </w:pPr>
            <w:r>
              <w:rPr>
                <w:sz w:val="24"/>
              </w:rPr>
              <w:t>签约时间： 202  年  月   日</w:t>
            </w:r>
          </w:p>
        </w:tc>
        <w:tc>
          <w:tcPr>
            <w:tcW w:type="dxa" w:w="4153"/>
            <w:vAlign w:val="top"/>
          </w:tcPr>
          <w:p>
            <w:pPr>
              <w:jc w:val="both"/>
            </w:pPr>
            <w:r>
              <w:rPr>
                <w:sz w:val="24"/>
              </w:rPr>
              <w:t>签约时间：202  年  月   日</w:t>
            </w:r>
          </w:p>
        </w:tc>
      </w:tr>
    </w:tbl>
    <w:p>
      <w:pPr>
        <w:jc w:val="both"/>
      </w:pPr>
    </w:p>
    <w:p>
      <w:pPr>
        <w:jc w:val="both"/>
      </w:pPr>
    </w:p>
    <w:p>
      <w:pPr>
        <w:jc w:val="both"/>
      </w:pPr>
    </w:p>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440001-2023-26149</w:t>
      </w:r>
    </w:p>
    <w:p>
      <w:pPr>
        <w:jc w:val="center"/>
      </w:pPr>
      <w:r>
        <w:rPr>
          <w:b/>
          <w:sz w:val="24"/>
        </w:rPr>
        <w:t>采购项目编号：</w:t>
      </w:r>
      <w:r>
        <w:rPr>
          <w:b/>
          <w:sz w:val="24"/>
        </w:rPr>
        <w:t>GPCGD231156HG169J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广东机电职业技术学院综合实训楼S1智慧教室建设项目</w:t>
      </w:r>
      <w:r>
        <w:rPr>
          <w:u w:val="single"/>
        </w:rPr>
        <w:t>”</w:t>
      </w:r>
      <w:r>
        <w:rPr/>
        <w:t>项目的招标[采购项目编号为：</w:t>
      </w:r>
      <w:r>
        <w:rPr>
          <w:u w:val="single"/>
        </w:rPr>
        <w:t>GPCGD231156HG169J</w:t>
      </w:r>
      <w:r>
        <w:rPr/>
        <w:t>]，我方愿参与投标。</w:t>
      </w:r>
    </w:p>
    <w:p>
      <w:pPr>
        <w:ind w:firstLine="480"/>
      </w:pPr>
      <w:r>
        <w:rPr/>
        <w:t>我方确认收到贵方提供的</w:t>
      </w:r>
      <w:r>
        <w:rPr>
          <w:u w:val="single"/>
        </w:rPr>
        <w:t>“</w:t>
      </w:r>
      <w:r>
        <w:rPr>
          <w:u w:val="single"/>
        </w:rPr>
        <w:t>广东机电职业技术学院综合实训楼S1智慧教室建设项目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广东机电职业技术学院综合实训楼S1智慧教室建设项目</w:t>
      </w:r>
      <w:r>
        <w:rPr/>
        <w:t>”项目采购[采购项目编号为</w:t>
      </w:r>
      <w:r>
        <w:rPr/>
        <w:t>GPCGD231156HG169J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广东机电职业技术学院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广东机电职业技术学院综合实训楼S1智慧教室建设项目</w:t>
      </w:r>
      <w:r>
        <w:rPr/>
        <w:t>招标中获中标（采购项目编号：</w:t>
      </w:r>
      <w:r>
        <w:rPr/>
        <w:t>GPCGD231156HG169J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广东机电职业技术学院综合实训楼S1智慧教室建设项目</w:t>
      </w:r>
      <w:r>
        <w:rPr/>
        <w:t>”项目（采购项目编号：</w:t>
      </w:r>
      <w:r>
        <w:rPr/>
        <w:t>GPCGD231156HG169J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